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8C99" w14:textId="3CB6AB38" w:rsidR="008F4924" w:rsidRDefault="008F4924" w:rsidP="00841997">
      <w:r>
        <w:rPr>
          <w:noProof/>
        </w:rPr>
        <w:drawing>
          <wp:inline distT="0" distB="0" distL="0" distR="0" wp14:anchorId="46D34A9A" wp14:editId="32E1C5D2">
            <wp:extent cx="2214189" cy="752396"/>
            <wp:effectExtent l="0" t="0" r="0" b="0"/>
            <wp:docPr id="4" name="Picture 3">
              <a:extLst xmlns:a="http://schemas.openxmlformats.org/drawingml/2006/main">
                <a:ext uri="{FF2B5EF4-FFF2-40B4-BE49-F238E27FC236}">
                  <a16:creationId xmlns:a16="http://schemas.microsoft.com/office/drawing/2014/main" id="{D2B9CC1F-B78E-42D9-88C9-ADBCF438DA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D2B9CC1F-B78E-42D9-88C9-ADBCF438DAB2}"/>
                        </a:ext>
                      </a:extLst>
                    </pic:cNvPr>
                    <pic:cNvPicPr>
                      <a:picLocks noChangeAspect="1"/>
                    </pic:cNvPicPr>
                  </pic:nvPicPr>
                  <pic:blipFill>
                    <a:blip r:embed="rId5"/>
                    <a:stretch>
                      <a:fillRect/>
                    </a:stretch>
                  </pic:blipFill>
                  <pic:spPr>
                    <a:xfrm>
                      <a:off x="0" y="0"/>
                      <a:ext cx="2214189" cy="752396"/>
                    </a:xfrm>
                    <a:prstGeom prst="rect">
                      <a:avLst/>
                    </a:prstGeom>
                  </pic:spPr>
                </pic:pic>
              </a:graphicData>
            </a:graphic>
          </wp:inline>
        </w:drawing>
      </w:r>
    </w:p>
    <w:p w14:paraId="40A71836" w14:textId="77777777" w:rsidR="001A0B10" w:rsidRDefault="001A0B10" w:rsidP="001A0B10">
      <w:pPr>
        <w:spacing w:after="120"/>
        <w:rPr>
          <w:rFonts w:ascii="Tahoma" w:hAnsi="Tahoma" w:cs="Tahoma"/>
          <w:b/>
          <w:sz w:val="28"/>
          <w:szCs w:val="28"/>
          <w:u w:val="single"/>
        </w:rPr>
      </w:pPr>
    </w:p>
    <w:p w14:paraId="03F8BF08" w14:textId="1F387721" w:rsidR="00841997" w:rsidRPr="00EC6E9F" w:rsidRDefault="00841997" w:rsidP="00841997">
      <w:pPr>
        <w:rPr>
          <w:rFonts w:cstheme="minorHAnsi"/>
          <w:b/>
          <w:bCs/>
          <w:sz w:val="24"/>
          <w:szCs w:val="24"/>
        </w:rPr>
      </w:pPr>
      <w:r w:rsidRPr="00EC6E9F">
        <w:rPr>
          <w:rFonts w:cstheme="minorHAnsi"/>
          <w:b/>
          <w:bCs/>
          <w:sz w:val="24"/>
          <w:szCs w:val="24"/>
        </w:rPr>
        <w:t>SPECIFICATION</w:t>
      </w:r>
      <w:r w:rsidR="00F04958" w:rsidRPr="00EC6E9F">
        <w:rPr>
          <w:rFonts w:cstheme="minorHAnsi"/>
          <w:b/>
          <w:bCs/>
          <w:sz w:val="24"/>
          <w:szCs w:val="24"/>
        </w:rPr>
        <w:t xml:space="preserve"> FOR </w:t>
      </w:r>
      <w:r w:rsidR="00FF6984">
        <w:rPr>
          <w:rFonts w:cstheme="minorHAnsi"/>
          <w:b/>
          <w:bCs/>
          <w:sz w:val="24"/>
          <w:szCs w:val="24"/>
        </w:rPr>
        <w:t>LEGIONELLA</w:t>
      </w:r>
      <w:r w:rsidR="00F04958" w:rsidRPr="00EC6E9F">
        <w:rPr>
          <w:rFonts w:cstheme="minorHAnsi"/>
          <w:b/>
          <w:bCs/>
          <w:sz w:val="24"/>
          <w:szCs w:val="24"/>
        </w:rPr>
        <w:t xml:space="preserve"> RISK ASSESSMENTS</w:t>
      </w:r>
    </w:p>
    <w:p w14:paraId="1F20A3D7" w14:textId="77777777" w:rsidR="00EC6E9F" w:rsidRPr="00EC6E9F" w:rsidRDefault="00EC6E9F" w:rsidP="00841997">
      <w:pPr>
        <w:rPr>
          <w:rFonts w:cstheme="minorHAnsi"/>
          <w:b/>
          <w:bCs/>
          <w:sz w:val="24"/>
          <w:szCs w:val="24"/>
        </w:rPr>
      </w:pPr>
    </w:p>
    <w:p w14:paraId="67622F64" w14:textId="3CC10198" w:rsidR="00EC6E9F" w:rsidRPr="00EC6E9F" w:rsidRDefault="001A0B10" w:rsidP="00841997">
      <w:pPr>
        <w:rPr>
          <w:rFonts w:cstheme="minorHAnsi"/>
          <w:b/>
          <w:bCs/>
          <w:sz w:val="24"/>
          <w:szCs w:val="24"/>
          <w:u w:val="single"/>
        </w:rPr>
      </w:pPr>
      <w:r w:rsidRPr="00EC6E9F">
        <w:rPr>
          <w:rFonts w:cstheme="minorHAnsi"/>
          <w:b/>
          <w:bCs/>
          <w:sz w:val="24"/>
          <w:szCs w:val="24"/>
          <w:u w:val="single"/>
        </w:rPr>
        <w:t>Contract Scope</w:t>
      </w:r>
    </w:p>
    <w:p w14:paraId="394BC470" w14:textId="5E3AF7D2" w:rsidR="001A0B10" w:rsidRPr="00EC6E9F" w:rsidRDefault="001A0B10" w:rsidP="001A0B10">
      <w:pPr>
        <w:jc w:val="both"/>
        <w:rPr>
          <w:rFonts w:cstheme="minorHAnsi"/>
          <w:sz w:val="24"/>
          <w:szCs w:val="24"/>
        </w:rPr>
      </w:pPr>
      <w:r w:rsidRPr="00EC6E9F">
        <w:rPr>
          <w:rFonts w:cstheme="minorHAnsi"/>
          <w:bCs/>
          <w:sz w:val="24"/>
          <w:szCs w:val="24"/>
        </w:rPr>
        <w:t xml:space="preserve">The scope of the contract is to </w:t>
      </w:r>
      <w:r w:rsidRPr="00EC6E9F">
        <w:rPr>
          <w:rFonts w:cstheme="minorHAnsi"/>
          <w:sz w:val="24"/>
          <w:szCs w:val="24"/>
        </w:rPr>
        <w:t>carry-out Legionella Risk Assessments on behalf of Community Housing:</w:t>
      </w:r>
    </w:p>
    <w:p w14:paraId="63CFE331" w14:textId="423A3B15" w:rsidR="001A0B10" w:rsidRPr="00EC6E9F" w:rsidRDefault="001A0B10" w:rsidP="001A0B10">
      <w:pPr>
        <w:jc w:val="both"/>
        <w:rPr>
          <w:rFonts w:cstheme="minorHAnsi"/>
          <w:sz w:val="24"/>
          <w:szCs w:val="24"/>
        </w:rPr>
      </w:pPr>
      <w:r w:rsidRPr="00EC6E9F">
        <w:rPr>
          <w:rFonts w:cstheme="minorHAnsi"/>
          <w:sz w:val="24"/>
          <w:szCs w:val="24"/>
        </w:rPr>
        <w:t>Site visits to be undertaken by trained water hygiene surveyors and a suitable and sufficient risk assessment to be produced. Monthly contract review meetings between Community Housing and the successful Contractor take place.  Any issues may require a site visit with Community Housing and the Contractor.</w:t>
      </w:r>
    </w:p>
    <w:p w14:paraId="4590B248" w14:textId="77777777" w:rsidR="00917312" w:rsidRPr="00917312" w:rsidRDefault="00917312" w:rsidP="00917312">
      <w:pPr>
        <w:pStyle w:val="Level2"/>
        <w:numPr>
          <w:ilvl w:val="0"/>
          <w:numId w:val="0"/>
        </w:numPr>
        <w:tabs>
          <w:tab w:val="clear" w:pos="1276"/>
        </w:tabs>
        <w:jc w:val="left"/>
        <w:rPr>
          <w:rFonts w:asciiTheme="minorHAnsi" w:hAnsiTheme="minorHAnsi" w:cstheme="minorHAnsi"/>
          <w:b/>
          <w:bCs/>
          <w:sz w:val="24"/>
          <w:szCs w:val="24"/>
        </w:rPr>
      </w:pPr>
      <w:r w:rsidRPr="00917312">
        <w:rPr>
          <w:rFonts w:asciiTheme="minorHAnsi" w:hAnsiTheme="minorHAnsi" w:cstheme="minorHAnsi"/>
          <w:b/>
          <w:bCs/>
          <w:sz w:val="24"/>
          <w:szCs w:val="24"/>
        </w:rPr>
        <w:t>Programme of Works:</w:t>
      </w:r>
    </w:p>
    <w:p w14:paraId="5B145F61" w14:textId="77777777" w:rsidR="00917312" w:rsidRPr="00917312" w:rsidRDefault="00917312" w:rsidP="00917312">
      <w:pPr>
        <w:pStyle w:val="Level2"/>
        <w:numPr>
          <w:ilvl w:val="0"/>
          <w:numId w:val="0"/>
        </w:numPr>
        <w:tabs>
          <w:tab w:val="clear" w:pos="1276"/>
        </w:tabs>
        <w:jc w:val="left"/>
        <w:rPr>
          <w:rFonts w:asciiTheme="minorHAnsi" w:hAnsiTheme="minorHAnsi" w:cstheme="minorHAnsi"/>
          <w:b/>
          <w:bCs/>
          <w:sz w:val="24"/>
          <w:szCs w:val="24"/>
        </w:rPr>
      </w:pPr>
      <w:r w:rsidRPr="00917312">
        <w:rPr>
          <w:rFonts w:asciiTheme="minorHAnsi" w:hAnsiTheme="minorHAnsi" w:cstheme="minorHAnsi"/>
          <w:b/>
          <w:bCs/>
          <w:sz w:val="24"/>
          <w:szCs w:val="24"/>
        </w:rPr>
        <w:t>Year 1 - 2023/24</w:t>
      </w:r>
    </w:p>
    <w:p w14:paraId="379BE34E" w14:textId="77777777" w:rsidR="00917312" w:rsidRPr="00917312" w:rsidRDefault="00917312" w:rsidP="00917312">
      <w:pPr>
        <w:pStyle w:val="Level2"/>
        <w:numPr>
          <w:ilvl w:val="0"/>
          <w:numId w:val="0"/>
        </w:numPr>
        <w:tabs>
          <w:tab w:val="clear" w:pos="1276"/>
        </w:tabs>
        <w:jc w:val="left"/>
        <w:rPr>
          <w:rFonts w:asciiTheme="minorHAnsi" w:hAnsiTheme="minorHAnsi" w:cstheme="minorHAnsi"/>
          <w:sz w:val="24"/>
          <w:szCs w:val="24"/>
        </w:rPr>
      </w:pPr>
      <w:r w:rsidRPr="00917312">
        <w:rPr>
          <w:rFonts w:asciiTheme="minorHAnsi" w:hAnsiTheme="minorHAnsi" w:cstheme="minorHAnsi"/>
          <w:sz w:val="24"/>
          <w:szCs w:val="24"/>
        </w:rPr>
        <w:t>May 4, June 4, July 4, August 4</w:t>
      </w:r>
    </w:p>
    <w:p w14:paraId="726C03B8" w14:textId="77777777" w:rsidR="00917312" w:rsidRPr="00917312" w:rsidRDefault="00917312" w:rsidP="00917312">
      <w:pPr>
        <w:pStyle w:val="Level2"/>
        <w:numPr>
          <w:ilvl w:val="0"/>
          <w:numId w:val="0"/>
        </w:numPr>
        <w:tabs>
          <w:tab w:val="clear" w:pos="1276"/>
        </w:tabs>
        <w:jc w:val="left"/>
        <w:rPr>
          <w:rFonts w:asciiTheme="minorHAnsi" w:hAnsiTheme="minorHAnsi" w:cstheme="minorHAnsi"/>
          <w:b/>
          <w:bCs/>
          <w:sz w:val="24"/>
          <w:szCs w:val="24"/>
        </w:rPr>
      </w:pPr>
      <w:r w:rsidRPr="00917312">
        <w:rPr>
          <w:rFonts w:asciiTheme="minorHAnsi" w:hAnsiTheme="minorHAnsi" w:cstheme="minorHAnsi"/>
          <w:b/>
          <w:bCs/>
          <w:sz w:val="24"/>
          <w:szCs w:val="24"/>
        </w:rPr>
        <w:t>Year 2 - 2024/25</w:t>
      </w:r>
    </w:p>
    <w:p w14:paraId="34D7A8A0" w14:textId="77777777" w:rsidR="00917312" w:rsidRPr="00917312" w:rsidRDefault="00917312" w:rsidP="00917312">
      <w:pPr>
        <w:pStyle w:val="Level2"/>
        <w:numPr>
          <w:ilvl w:val="0"/>
          <w:numId w:val="0"/>
        </w:numPr>
        <w:tabs>
          <w:tab w:val="clear" w:pos="1276"/>
        </w:tabs>
        <w:jc w:val="left"/>
        <w:rPr>
          <w:rFonts w:asciiTheme="minorHAnsi" w:hAnsiTheme="minorHAnsi" w:cstheme="minorHAnsi"/>
          <w:sz w:val="24"/>
          <w:szCs w:val="24"/>
        </w:rPr>
      </w:pPr>
      <w:r w:rsidRPr="00917312">
        <w:rPr>
          <w:rFonts w:asciiTheme="minorHAnsi" w:hAnsiTheme="minorHAnsi" w:cstheme="minorHAnsi"/>
          <w:sz w:val="24"/>
          <w:szCs w:val="24"/>
        </w:rPr>
        <w:t>May 4, June 4, July 4, August 4</w:t>
      </w:r>
    </w:p>
    <w:p w14:paraId="506CC27D" w14:textId="77777777" w:rsidR="00917312" w:rsidRPr="00917312" w:rsidRDefault="00917312" w:rsidP="00917312">
      <w:pPr>
        <w:pStyle w:val="Level2"/>
        <w:numPr>
          <w:ilvl w:val="0"/>
          <w:numId w:val="0"/>
        </w:numPr>
        <w:tabs>
          <w:tab w:val="clear" w:pos="1276"/>
        </w:tabs>
        <w:jc w:val="left"/>
        <w:rPr>
          <w:rFonts w:asciiTheme="minorHAnsi" w:hAnsiTheme="minorHAnsi" w:cstheme="minorHAnsi"/>
          <w:b/>
          <w:bCs/>
          <w:sz w:val="24"/>
          <w:szCs w:val="24"/>
        </w:rPr>
      </w:pPr>
      <w:r w:rsidRPr="00917312">
        <w:rPr>
          <w:rFonts w:asciiTheme="minorHAnsi" w:hAnsiTheme="minorHAnsi" w:cstheme="minorHAnsi"/>
          <w:b/>
          <w:bCs/>
          <w:sz w:val="24"/>
          <w:szCs w:val="24"/>
        </w:rPr>
        <w:t>Delivery and Geographical Areas:</w:t>
      </w:r>
    </w:p>
    <w:p w14:paraId="776E105F" w14:textId="77777777" w:rsidR="00917312" w:rsidRPr="00917312" w:rsidRDefault="00917312" w:rsidP="00917312">
      <w:pPr>
        <w:pStyle w:val="Level2"/>
        <w:numPr>
          <w:ilvl w:val="0"/>
          <w:numId w:val="0"/>
        </w:numPr>
        <w:tabs>
          <w:tab w:val="clear" w:pos="1276"/>
        </w:tabs>
        <w:jc w:val="left"/>
        <w:rPr>
          <w:rFonts w:asciiTheme="minorHAnsi" w:hAnsiTheme="minorHAnsi" w:cstheme="minorHAnsi"/>
          <w:sz w:val="24"/>
          <w:szCs w:val="24"/>
        </w:rPr>
      </w:pPr>
      <w:r w:rsidRPr="00917312">
        <w:rPr>
          <w:rFonts w:asciiTheme="minorHAnsi" w:hAnsiTheme="minorHAnsi" w:cstheme="minorHAnsi"/>
          <w:sz w:val="24"/>
          <w:szCs w:val="24"/>
        </w:rPr>
        <w:t>Supported and General Needs Blocks across the Wye Forest Area (Kidderminster, Stourport-on-Seven and Bewdley).</w:t>
      </w:r>
    </w:p>
    <w:p w14:paraId="5476F9FB" w14:textId="77777777" w:rsidR="00917312" w:rsidRPr="00917312" w:rsidRDefault="00917312" w:rsidP="00917312">
      <w:pPr>
        <w:pStyle w:val="Level2"/>
        <w:numPr>
          <w:ilvl w:val="0"/>
          <w:numId w:val="0"/>
        </w:numPr>
        <w:tabs>
          <w:tab w:val="clear" w:pos="1276"/>
        </w:tabs>
        <w:jc w:val="left"/>
        <w:rPr>
          <w:rFonts w:asciiTheme="minorHAnsi" w:hAnsiTheme="minorHAnsi" w:cstheme="minorHAnsi"/>
          <w:b/>
          <w:bCs/>
          <w:sz w:val="24"/>
          <w:szCs w:val="24"/>
        </w:rPr>
      </w:pPr>
      <w:r w:rsidRPr="00917312">
        <w:rPr>
          <w:rFonts w:asciiTheme="minorHAnsi" w:hAnsiTheme="minorHAnsi" w:cstheme="minorHAnsi"/>
          <w:b/>
          <w:bCs/>
          <w:sz w:val="24"/>
          <w:szCs w:val="24"/>
        </w:rPr>
        <w:t>CONTRACT DURATION 2+2 Years</w:t>
      </w:r>
    </w:p>
    <w:p w14:paraId="4EF97583" w14:textId="61A7EDF7" w:rsidR="00EC6E9F" w:rsidRDefault="00917312" w:rsidP="00917312">
      <w:pPr>
        <w:pStyle w:val="Level2"/>
        <w:numPr>
          <w:ilvl w:val="0"/>
          <w:numId w:val="0"/>
        </w:numPr>
        <w:tabs>
          <w:tab w:val="clear" w:pos="1276"/>
        </w:tabs>
        <w:jc w:val="left"/>
        <w:rPr>
          <w:rFonts w:asciiTheme="minorHAnsi" w:hAnsiTheme="minorHAnsi" w:cstheme="minorHAnsi"/>
          <w:b/>
          <w:bCs/>
          <w:sz w:val="24"/>
          <w:szCs w:val="24"/>
        </w:rPr>
      </w:pPr>
      <w:r w:rsidRPr="00917312">
        <w:rPr>
          <w:rFonts w:asciiTheme="minorHAnsi" w:hAnsiTheme="minorHAnsi" w:cstheme="minorHAnsi"/>
          <w:b/>
          <w:bCs/>
          <w:sz w:val="24"/>
          <w:szCs w:val="24"/>
        </w:rPr>
        <w:t>ESTIMATED VALUE IS IN THE RANGE OF £50,000</w:t>
      </w:r>
    </w:p>
    <w:p w14:paraId="0261002A" w14:textId="77777777" w:rsidR="00917312" w:rsidRPr="00917312" w:rsidRDefault="00917312" w:rsidP="00917312">
      <w:pPr>
        <w:pStyle w:val="Level2"/>
        <w:numPr>
          <w:ilvl w:val="0"/>
          <w:numId w:val="0"/>
        </w:numPr>
        <w:tabs>
          <w:tab w:val="clear" w:pos="1276"/>
        </w:tabs>
        <w:jc w:val="left"/>
        <w:rPr>
          <w:rFonts w:asciiTheme="minorHAnsi" w:hAnsiTheme="minorHAnsi" w:cstheme="minorHAnsi"/>
          <w:b/>
          <w:bCs/>
          <w:sz w:val="24"/>
          <w:szCs w:val="24"/>
        </w:rPr>
      </w:pPr>
    </w:p>
    <w:p w14:paraId="443B3073" w14:textId="77777777" w:rsidR="001A0B10" w:rsidRPr="00EC6E9F" w:rsidRDefault="001A0B10" w:rsidP="001A0B10">
      <w:pPr>
        <w:jc w:val="both"/>
        <w:rPr>
          <w:rFonts w:cstheme="minorHAnsi"/>
          <w:b/>
          <w:sz w:val="24"/>
          <w:szCs w:val="24"/>
          <w:u w:val="single"/>
        </w:rPr>
      </w:pPr>
      <w:r w:rsidRPr="00EC6E9F">
        <w:rPr>
          <w:rFonts w:cstheme="minorHAnsi"/>
          <w:b/>
          <w:sz w:val="24"/>
          <w:szCs w:val="24"/>
          <w:u w:val="single"/>
        </w:rPr>
        <w:t>Overview of Community Housing Portfolio</w:t>
      </w:r>
    </w:p>
    <w:p w14:paraId="2DBE8DEF" w14:textId="77777777" w:rsidR="001A0B10" w:rsidRPr="00EC6E9F" w:rsidRDefault="001A0B10" w:rsidP="001A0B10">
      <w:pPr>
        <w:pStyle w:val="NormalWeb"/>
        <w:rPr>
          <w:rFonts w:asciiTheme="minorHAnsi" w:hAnsiTheme="minorHAnsi" w:cstheme="minorHAnsi"/>
          <w:lang w:val="en"/>
        </w:rPr>
      </w:pPr>
      <w:r w:rsidRPr="00EC6E9F">
        <w:rPr>
          <w:rFonts w:asciiTheme="minorHAnsi" w:hAnsiTheme="minorHAnsi" w:cstheme="minorHAnsi"/>
          <w:lang w:val="en"/>
        </w:rPr>
        <w:lastRenderedPageBreak/>
        <w:t xml:space="preserve">The portfolio of sites consists of properties offering community housing initiatives across the </w:t>
      </w:r>
      <w:proofErr w:type="spellStart"/>
      <w:r w:rsidRPr="00EC6E9F">
        <w:rPr>
          <w:rFonts w:asciiTheme="minorHAnsi" w:hAnsiTheme="minorHAnsi" w:cstheme="minorHAnsi"/>
          <w:lang w:val="en"/>
        </w:rPr>
        <w:t>Wyre</w:t>
      </w:r>
      <w:proofErr w:type="spellEnd"/>
      <w:r w:rsidRPr="00EC6E9F">
        <w:rPr>
          <w:rFonts w:asciiTheme="minorHAnsi" w:hAnsiTheme="minorHAnsi" w:cstheme="minorHAnsi"/>
          <w:lang w:val="en"/>
        </w:rPr>
        <w:t xml:space="preserve"> Forest District, consisting of 31 properties in total (see below table)</w:t>
      </w:r>
    </w:p>
    <w:p w14:paraId="21BA838B" w14:textId="6F3B07DB" w:rsidR="00EC6E9F" w:rsidRDefault="001A0B10" w:rsidP="001A0B10">
      <w:pPr>
        <w:rPr>
          <w:rFonts w:cstheme="minorHAnsi"/>
          <w:sz w:val="24"/>
          <w:szCs w:val="24"/>
        </w:rPr>
      </w:pPr>
      <w:r w:rsidRPr="00EC6E9F">
        <w:rPr>
          <w:rFonts w:cstheme="minorHAnsi"/>
          <w:sz w:val="24"/>
          <w:szCs w:val="24"/>
        </w:rPr>
        <w:t>This brief sets out the services to be provided by the Service Provider and describes the fundamental purpose of the project.</w:t>
      </w:r>
    </w:p>
    <w:tbl>
      <w:tblPr>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2460"/>
        <w:gridCol w:w="2460"/>
        <w:gridCol w:w="2461"/>
      </w:tblGrid>
      <w:tr w:rsidR="001A3D61" w:rsidRPr="00AB3F0F" w14:paraId="5D285B96" w14:textId="77777777" w:rsidTr="00A31F53">
        <w:trPr>
          <w:trHeight w:val="635"/>
        </w:trPr>
        <w:tc>
          <w:tcPr>
            <w:tcW w:w="2460" w:type="dxa"/>
            <w:shd w:val="clear" w:color="auto" w:fill="auto"/>
          </w:tcPr>
          <w:p w14:paraId="67927674" w14:textId="77777777" w:rsidR="001A3D61" w:rsidRPr="00965907" w:rsidRDefault="001A3D61" w:rsidP="00A31F53">
            <w:pPr>
              <w:pStyle w:val="NormalWeb"/>
              <w:rPr>
                <w:rFonts w:asciiTheme="minorHAnsi" w:hAnsiTheme="minorHAnsi" w:cstheme="minorHAnsi"/>
                <w:lang w:val="en"/>
              </w:rPr>
            </w:pPr>
            <w:r w:rsidRPr="00965907">
              <w:rPr>
                <w:rFonts w:asciiTheme="minorHAnsi" w:hAnsiTheme="minorHAnsi" w:cstheme="minorHAnsi"/>
                <w:lang w:val="en"/>
              </w:rPr>
              <w:t>Adams House, Woodfield Street, Kidderminster, DY11 6YA</w:t>
            </w:r>
          </w:p>
        </w:tc>
        <w:tc>
          <w:tcPr>
            <w:tcW w:w="2460" w:type="dxa"/>
            <w:shd w:val="clear" w:color="auto" w:fill="auto"/>
          </w:tcPr>
          <w:p w14:paraId="78D72DFB" w14:textId="77777777" w:rsidR="001A3D61" w:rsidRPr="00965907" w:rsidRDefault="001A3D61" w:rsidP="00A31F53">
            <w:pPr>
              <w:pStyle w:val="NormalWeb"/>
              <w:rPr>
                <w:rFonts w:asciiTheme="minorHAnsi" w:hAnsiTheme="minorHAnsi" w:cstheme="minorHAnsi"/>
                <w:lang w:val="en"/>
              </w:rPr>
            </w:pPr>
            <w:r w:rsidRPr="00965907">
              <w:rPr>
                <w:rFonts w:asciiTheme="minorHAnsi" w:hAnsiTheme="minorHAnsi" w:cstheme="minorHAnsi"/>
                <w:lang w:val="en"/>
              </w:rPr>
              <w:t>Foley Grove, Kidderminster, DY11 7PT</w:t>
            </w:r>
          </w:p>
        </w:tc>
        <w:tc>
          <w:tcPr>
            <w:tcW w:w="2460" w:type="dxa"/>
            <w:shd w:val="clear" w:color="auto" w:fill="auto"/>
          </w:tcPr>
          <w:p w14:paraId="720C0153" w14:textId="77777777" w:rsidR="001A3D61" w:rsidRPr="00965907" w:rsidRDefault="001A3D61" w:rsidP="00A31F53">
            <w:pPr>
              <w:pStyle w:val="NormalWeb"/>
              <w:rPr>
                <w:rFonts w:asciiTheme="minorHAnsi" w:hAnsiTheme="minorHAnsi" w:cstheme="minorHAnsi"/>
                <w:lang w:val="en"/>
              </w:rPr>
            </w:pPr>
            <w:r w:rsidRPr="00965907">
              <w:rPr>
                <w:rFonts w:asciiTheme="minorHAnsi" w:hAnsiTheme="minorHAnsi" w:cstheme="minorHAnsi"/>
                <w:lang w:val="en"/>
              </w:rPr>
              <w:t>Ruth Chamberlain Court, Paternoster Row, Kidderminster, DY11 6RU</w:t>
            </w:r>
          </w:p>
        </w:tc>
        <w:tc>
          <w:tcPr>
            <w:tcW w:w="2461" w:type="dxa"/>
            <w:shd w:val="clear" w:color="auto" w:fill="auto"/>
          </w:tcPr>
          <w:p w14:paraId="519BB2D4" w14:textId="77777777" w:rsidR="001A3D61" w:rsidRPr="00965907" w:rsidRDefault="001A3D61" w:rsidP="00A31F53">
            <w:pPr>
              <w:pStyle w:val="NormalWeb"/>
              <w:rPr>
                <w:rFonts w:asciiTheme="minorHAnsi" w:hAnsiTheme="minorHAnsi" w:cstheme="minorHAnsi"/>
                <w:lang w:val="en"/>
              </w:rPr>
            </w:pPr>
            <w:proofErr w:type="spellStart"/>
            <w:r w:rsidRPr="00965907">
              <w:rPr>
                <w:rFonts w:asciiTheme="minorHAnsi" w:hAnsiTheme="minorHAnsi" w:cstheme="minorHAnsi"/>
                <w:lang w:val="en"/>
              </w:rPr>
              <w:t>Wribbenhall</w:t>
            </w:r>
            <w:proofErr w:type="spellEnd"/>
            <w:r w:rsidRPr="00965907">
              <w:rPr>
                <w:rFonts w:asciiTheme="minorHAnsi" w:hAnsiTheme="minorHAnsi" w:cstheme="minorHAnsi"/>
                <w:lang w:val="en"/>
              </w:rPr>
              <w:t xml:space="preserve"> Community Centre, BEWDLEY, DY12 1EX</w:t>
            </w:r>
          </w:p>
        </w:tc>
      </w:tr>
      <w:tr w:rsidR="001A3D61" w:rsidRPr="00AB3F0F" w14:paraId="7325FC40" w14:textId="77777777" w:rsidTr="00A31F53">
        <w:trPr>
          <w:trHeight w:val="635"/>
        </w:trPr>
        <w:tc>
          <w:tcPr>
            <w:tcW w:w="2460" w:type="dxa"/>
            <w:shd w:val="clear" w:color="auto" w:fill="auto"/>
          </w:tcPr>
          <w:p w14:paraId="704E6AE5" w14:textId="77777777" w:rsidR="001A3D61" w:rsidRPr="00965907" w:rsidRDefault="001A3D61" w:rsidP="00A31F53">
            <w:pPr>
              <w:pStyle w:val="NormalWeb"/>
              <w:rPr>
                <w:rFonts w:asciiTheme="minorHAnsi" w:hAnsiTheme="minorHAnsi" w:cstheme="minorHAnsi"/>
                <w:lang w:val="en"/>
              </w:rPr>
            </w:pPr>
            <w:r w:rsidRPr="00965907">
              <w:rPr>
                <w:rFonts w:asciiTheme="minorHAnsi" w:hAnsiTheme="minorHAnsi" w:cstheme="minorHAnsi"/>
                <w:lang w:val="en"/>
              </w:rPr>
              <w:t>Arch Hill Court, Orchard Street, Kidderminster, DY10 2JA</w:t>
            </w:r>
          </w:p>
        </w:tc>
        <w:tc>
          <w:tcPr>
            <w:tcW w:w="2460" w:type="dxa"/>
            <w:shd w:val="clear" w:color="auto" w:fill="auto"/>
          </w:tcPr>
          <w:p w14:paraId="0B67D87E" w14:textId="77777777" w:rsidR="001A3D61" w:rsidRPr="00965907" w:rsidRDefault="001A3D61" w:rsidP="00A31F53">
            <w:pPr>
              <w:pStyle w:val="NormalWeb"/>
              <w:rPr>
                <w:rFonts w:asciiTheme="minorHAnsi" w:hAnsiTheme="minorHAnsi" w:cstheme="minorHAnsi"/>
                <w:lang w:val="en"/>
              </w:rPr>
            </w:pPr>
            <w:r w:rsidRPr="00965907">
              <w:rPr>
                <w:rFonts w:asciiTheme="minorHAnsi" w:hAnsiTheme="minorHAnsi" w:cstheme="minorHAnsi"/>
                <w:lang w:val="en"/>
              </w:rPr>
              <w:t>Fred Bennett Community Centre, KIDDERMINSTER, DY10 1PX</w:t>
            </w:r>
          </w:p>
        </w:tc>
        <w:tc>
          <w:tcPr>
            <w:tcW w:w="2460" w:type="dxa"/>
            <w:shd w:val="clear" w:color="auto" w:fill="auto"/>
          </w:tcPr>
          <w:p w14:paraId="29E912A5" w14:textId="77777777" w:rsidR="001A3D61" w:rsidRPr="00965907" w:rsidRDefault="001A3D61" w:rsidP="00A31F53">
            <w:pPr>
              <w:pStyle w:val="NormalWeb"/>
              <w:rPr>
                <w:rFonts w:asciiTheme="minorHAnsi" w:hAnsiTheme="minorHAnsi" w:cstheme="minorHAnsi"/>
                <w:lang w:val="en"/>
              </w:rPr>
            </w:pPr>
            <w:r w:rsidRPr="00965907">
              <w:rPr>
                <w:rFonts w:asciiTheme="minorHAnsi" w:hAnsiTheme="minorHAnsi" w:cstheme="minorHAnsi"/>
                <w:lang w:val="en"/>
              </w:rPr>
              <w:t xml:space="preserve">94 Shakespeare Drive, </w:t>
            </w:r>
            <w:proofErr w:type="spellStart"/>
            <w:proofErr w:type="gramStart"/>
            <w:r w:rsidRPr="00965907">
              <w:rPr>
                <w:rFonts w:asciiTheme="minorHAnsi" w:hAnsiTheme="minorHAnsi" w:cstheme="minorHAnsi"/>
                <w:lang w:val="en-GB" w:eastAsia="en-GB"/>
              </w:rPr>
              <w:t>Offmore</w:t>
            </w:r>
            <w:proofErr w:type="spellEnd"/>
            <w:r w:rsidRPr="00965907">
              <w:rPr>
                <w:rFonts w:asciiTheme="minorHAnsi" w:hAnsiTheme="minorHAnsi" w:cstheme="minorHAnsi"/>
                <w:lang w:val="en-GB" w:eastAsia="en-GB"/>
              </w:rPr>
              <w:t>,,</w:t>
            </w:r>
            <w:proofErr w:type="gramEnd"/>
            <w:r w:rsidRPr="00965907">
              <w:rPr>
                <w:rFonts w:asciiTheme="minorHAnsi" w:hAnsiTheme="minorHAnsi" w:cstheme="minorHAnsi"/>
                <w:lang w:val="en-GB" w:eastAsia="en-GB"/>
              </w:rPr>
              <w:t xml:space="preserve"> Kidderminster, DY10 3QY</w:t>
            </w:r>
            <w:r w:rsidRPr="00965907">
              <w:rPr>
                <w:rFonts w:asciiTheme="minorHAnsi" w:hAnsiTheme="minorHAnsi" w:cstheme="minorHAnsi"/>
                <w:lang w:val="en"/>
              </w:rPr>
              <w:t xml:space="preserve"> </w:t>
            </w:r>
          </w:p>
        </w:tc>
        <w:tc>
          <w:tcPr>
            <w:tcW w:w="2461" w:type="dxa"/>
            <w:shd w:val="clear" w:color="auto" w:fill="auto"/>
          </w:tcPr>
          <w:p w14:paraId="6D7D189C" w14:textId="77777777" w:rsidR="001A3D61" w:rsidRPr="00965907" w:rsidRDefault="001A3D61" w:rsidP="00A31F53">
            <w:pPr>
              <w:pStyle w:val="NormalWeb"/>
              <w:rPr>
                <w:rFonts w:asciiTheme="minorHAnsi" w:hAnsiTheme="minorHAnsi" w:cstheme="minorHAnsi"/>
                <w:lang w:val="en"/>
              </w:rPr>
            </w:pPr>
          </w:p>
        </w:tc>
      </w:tr>
      <w:tr w:rsidR="001A3D61" w:rsidRPr="00AB3F0F" w14:paraId="3B7ACDB1" w14:textId="77777777" w:rsidTr="00A31F53">
        <w:trPr>
          <w:trHeight w:val="378"/>
        </w:trPr>
        <w:tc>
          <w:tcPr>
            <w:tcW w:w="2460" w:type="dxa"/>
            <w:shd w:val="clear" w:color="auto" w:fill="auto"/>
          </w:tcPr>
          <w:p w14:paraId="134B0C87" w14:textId="77777777" w:rsidR="001A3D61" w:rsidRPr="00965907" w:rsidRDefault="001A3D61" w:rsidP="00A31F53">
            <w:pPr>
              <w:pStyle w:val="NormalWeb"/>
              <w:rPr>
                <w:rFonts w:asciiTheme="minorHAnsi" w:hAnsiTheme="minorHAnsi" w:cstheme="minorHAnsi"/>
                <w:lang w:val="en"/>
              </w:rPr>
            </w:pPr>
            <w:proofErr w:type="spellStart"/>
            <w:r w:rsidRPr="00965907">
              <w:rPr>
                <w:rFonts w:asciiTheme="minorHAnsi" w:hAnsiTheme="minorHAnsi" w:cstheme="minorHAnsi"/>
                <w:lang w:val="en"/>
              </w:rPr>
              <w:t>Broomy</w:t>
            </w:r>
            <w:proofErr w:type="spellEnd"/>
            <w:r w:rsidRPr="00965907">
              <w:rPr>
                <w:rFonts w:asciiTheme="minorHAnsi" w:hAnsiTheme="minorHAnsi" w:cstheme="minorHAnsi"/>
                <w:lang w:val="en"/>
              </w:rPr>
              <w:t xml:space="preserve"> Close, </w:t>
            </w:r>
            <w:proofErr w:type="spellStart"/>
            <w:r w:rsidRPr="00965907">
              <w:rPr>
                <w:rFonts w:asciiTheme="minorHAnsi" w:hAnsiTheme="minorHAnsi" w:cstheme="minorHAnsi"/>
                <w:lang w:val="en"/>
              </w:rPr>
              <w:t>Lickhill</w:t>
            </w:r>
            <w:proofErr w:type="spellEnd"/>
            <w:r w:rsidRPr="00965907">
              <w:rPr>
                <w:rFonts w:asciiTheme="minorHAnsi" w:hAnsiTheme="minorHAnsi" w:cstheme="minorHAnsi"/>
                <w:lang w:val="en"/>
              </w:rPr>
              <w:t>, Stourport-On-Severn, DY13 8RX</w:t>
            </w:r>
          </w:p>
        </w:tc>
        <w:tc>
          <w:tcPr>
            <w:tcW w:w="2460" w:type="dxa"/>
            <w:shd w:val="clear" w:color="auto" w:fill="auto"/>
          </w:tcPr>
          <w:p w14:paraId="412C5276" w14:textId="77777777" w:rsidR="001A3D61" w:rsidRPr="00965907" w:rsidRDefault="001A3D61" w:rsidP="00A31F53">
            <w:pPr>
              <w:pStyle w:val="Default"/>
              <w:rPr>
                <w:rFonts w:asciiTheme="minorHAnsi" w:hAnsiTheme="minorHAnsi" w:cstheme="minorHAnsi"/>
              </w:rPr>
            </w:pPr>
            <w:proofErr w:type="spellStart"/>
            <w:r w:rsidRPr="00965907">
              <w:rPr>
                <w:rFonts w:asciiTheme="minorHAnsi" w:hAnsiTheme="minorHAnsi" w:cstheme="minorHAnsi"/>
                <w:lang w:val="en"/>
              </w:rPr>
              <w:t>Gamson</w:t>
            </w:r>
            <w:proofErr w:type="spellEnd"/>
            <w:r w:rsidRPr="00965907">
              <w:rPr>
                <w:rFonts w:asciiTheme="minorHAnsi" w:hAnsiTheme="minorHAnsi" w:cstheme="minorHAnsi"/>
                <w:lang w:val="en"/>
              </w:rPr>
              <w:t xml:space="preserve"> Close, </w:t>
            </w:r>
            <w:proofErr w:type="spellStart"/>
            <w:r w:rsidRPr="00965907">
              <w:rPr>
                <w:rFonts w:asciiTheme="minorHAnsi" w:hAnsiTheme="minorHAnsi" w:cstheme="minorHAnsi"/>
              </w:rPr>
              <w:t>Hoobrook</w:t>
            </w:r>
            <w:proofErr w:type="spellEnd"/>
            <w:r w:rsidRPr="00965907">
              <w:rPr>
                <w:rFonts w:asciiTheme="minorHAnsi" w:hAnsiTheme="minorHAnsi" w:cstheme="minorHAnsi"/>
              </w:rPr>
              <w:t xml:space="preserve">, Kidderminster, DY101LD, </w:t>
            </w:r>
            <w:r w:rsidRPr="00965907">
              <w:rPr>
                <w:rFonts w:asciiTheme="minorHAnsi" w:hAnsiTheme="minorHAnsi" w:cstheme="minorHAnsi"/>
                <w:lang w:val="en"/>
              </w:rPr>
              <w:t xml:space="preserve"> </w:t>
            </w:r>
          </w:p>
        </w:tc>
        <w:tc>
          <w:tcPr>
            <w:tcW w:w="2460" w:type="dxa"/>
            <w:shd w:val="clear" w:color="auto" w:fill="auto"/>
          </w:tcPr>
          <w:p w14:paraId="5C645447" w14:textId="77777777" w:rsidR="001A3D61" w:rsidRPr="00965907" w:rsidRDefault="001A3D61" w:rsidP="00A31F53">
            <w:pPr>
              <w:pStyle w:val="NormalWeb"/>
              <w:rPr>
                <w:rFonts w:asciiTheme="minorHAnsi" w:hAnsiTheme="minorHAnsi" w:cstheme="minorHAnsi"/>
                <w:lang w:val="en"/>
              </w:rPr>
            </w:pPr>
            <w:r w:rsidRPr="00965907">
              <w:rPr>
                <w:rFonts w:asciiTheme="minorHAnsi" w:hAnsiTheme="minorHAnsi" w:cstheme="minorHAnsi"/>
                <w:lang w:val="en"/>
              </w:rPr>
              <w:t xml:space="preserve">154 Sion Avenue, </w:t>
            </w:r>
            <w:proofErr w:type="spellStart"/>
            <w:r w:rsidRPr="00965907">
              <w:rPr>
                <w:rFonts w:asciiTheme="minorHAnsi" w:hAnsiTheme="minorHAnsi" w:cstheme="minorHAnsi"/>
                <w:lang w:val="en-GB" w:eastAsia="en-GB"/>
              </w:rPr>
              <w:t>broadwaters</w:t>
            </w:r>
            <w:proofErr w:type="spellEnd"/>
            <w:r w:rsidRPr="00965907">
              <w:rPr>
                <w:rFonts w:asciiTheme="minorHAnsi" w:hAnsiTheme="minorHAnsi" w:cstheme="minorHAnsi"/>
                <w:lang w:val="en-GB" w:eastAsia="en-GB"/>
              </w:rPr>
              <w:t>, Kidderminster, DY10 2YL</w:t>
            </w:r>
          </w:p>
        </w:tc>
        <w:tc>
          <w:tcPr>
            <w:tcW w:w="2461" w:type="dxa"/>
            <w:shd w:val="clear" w:color="auto" w:fill="auto"/>
          </w:tcPr>
          <w:p w14:paraId="100218B7" w14:textId="77777777" w:rsidR="001A3D61" w:rsidRPr="00965907" w:rsidRDefault="001A3D61" w:rsidP="00A31F53">
            <w:pPr>
              <w:pStyle w:val="NormalWeb"/>
              <w:rPr>
                <w:rFonts w:asciiTheme="minorHAnsi" w:hAnsiTheme="minorHAnsi" w:cstheme="minorHAnsi"/>
                <w:lang w:val="en"/>
              </w:rPr>
            </w:pPr>
          </w:p>
        </w:tc>
      </w:tr>
      <w:tr w:rsidR="001A3D61" w:rsidRPr="00AB3F0F" w14:paraId="637A00A3" w14:textId="77777777" w:rsidTr="00A31F53">
        <w:trPr>
          <w:trHeight w:val="393"/>
        </w:trPr>
        <w:tc>
          <w:tcPr>
            <w:tcW w:w="2460" w:type="dxa"/>
            <w:shd w:val="clear" w:color="auto" w:fill="auto"/>
          </w:tcPr>
          <w:p w14:paraId="7131D564" w14:textId="77777777" w:rsidR="001A3D61" w:rsidRPr="00965907" w:rsidRDefault="001A3D61" w:rsidP="00A31F53">
            <w:pPr>
              <w:pStyle w:val="NormalWeb"/>
              <w:rPr>
                <w:rFonts w:asciiTheme="minorHAnsi" w:hAnsiTheme="minorHAnsi" w:cstheme="minorHAnsi"/>
                <w:lang w:val="en"/>
              </w:rPr>
            </w:pPr>
            <w:r w:rsidRPr="00965907">
              <w:rPr>
                <w:rFonts w:asciiTheme="minorHAnsi" w:hAnsiTheme="minorHAnsi" w:cstheme="minorHAnsi"/>
                <w:lang w:val="en"/>
              </w:rPr>
              <w:t>Berrington Court 1, Felix Baxter Drive, Kidderminster, DY11 7FH</w:t>
            </w:r>
          </w:p>
        </w:tc>
        <w:tc>
          <w:tcPr>
            <w:tcW w:w="2460" w:type="dxa"/>
            <w:shd w:val="clear" w:color="auto" w:fill="auto"/>
          </w:tcPr>
          <w:p w14:paraId="1FD45238" w14:textId="77777777" w:rsidR="001A3D61" w:rsidRPr="00965907" w:rsidRDefault="001A3D61" w:rsidP="00A31F53">
            <w:pPr>
              <w:pStyle w:val="NormalWeb"/>
              <w:rPr>
                <w:rFonts w:asciiTheme="minorHAnsi" w:hAnsiTheme="minorHAnsi" w:cstheme="minorHAnsi"/>
                <w:lang w:val="en"/>
              </w:rPr>
            </w:pPr>
            <w:r w:rsidRPr="00965907">
              <w:rPr>
                <w:rFonts w:asciiTheme="minorHAnsi" w:hAnsiTheme="minorHAnsi" w:cstheme="minorHAnsi"/>
                <w:lang w:val="en"/>
              </w:rPr>
              <w:t xml:space="preserve">Hampton Mews, Felix Baxter Drive, Kidderminster, DY11 7FG </w:t>
            </w:r>
          </w:p>
        </w:tc>
        <w:tc>
          <w:tcPr>
            <w:tcW w:w="2460" w:type="dxa"/>
            <w:shd w:val="clear" w:color="auto" w:fill="auto"/>
          </w:tcPr>
          <w:p w14:paraId="2F62EF9C" w14:textId="77777777" w:rsidR="001A3D61" w:rsidRPr="00965907" w:rsidRDefault="001A3D61" w:rsidP="00A31F53">
            <w:pPr>
              <w:pStyle w:val="NormalWeb"/>
              <w:rPr>
                <w:rFonts w:asciiTheme="minorHAnsi" w:hAnsiTheme="minorHAnsi" w:cstheme="minorHAnsi"/>
                <w:lang w:val="en"/>
              </w:rPr>
            </w:pPr>
            <w:r w:rsidRPr="00965907">
              <w:rPr>
                <w:rFonts w:asciiTheme="minorHAnsi" w:hAnsiTheme="minorHAnsi" w:cstheme="minorHAnsi"/>
                <w:lang w:val="en"/>
              </w:rPr>
              <w:t xml:space="preserve">Sion Gardens, New Street, Stourport-On-Severn, DY13 8BH </w:t>
            </w:r>
          </w:p>
        </w:tc>
        <w:tc>
          <w:tcPr>
            <w:tcW w:w="2461" w:type="dxa"/>
            <w:shd w:val="clear" w:color="auto" w:fill="auto"/>
          </w:tcPr>
          <w:p w14:paraId="018EEF2B" w14:textId="77777777" w:rsidR="001A3D61" w:rsidRPr="00965907" w:rsidRDefault="001A3D61" w:rsidP="00A31F53">
            <w:pPr>
              <w:pStyle w:val="NormalWeb"/>
              <w:rPr>
                <w:rFonts w:asciiTheme="minorHAnsi" w:hAnsiTheme="minorHAnsi" w:cstheme="minorHAnsi"/>
                <w:lang w:val="en"/>
              </w:rPr>
            </w:pPr>
          </w:p>
        </w:tc>
      </w:tr>
      <w:tr w:rsidR="001A3D61" w:rsidRPr="00AB3F0F" w14:paraId="379CBA82" w14:textId="77777777" w:rsidTr="00A31F53">
        <w:trPr>
          <w:trHeight w:val="393"/>
        </w:trPr>
        <w:tc>
          <w:tcPr>
            <w:tcW w:w="2460" w:type="dxa"/>
            <w:shd w:val="clear" w:color="auto" w:fill="auto"/>
          </w:tcPr>
          <w:p w14:paraId="5A775A03" w14:textId="77777777" w:rsidR="001A3D61" w:rsidRPr="00965907" w:rsidRDefault="001A3D61" w:rsidP="00A31F53">
            <w:pPr>
              <w:pStyle w:val="NormalWeb"/>
              <w:rPr>
                <w:rFonts w:asciiTheme="minorHAnsi" w:hAnsiTheme="minorHAnsi" w:cstheme="minorHAnsi"/>
                <w:lang w:val="en"/>
              </w:rPr>
            </w:pPr>
            <w:r w:rsidRPr="00965907">
              <w:rPr>
                <w:rFonts w:asciiTheme="minorHAnsi" w:hAnsiTheme="minorHAnsi" w:cstheme="minorHAnsi"/>
                <w:lang w:val="en"/>
              </w:rPr>
              <w:t>Berrington Court 2, Felix Baxter Drive, Kidderminster, DY11 7FH</w:t>
            </w:r>
          </w:p>
        </w:tc>
        <w:tc>
          <w:tcPr>
            <w:tcW w:w="2460" w:type="dxa"/>
            <w:shd w:val="clear" w:color="auto" w:fill="auto"/>
          </w:tcPr>
          <w:p w14:paraId="2FC50081" w14:textId="77777777" w:rsidR="001A3D61" w:rsidRPr="00965907" w:rsidRDefault="001A3D61" w:rsidP="00A31F53">
            <w:pPr>
              <w:pStyle w:val="NormalWeb"/>
              <w:rPr>
                <w:rFonts w:asciiTheme="minorHAnsi" w:hAnsiTheme="minorHAnsi" w:cstheme="minorHAnsi"/>
                <w:lang w:val="en"/>
              </w:rPr>
            </w:pPr>
            <w:r w:rsidRPr="00965907">
              <w:rPr>
                <w:rFonts w:asciiTheme="minorHAnsi" w:hAnsiTheme="minorHAnsi" w:cstheme="minorHAnsi"/>
                <w:lang w:val="en"/>
              </w:rPr>
              <w:t>Hornbeam House, Hales Park, Bewdley, DY12 2JR</w:t>
            </w:r>
          </w:p>
        </w:tc>
        <w:tc>
          <w:tcPr>
            <w:tcW w:w="2460" w:type="dxa"/>
            <w:shd w:val="clear" w:color="auto" w:fill="auto"/>
          </w:tcPr>
          <w:p w14:paraId="33B11F6B" w14:textId="77777777" w:rsidR="001A3D61" w:rsidRPr="00965907" w:rsidRDefault="001A3D61" w:rsidP="00A31F53">
            <w:pPr>
              <w:pStyle w:val="NormalWeb"/>
              <w:rPr>
                <w:rFonts w:asciiTheme="minorHAnsi" w:hAnsiTheme="minorHAnsi" w:cstheme="minorHAnsi"/>
                <w:lang w:val="en"/>
              </w:rPr>
            </w:pPr>
            <w:r w:rsidRPr="00965907">
              <w:rPr>
                <w:rFonts w:asciiTheme="minorHAnsi" w:hAnsiTheme="minorHAnsi" w:cstheme="minorHAnsi"/>
                <w:lang w:val="en"/>
              </w:rPr>
              <w:t>The Woodlands, Rifle Range, Kidderminster, DY11 7NN</w:t>
            </w:r>
          </w:p>
        </w:tc>
        <w:tc>
          <w:tcPr>
            <w:tcW w:w="2461" w:type="dxa"/>
            <w:shd w:val="clear" w:color="auto" w:fill="auto"/>
          </w:tcPr>
          <w:p w14:paraId="2D0F1B72" w14:textId="77777777" w:rsidR="001A3D61" w:rsidRPr="00965907" w:rsidRDefault="001A3D61" w:rsidP="00A31F53">
            <w:pPr>
              <w:pStyle w:val="NormalWeb"/>
              <w:rPr>
                <w:rFonts w:asciiTheme="minorHAnsi" w:hAnsiTheme="minorHAnsi" w:cstheme="minorHAnsi"/>
                <w:lang w:val="en"/>
              </w:rPr>
            </w:pPr>
          </w:p>
        </w:tc>
      </w:tr>
      <w:tr w:rsidR="001A3D61" w:rsidRPr="00AB3F0F" w14:paraId="2264C1DC" w14:textId="77777777" w:rsidTr="00A31F53">
        <w:trPr>
          <w:trHeight w:val="635"/>
        </w:trPr>
        <w:tc>
          <w:tcPr>
            <w:tcW w:w="2460" w:type="dxa"/>
            <w:shd w:val="clear" w:color="auto" w:fill="auto"/>
          </w:tcPr>
          <w:p w14:paraId="12ABDBC1" w14:textId="77777777" w:rsidR="001A3D61" w:rsidRPr="00965907" w:rsidRDefault="001A3D61" w:rsidP="00A31F53">
            <w:pPr>
              <w:pStyle w:val="NormalWeb"/>
              <w:rPr>
                <w:rFonts w:asciiTheme="minorHAnsi" w:hAnsiTheme="minorHAnsi" w:cstheme="minorHAnsi"/>
                <w:lang w:val="en"/>
              </w:rPr>
            </w:pPr>
            <w:r w:rsidRPr="00965907">
              <w:rPr>
                <w:rFonts w:asciiTheme="minorHAnsi" w:hAnsiTheme="minorHAnsi" w:cstheme="minorHAnsi"/>
                <w:lang w:val="en"/>
              </w:rPr>
              <w:t xml:space="preserve">13 Truro Drive, </w:t>
            </w:r>
            <w:proofErr w:type="spellStart"/>
            <w:proofErr w:type="gramStart"/>
            <w:r w:rsidRPr="00965907">
              <w:rPr>
                <w:rFonts w:asciiTheme="minorHAnsi" w:hAnsiTheme="minorHAnsi" w:cstheme="minorHAnsi"/>
                <w:lang w:val="en-GB" w:eastAsia="en-GB"/>
              </w:rPr>
              <w:t>Habberley</w:t>
            </w:r>
            <w:proofErr w:type="spellEnd"/>
            <w:r w:rsidRPr="00965907">
              <w:rPr>
                <w:rFonts w:asciiTheme="minorHAnsi" w:hAnsiTheme="minorHAnsi" w:cstheme="minorHAnsi"/>
                <w:lang w:val="en-GB" w:eastAsia="en-GB"/>
              </w:rPr>
              <w:t>,,</w:t>
            </w:r>
            <w:proofErr w:type="gramEnd"/>
            <w:r w:rsidRPr="00965907">
              <w:rPr>
                <w:rFonts w:asciiTheme="minorHAnsi" w:hAnsiTheme="minorHAnsi" w:cstheme="minorHAnsi"/>
                <w:lang w:val="en-GB" w:eastAsia="en-GB"/>
              </w:rPr>
              <w:t xml:space="preserve"> Kidderminster, DY11 6DN</w:t>
            </w:r>
          </w:p>
        </w:tc>
        <w:tc>
          <w:tcPr>
            <w:tcW w:w="2460" w:type="dxa"/>
            <w:shd w:val="clear" w:color="auto" w:fill="auto"/>
          </w:tcPr>
          <w:p w14:paraId="661A3C60" w14:textId="77777777" w:rsidR="001A3D61" w:rsidRPr="00965907" w:rsidRDefault="001A3D61" w:rsidP="00A31F53">
            <w:pPr>
              <w:pStyle w:val="NormalWeb"/>
              <w:rPr>
                <w:rFonts w:asciiTheme="minorHAnsi" w:hAnsiTheme="minorHAnsi" w:cstheme="minorHAnsi"/>
                <w:lang w:val="en"/>
              </w:rPr>
            </w:pPr>
            <w:r w:rsidRPr="00965907">
              <w:rPr>
                <w:rFonts w:asciiTheme="minorHAnsi" w:hAnsiTheme="minorHAnsi" w:cstheme="minorHAnsi"/>
                <w:lang w:val="en"/>
              </w:rPr>
              <w:t>Lister Road Community Centre, KIDDERMINSTER, DY11 6NN</w:t>
            </w:r>
          </w:p>
        </w:tc>
        <w:tc>
          <w:tcPr>
            <w:tcW w:w="2460" w:type="dxa"/>
            <w:shd w:val="clear" w:color="auto" w:fill="auto"/>
          </w:tcPr>
          <w:p w14:paraId="178B10BC" w14:textId="77777777" w:rsidR="001A3D61" w:rsidRPr="00965907" w:rsidRDefault="001A3D61" w:rsidP="00A31F53">
            <w:pPr>
              <w:pStyle w:val="NormalWeb"/>
              <w:rPr>
                <w:rFonts w:asciiTheme="minorHAnsi" w:hAnsiTheme="minorHAnsi" w:cstheme="minorHAnsi"/>
                <w:lang w:val="en"/>
              </w:rPr>
            </w:pPr>
            <w:proofErr w:type="spellStart"/>
            <w:r w:rsidRPr="00965907">
              <w:rPr>
                <w:rFonts w:asciiTheme="minorHAnsi" w:hAnsiTheme="minorHAnsi" w:cstheme="minorHAnsi"/>
                <w:lang w:val="en"/>
              </w:rPr>
              <w:t>Walshes</w:t>
            </w:r>
            <w:proofErr w:type="spellEnd"/>
            <w:r w:rsidRPr="00965907">
              <w:rPr>
                <w:rFonts w:asciiTheme="minorHAnsi" w:hAnsiTheme="minorHAnsi" w:cstheme="minorHAnsi"/>
                <w:lang w:val="en"/>
              </w:rPr>
              <w:t xml:space="preserve"> Community Centre</w:t>
            </w:r>
          </w:p>
        </w:tc>
        <w:tc>
          <w:tcPr>
            <w:tcW w:w="2461" w:type="dxa"/>
            <w:shd w:val="clear" w:color="auto" w:fill="auto"/>
          </w:tcPr>
          <w:p w14:paraId="4D0DB850" w14:textId="77777777" w:rsidR="001A3D61" w:rsidRPr="00965907" w:rsidRDefault="001A3D61" w:rsidP="00A31F53">
            <w:pPr>
              <w:pStyle w:val="NormalWeb"/>
              <w:rPr>
                <w:rFonts w:asciiTheme="minorHAnsi" w:hAnsiTheme="minorHAnsi" w:cstheme="minorHAnsi"/>
                <w:lang w:val="en"/>
              </w:rPr>
            </w:pPr>
          </w:p>
        </w:tc>
      </w:tr>
      <w:tr w:rsidR="001A3D61" w:rsidRPr="00AB3F0F" w14:paraId="3A15A431" w14:textId="77777777" w:rsidTr="00A31F53">
        <w:trPr>
          <w:trHeight w:val="393"/>
        </w:trPr>
        <w:tc>
          <w:tcPr>
            <w:tcW w:w="2460" w:type="dxa"/>
            <w:shd w:val="clear" w:color="auto" w:fill="auto"/>
          </w:tcPr>
          <w:p w14:paraId="0E6DE4E0" w14:textId="77777777" w:rsidR="001A3D61" w:rsidRPr="00965907" w:rsidRDefault="001A3D61" w:rsidP="00A31F53">
            <w:pPr>
              <w:pStyle w:val="NormalWeb"/>
              <w:rPr>
                <w:rFonts w:asciiTheme="minorHAnsi" w:hAnsiTheme="minorHAnsi" w:cstheme="minorHAnsi"/>
                <w:lang w:val="en"/>
              </w:rPr>
            </w:pPr>
            <w:r w:rsidRPr="00965907">
              <w:rPr>
                <w:rFonts w:asciiTheme="minorHAnsi" w:hAnsiTheme="minorHAnsi" w:cstheme="minorHAnsi"/>
                <w:lang w:val="en"/>
              </w:rPr>
              <w:t>Carter Court, Sutton Farm, Kidderminster, DY11 6PT</w:t>
            </w:r>
          </w:p>
        </w:tc>
        <w:tc>
          <w:tcPr>
            <w:tcW w:w="2460" w:type="dxa"/>
            <w:shd w:val="clear" w:color="auto" w:fill="auto"/>
          </w:tcPr>
          <w:p w14:paraId="28F21196" w14:textId="77777777" w:rsidR="001A3D61" w:rsidRPr="00965907" w:rsidRDefault="001A3D61" w:rsidP="00A31F53">
            <w:pPr>
              <w:pStyle w:val="NormalWeb"/>
              <w:rPr>
                <w:rFonts w:asciiTheme="minorHAnsi" w:hAnsiTheme="minorHAnsi" w:cstheme="minorHAnsi"/>
                <w:lang w:val="en"/>
              </w:rPr>
            </w:pPr>
            <w:r w:rsidRPr="00965907">
              <w:rPr>
                <w:rFonts w:asciiTheme="minorHAnsi" w:hAnsiTheme="minorHAnsi" w:cstheme="minorHAnsi"/>
                <w:lang w:val="en"/>
              </w:rPr>
              <w:t>Neville Court, Neville Avenue, Foley Park, Kidderminster, DY11 7AL</w:t>
            </w:r>
          </w:p>
        </w:tc>
        <w:tc>
          <w:tcPr>
            <w:tcW w:w="2460" w:type="dxa"/>
            <w:shd w:val="clear" w:color="auto" w:fill="auto"/>
          </w:tcPr>
          <w:p w14:paraId="69996169" w14:textId="77777777" w:rsidR="001A3D61" w:rsidRPr="00965907" w:rsidRDefault="001A3D61" w:rsidP="00A31F53">
            <w:pPr>
              <w:pStyle w:val="NormalWeb"/>
              <w:rPr>
                <w:rFonts w:asciiTheme="minorHAnsi" w:hAnsiTheme="minorHAnsi" w:cstheme="minorHAnsi"/>
                <w:lang w:val="en"/>
              </w:rPr>
            </w:pPr>
            <w:r w:rsidRPr="00965907">
              <w:rPr>
                <w:rFonts w:asciiTheme="minorHAnsi" w:hAnsiTheme="minorHAnsi" w:cstheme="minorHAnsi"/>
                <w:lang w:val="en"/>
              </w:rPr>
              <w:t>William Bullock Close, New Street, Stourport-On-Severn, DY13 8UG</w:t>
            </w:r>
          </w:p>
        </w:tc>
        <w:tc>
          <w:tcPr>
            <w:tcW w:w="2461" w:type="dxa"/>
            <w:shd w:val="clear" w:color="auto" w:fill="auto"/>
          </w:tcPr>
          <w:p w14:paraId="3C3AE2A5" w14:textId="77777777" w:rsidR="001A3D61" w:rsidRPr="00965907" w:rsidRDefault="001A3D61" w:rsidP="00A31F53">
            <w:pPr>
              <w:pStyle w:val="NormalWeb"/>
              <w:rPr>
                <w:rFonts w:asciiTheme="minorHAnsi" w:hAnsiTheme="minorHAnsi" w:cstheme="minorHAnsi"/>
                <w:lang w:val="en"/>
              </w:rPr>
            </w:pPr>
          </w:p>
        </w:tc>
      </w:tr>
      <w:tr w:rsidR="001A3D61" w:rsidRPr="00AB3F0F" w14:paraId="3021AD07" w14:textId="77777777" w:rsidTr="00A31F53">
        <w:trPr>
          <w:trHeight w:val="635"/>
        </w:trPr>
        <w:tc>
          <w:tcPr>
            <w:tcW w:w="2460" w:type="dxa"/>
            <w:shd w:val="clear" w:color="auto" w:fill="auto"/>
          </w:tcPr>
          <w:p w14:paraId="6B48B3E1" w14:textId="77777777" w:rsidR="001A3D61" w:rsidRPr="00965907" w:rsidRDefault="001A3D61" w:rsidP="00A31F53">
            <w:pPr>
              <w:pStyle w:val="NormalWeb"/>
              <w:rPr>
                <w:rFonts w:asciiTheme="minorHAnsi" w:hAnsiTheme="minorHAnsi" w:cstheme="minorHAnsi"/>
                <w:lang w:val="en"/>
              </w:rPr>
            </w:pPr>
            <w:r w:rsidRPr="00965907">
              <w:rPr>
                <w:rFonts w:asciiTheme="minorHAnsi" w:hAnsiTheme="minorHAnsi" w:cstheme="minorHAnsi"/>
                <w:lang w:val="en"/>
              </w:rPr>
              <w:t xml:space="preserve">Coniston House, </w:t>
            </w:r>
            <w:proofErr w:type="spellStart"/>
            <w:r w:rsidRPr="00965907">
              <w:rPr>
                <w:rFonts w:asciiTheme="minorHAnsi" w:hAnsiTheme="minorHAnsi" w:cstheme="minorHAnsi"/>
                <w:lang w:val="en"/>
              </w:rPr>
              <w:t>Hurcott</w:t>
            </w:r>
            <w:proofErr w:type="spellEnd"/>
            <w:r w:rsidRPr="00965907">
              <w:rPr>
                <w:rFonts w:asciiTheme="minorHAnsi" w:hAnsiTheme="minorHAnsi" w:cstheme="minorHAnsi"/>
                <w:lang w:val="en"/>
              </w:rPr>
              <w:t xml:space="preserve"> Road, </w:t>
            </w:r>
            <w:proofErr w:type="spellStart"/>
            <w:r w:rsidRPr="00965907">
              <w:rPr>
                <w:rFonts w:asciiTheme="minorHAnsi" w:hAnsiTheme="minorHAnsi" w:cstheme="minorHAnsi"/>
                <w:lang w:val="en"/>
              </w:rPr>
              <w:t>Hurcott</w:t>
            </w:r>
            <w:proofErr w:type="spellEnd"/>
            <w:r w:rsidRPr="00965907">
              <w:rPr>
                <w:rFonts w:asciiTheme="minorHAnsi" w:hAnsiTheme="minorHAnsi" w:cstheme="minorHAnsi"/>
                <w:lang w:val="en"/>
              </w:rPr>
              <w:t xml:space="preserve">, Kidderminster, DY10 2PA </w:t>
            </w:r>
          </w:p>
        </w:tc>
        <w:tc>
          <w:tcPr>
            <w:tcW w:w="2460" w:type="dxa"/>
            <w:shd w:val="clear" w:color="auto" w:fill="auto"/>
          </w:tcPr>
          <w:p w14:paraId="5F29B4E6" w14:textId="77777777" w:rsidR="001A3D61" w:rsidRPr="00965907" w:rsidRDefault="001A3D61" w:rsidP="00A31F53">
            <w:pPr>
              <w:pStyle w:val="NormalWeb"/>
              <w:rPr>
                <w:rFonts w:asciiTheme="minorHAnsi" w:hAnsiTheme="minorHAnsi" w:cstheme="minorHAnsi"/>
                <w:lang w:val="en"/>
              </w:rPr>
            </w:pPr>
            <w:r w:rsidRPr="00965907">
              <w:rPr>
                <w:rFonts w:asciiTheme="minorHAnsi" w:hAnsiTheme="minorHAnsi" w:cstheme="minorHAnsi"/>
                <w:lang w:val="en"/>
              </w:rPr>
              <w:t xml:space="preserve">Oakleaf House, </w:t>
            </w:r>
            <w:proofErr w:type="spellStart"/>
            <w:r w:rsidRPr="00965907">
              <w:rPr>
                <w:rFonts w:asciiTheme="minorHAnsi" w:hAnsiTheme="minorHAnsi" w:cstheme="minorHAnsi"/>
                <w:lang w:val="en-GB" w:eastAsia="en-GB"/>
              </w:rPr>
              <w:t>Finepoint</w:t>
            </w:r>
            <w:proofErr w:type="spellEnd"/>
            <w:r w:rsidRPr="00965907">
              <w:rPr>
                <w:rFonts w:asciiTheme="minorHAnsi" w:hAnsiTheme="minorHAnsi" w:cstheme="minorHAnsi"/>
                <w:lang w:val="en-GB" w:eastAsia="en-GB"/>
              </w:rPr>
              <w:t xml:space="preserve"> Way, Kidderminster, DY117FE</w:t>
            </w:r>
          </w:p>
        </w:tc>
        <w:tc>
          <w:tcPr>
            <w:tcW w:w="2460" w:type="dxa"/>
            <w:shd w:val="clear" w:color="auto" w:fill="auto"/>
          </w:tcPr>
          <w:p w14:paraId="5E0DC6A0" w14:textId="77777777" w:rsidR="001A3D61" w:rsidRPr="00965907" w:rsidRDefault="001A3D61" w:rsidP="00A31F53">
            <w:pPr>
              <w:pStyle w:val="NormalWeb"/>
              <w:rPr>
                <w:rFonts w:asciiTheme="minorHAnsi" w:hAnsiTheme="minorHAnsi" w:cstheme="minorHAnsi"/>
                <w:lang w:val="en"/>
              </w:rPr>
            </w:pPr>
            <w:r w:rsidRPr="00965907">
              <w:rPr>
                <w:rFonts w:asciiTheme="minorHAnsi" w:hAnsiTheme="minorHAnsi" w:cstheme="minorHAnsi"/>
                <w:lang w:val="en"/>
              </w:rPr>
              <w:t>Willow Court Community Room, KIDDERMINSTER, DY11 5AU</w:t>
            </w:r>
          </w:p>
        </w:tc>
        <w:tc>
          <w:tcPr>
            <w:tcW w:w="2461" w:type="dxa"/>
            <w:shd w:val="clear" w:color="auto" w:fill="auto"/>
          </w:tcPr>
          <w:p w14:paraId="5189D79E" w14:textId="77777777" w:rsidR="001A3D61" w:rsidRPr="00965907" w:rsidRDefault="001A3D61" w:rsidP="00A31F53">
            <w:pPr>
              <w:pStyle w:val="NormalWeb"/>
              <w:rPr>
                <w:rFonts w:asciiTheme="minorHAnsi" w:hAnsiTheme="minorHAnsi" w:cstheme="minorHAnsi"/>
                <w:lang w:val="en"/>
              </w:rPr>
            </w:pPr>
          </w:p>
        </w:tc>
      </w:tr>
      <w:tr w:rsidR="001A3D61" w:rsidRPr="00AB3F0F" w14:paraId="1B9F9615" w14:textId="77777777" w:rsidTr="00A31F53">
        <w:trPr>
          <w:trHeight w:val="378"/>
        </w:trPr>
        <w:tc>
          <w:tcPr>
            <w:tcW w:w="2460" w:type="dxa"/>
            <w:shd w:val="clear" w:color="auto" w:fill="auto"/>
          </w:tcPr>
          <w:p w14:paraId="16F7BD36" w14:textId="77777777" w:rsidR="001A3D61" w:rsidRPr="00965907" w:rsidRDefault="001A3D61" w:rsidP="00A31F53">
            <w:pPr>
              <w:pStyle w:val="NormalWeb"/>
              <w:rPr>
                <w:rFonts w:asciiTheme="minorHAnsi" w:hAnsiTheme="minorHAnsi" w:cstheme="minorHAnsi"/>
                <w:lang w:val="en"/>
              </w:rPr>
            </w:pPr>
            <w:r w:rsidRPr="00965907">
              <w:rPr>
                <w:rFonts w:asciiTheme="minorHAnsi" w:hAnsiTheme="minorHAnsi" w:cstheme="minorHAnsi"/>
                <w:lang w:val="en"/>
              </w:rPr>
              <w:t xml:space="preserve">Derwent House, </w:t>
            </w:r>
            <w:proofErr w:type="spellStart"/>
            <w:r w:rsidRPr="00965907">
              <w:rPr>
                <w:rFonts w:asciiTheme="minorHAnsi" w:hAnsiTheme="minorHAnsi" w:cstheme="minorHAnsi"/>
                <w:lang w:val="en"/>
              </w:rPr>
              <w:t>Hurcott</w:t>
            </w:r>
            <w:proofErr w:type="spellEnd"/>
            <w:r w:rsidRPr="00965907">
              <w:rPr>
                <w:rFonts w:asciiTheme="minorHAnsi" w:hAnsiTheme="minorHAnsi" w:cstheme="minorHAnsi"/>
                <w:lang w:val="en"/>
              </w:rPr>
              <w:t xml:space="preserve"> Road, </w:t>
            </w:r>
            <w:proofErr w:type="spellStart"/>
            <w:r w:rsidRPr="00965907">
              <w:rPr>
                <w:rFonts w:asciiTheme="minorHAnsi" w:hAnsiTheme="minorHAnsi" w:cstheme="minorHAnsi"/>
                <w:lang w:val="en"/>
              </w:rPr>
              <w:t>Hurcott</w:t>
            </w:r>
            <w:proofErr w:type="spellEnd"/>
            <w:r w:rsidRPr="00965907">
              <w:rPr>
                <w:rFonts w:asciiTheme="minorHAnsi" w:hAnsiTheme="minorHAnsi" w:cstheme="minorHAnsi"/>
                <w:lang w:val="en"/>
              </w:rPr>
              <w:t xml:space="preserve">, Kidderminster, DY10 2PA </w:t>
            </w:r>
          </w:p>
        </w:tc>
        <w:tc>
          <w:tcPr>
            <w:tcW w:w="2460" w:type="dxa"/>
            <w:shd w:val="clear" w:color="auto" w:fill="auto"/>
          </w:tcPr>
          <w:p w14:paraId="39228806" w14:textId="77777777" w:rsidR="001A3D61" w:rsidRPr="00965907" w:rsidRDefault="001A3D61" w:rsidP="00A31F53">
            <w:pPr>
              <w:pStyle w:val="NormalWeb"/>
              <w:rPr>
                <w:rFonts w:asciiTheme="minorHAnsi" w:hAnsiTheme="minorHAnsi" w:cstheme="minorHAnsi"/>
                <w:lang w:val="en"/>
              </w:rPr>
            </w:pPr>
            <w:r w:rsidRPr="00965907">
              <w:rPr>
                <w:rFonts w:asciiTheme="minorHAnsi" w:hAnsiTheme="minorHAnsi" w:cstheme="minorHAnsi"/>
                <w:lang w:val="en"/>
              </w:rPr>
              <w:t>Purcell House, Kidderminster Town, Kidderminster, DY10 2JA</w:t>
            </w:r>
          </w:p>
        </w:tc>
        <w:tc>
          <w:tcPr>
            <w:tcW w:w="2460" w:type="dxa"/>
            <w:shd w:val="clear" w:color="auto" w:fill="auto"/>
          </w:tcPr>
          <w:p w14:paraId="7CC92BFD" w14:textId="77777777" w:rsidR="001A3D61" w:rsidRPr="00965907" w:rsidRDefault="001A3D61" w:rsidP="00A31F53">
            <w:pPr>
              <w:pStyle w:val="NormalWeb"/>
              <w:rPr>
                <w:rFonts w:asciiTheme="minorHAnsi" w:hAnsiTheme="minorHAnsi" w:cstheme="minorHAnsi"/>
                <w:lang w:val="en"/>
              </w:rPr>
            </w:pPr>
            <w:r w:rsidRPr="00965907">
              <w:rPr>
                <w:rFonts w:asciiTheme="minorHAnsi" w:hAnsiTheme="minorHAnsi" w:cstheme="minorHAnsi"/>
                <w:lang w:val="en"/>
              </w:rPr>
              <w:t xml:space="preserve">Windermere House, </w:t>
            </w:r>
            <w:proofErr w:type="spellStart"/>
            <w:r w:rsidRPr="00965907">
              <w:rPr>
                <w:rFonts w:asciiTheme="minorHAnsi" w:hAnsiTheme="minorHAnsi" w:cstheme="minorHAnsi"/>
                <w:lang w:val="en"/>
              </w:rPr>
              <w:t>Hurcott</w:t>
            </w:r>
            <w:proofErr w:type="spellEnd"/>
            <w:r w:rsidRPr="00965907">
              <w:rPr>
                <w:rFonts w:asciiTheme="minorHAnsi" w:hAnsiTheme="minorHAnsi" w:cstheme="minorHAnsi"/>
                <w:lang w:val="en"/>
              </w:rPr>
              <w:t xml:space="preserve"> Road, </w:t>
            </w:r>
            <w:proofErr w:type="spellStart"/>
            <w:r w:rsidRPr="00965907">
              <w:rPr>
                <w:rFonts w:asciiTheme="minorHAnsi" w:hAnsiTheme="minorHAnsi" w:cstheme="minorHAnsi"/>
                <w:lang w:val="en"/>
              </w:rPr>
              <w:t>Hurcott</w:t>
            </w:r>
            <w:proofErr w:type="spellEnd"/>
            <w:r w:rsidRPr="00965907">
              <w:rPr>
                <w:rFonts w:asciiTheme="minorHAnsi" w:hAnsiTheme="minorHAnsi" w:cstheme="minorHAnsi"/>
                <w:lang w:val="en"/>
              </w:rPr>
              <w:t>, Kidderminster, DY10 2PA</w:t>
            </w:r>
          </w:p>
        </w:tc>
        <w:tc>
          <w:tcPr>
            <w:tcW w:w="2461" w:type="dxa"/>
            <w:shd w:val="clear" w:color="auto" w:fill="auto"/>
          </w:tcPr>
          <w:p w14:paraId="4CA972A2" w14:textId="77777777" w:rsidR="001A3D61" w:rsidRPr="00965907" w:rsidRDefault="001A3D61" w:rsidP="00A31F53">
            <w:pPr>
              <w:pStyle w:val="NormalWeb"/>
              <w:rPr>
                <w:rFonts w:asciiTheme="minorHAnsi" w:hAnsiTheme="minorHAnsi" w:cstheme="minorHAnsi"/>
                <w:lang w:val="en"/>
              </w:rPr>
            </w:pPr>
          </w:p>
        </w:tc>
      </w:tr>
      <w:tr w:rsidR="001A3D61" w:rsidRPr="00AB3F0F" w14:paraId="2D5E7B02" w14:textId="77777777" w:rsidTr="00A31F53">
        <w:trPr>
          <w:trHeight w:val="635"/>
        </w:trPr>
        <w:tc>
          <w:tcPr>
            <w:tcW w:w="2460" w:type="dxa"/>
            <w:shd w:val="clear" w:color="auto" w:fill="auto"/>
          </w:tcPr>
          <w:p w14:paraId="544D6650" w14:textId="77777777" w:rsidR="001A3D61" w:rsidRPr="00965907" w:rsidRDefault="001A3D61" w:rsidP="00A31F53">
            <w:pPr>
              <w:pStyle w:val="NormalWeb"/>
              <w:rPr>
                <w:rFonts w:asciiTheme="minorHAnsi" w:hAnsiTheme="minorHAnsi" w:cstheme="minorHAnsi"/>
                <w:lang w:val="en"/>
              </w:rPr>
            </w:pPr>
            <w:proofErr w:type="spellStart"/>
            <w:r w:rsidRPr="00965907">
              <w:rPr>
                <w:rFonts w:asciiTheme="minorHAnsi" w:hAnsiTheme="minorHAnsi" w:cstheme="minorHAnsi"/>
                <w:lang w:val="en"/>
              </w:rPr>
              <w:lastRenderedPageBreak/>
              <w:t>Drumart</w:t>
            </w:r>
            <w:proofErr w:type="spellEnd"/>
            <w:r w:rsidRPr="00965907">
              <w:rPr>
                <w:rFonts w:asciiTheme="minorHAnsi" w:hAnsiTheme="minorHAnsi" w:cstheme="minorHAnsi"/>
                <w:lang w:val="en"/>
              </w:rPr>
              <w:t xml:space="preserve"> House, </w:t>
            </w:r>
            <w:proofErr w:type="spellStart"/>
            <w:r w:rsidRPr="00965907">
              <w:rPr>
                <w:rFonts w:asciiTheme="minorHAnsi" w:hAnsiTheme="minorHAnsi" w:cstheme="minorHAnsi"/>
                <w:lang w:val="en"/>
              </w:rPr>
              <w:t>Austcliffe</w:t>
            </w:r>
            <w:proofErr w:type="spellEnd"/>
            <w:r w:rsidRPr="00965907">
              <w:rPr>
                <w:rFonts w:asciiTheme="minorHAnsi" w:hAnsiTheme="minorHAnsi" w:cstheme="minorHAnsi"/>
                <w:lang w:val="en"/>
              </w:rPr>
              <w:t xml:space="preserve"> Road, </w:t>
            </w:r>
            <w:proofErr w:type="spellStart"/>
            <w:r w:rsidRPr="00965907">
              <w:rPr>
                <w:rFonts w:asciiTheme="minorHAnsi" w:hAnsiTheme="minorHAnsi" w:cstheme="minorHAnsi"/>
                <w:lang w:val="en"/>
              </w:rPr>
              <w:t>Cookley</w:t>
            </w:r>
            <w:proofErr w:type="spellEnd"/>
            <w:r w:rsidRPr="00965907">
              <w:rPr>
                <w:rFonts w:asciiTheme="minorHAnsi" w:hAnsiTheme="minorHAnsi" w:cstheme="minorHAnsi"/>
                <w:lang w:val="en"/>
              </w:rPr>
              <w:t>, Kidderminster, DY10 3UP</w:t>
            </w:r>
          </w:p>
        </w:tc>
        <w:tc>
          <w:tcPr>
            <w:tcW w:w="2460" w:type="dxa"/>
            <w:shd w:val="clear" w:color="auto" w:fill="auto"/>
          </w:tcPr>
          <w:p w14:paraId="385AFE3A" w14:textId="77777777" w:rsidR="001A3D61" w:rsidRPr="00965907" w:rsidRDefault="001A3D61" w:rsidP="00A31F53">
            <w:pPr>
              <w:pStyle w:val="Default"/>
              <w:rPr>
                <w:rFonts w:asciiTheme="minorHAnsi" w:hAnsiTheme="minorHAnsi" w:cstheme="minorHAnsi"/>
              </w:rPr>
            </w:pPr>
            <w:r w:rsidRPr="00965907">
              <w:rPr>
                <w:rFonts w:asciiTheme="minorHAnsi" w:hAnsiTheme="minorHAnsi" w:cstheme="minorHAnsi"/>
                <w:lang w:val="en"/>
              </w:rPr>
              <w:t xml:space="preserve">116 Queen Elizabeth Road, </w:t>
            </w:r>
          </w:p>
          <w:p w14:paraId="15D7D7E1" w14:textId="77777777" w:rsidR="001A3D61" w:rsidRPr="00965907" w:rsidRDefault="001A3D61" w:rsidP="00A31F53">
            <w:pPr>
              <w:pStyle w:val="NormalWeb"/>
              <w:rPr>
                <w:rFonts w:asciiTheme="minorHAnsi" w:hAnsiTheme="minorHAnsi" w:cstheme="minorHAnsi"/>
                <w:lang w:val="en"/>
              </w:rPr>
            </w:pPr>
            <w:r w:rsidRPr="00965907">
              <w:rPr>
                <w:rFonts w:asciiTheme="minorHAnsi" w:hAnsiTheme="minorHAnsi" w:cstheme="minorHAnsi"/>
                <w:color w:val="000000"/>
                <w:lang w:val="en-GB" w:eastAsia="en-GB"/>
              </w:rPr>
              <w:t xml:space="preserve"> (</w:t>
            </w:r>
            <w:proofErr w:type="spellStart"/>
            <w:proofErr w:type="gramStart"/>
            <w:r w:rsidRPr="00965907">
              <w:rPr>
                <w:rFonts w:asciiTheme="minorHAnsi" w:hAnsiTheme="minorHAnsi" w:cstheme="minorHAnsi"/>
                <w:color w:val="000000"/>
                <w:lang w:val="en-GB" w:eastAsia="en-GB"/>
              </w:rPr>
              <w:t>adj</w:t>
            </w:r>
            <w:proofErr w:type="spellEnd"/>
            <w:proofErr w:type="gramEnd"/>
            <w:r w:rsidRPr="00965907">
              <w:rPr>
                <w:rFonts w:asciiTheme="minorHAnsi" w:hAnsiTheme="minorHAnsi" w:cstheme="minorHAnsi"/>
                <w:color w:val="000000"/>
                <w:lang w:val="en-GB" w:eastAsia="en-GB"/>
              </w:rPr>
              <w:t xml:space="preserve"> to 114, </w:t>
            </w:r>
            <w:proofErr w:type="spellStart"/>
            <w:r w:rsidRPr="00965907">
              <w:rPr>
                <w:rFonts w:asciiTheme="minorHAnsi" w:hAnsiTheme="minorHAnsi" w:cstheme="minorHAnsi"/>
                <w:color w:val="000000"/>
                <w:lang w:val="en-GB" w:eastAsia="en-GB"/>
              </w:rPr>
              <w:t>Comberton</w:t>
            </w:r>
            <w:proofErr w:type="spellEnd"/>
            <w:r w:rsidRPr="00965907">
              <w:rPr>
                <w:rFonts w:asciiTheme="minorHAnsi" w:hAnsiTheme="minorHAnsi" w:cstheme="minorHAnsi"/>
                <w:color w:val="000000"/>
                <w:lang w:val="en-GB" w:eastAsia="en-GB"/>
              </w:rPr>
              <w:t>, Kidderminster, DY10 3BG</w:t>
            </w:r>
          </w:p>
        </w:tc>
        <w:tc>
          <w:tcPr>
            <w:tcW w:w="2460" w:type="dxa"/>
            <w:shd w:val="clear" w:color="auto" w:fill="auto"/>
          </w:tcPr>
          <w:p w14:paraId="1481A04B" w14:textId="77777777" w:rsidR="001A3D61" w:rsidRPr="00965907" w:rsidRDefault="001A3D61" w:rsidP="00A31F53">
            <w:pPr>
              <w:pStyle w:val="NormalWeb"/>
              <w:rPr>
                <w:rFonts w:asciiTheme="minorHAnsi" w:hAnsiTheme="minorHAnsi" w:cstheme="minorHAnsi"/>
                <w:lang w:val="en"/>
              </w:rPr>
            </w:pPr>
            <w:r w:rsidRPr="00965907">
              <w:rPr>
                <w:rFonts w:asciiTheme="minorHAnsi" w:hAnsiTheme="minorHAnsi" w:cstheme="minorHAnsi"/>
                <w:lang w:val="en"/>
              </w:rPr>
              <w:t xml:space="preserve">56 Worcester Road, </w:t>
            </w:r>
            <w:r w:rsidRPr="00965907">
              <w:rPr>
                <w:rFonts w:asciiTheme="minorHAnsi" w:hAnsiTheme="minorHAnsi" w:cstheme="minorHAnsi"/>
                <w:lang w:val="en-GB" w:eastAsia="en-GB"/>
              </w:rPr>
              <w:t xml:space="preserve">56 Worcester </w:t>
            </w:r>
            <w:proofErr w:type="spellStart"/>
            <w:proofErr w:type="gramStart"/>
            <w:r w:rsidRPr="00965907">
              <w:rPr>
                <w:rFonts w:asciiTheme="minorHAnsi" w:hAnsiTheme="minorHAnsi" w:cstheme="minorHAnsi"/>
                <w:lang w:val="en-GB" w:eastAsia="en-GB"/>
              </w:rPr>
              <w:t>Road,Hoobrook</w:t>
            </w:r>
            <w:proofErr w:type="spellEnd"/>
            <w:r w:rsidRPr="00965907">
              <w:rPr>
                <w:rFonts w:asciiTheme="minorHAnsi" w:hAnsiTheme="minorHAnsi" w:cstheme="minorHAnsi"/>
                <w:lang w:val="en-GB" w:eastAsia="en-GB"/>
              </w:rPr>
              <w:t>,,</w:t>
            </w:r>
            <w:proofErr w:type="gramEnd"/>
            <w:r w:rsidRPr="00965907">
              <w:rPr>
                <w:rFonts w:asciiTheme="minorHAnsi" w:hAnsiTheme="minorHAnsi" w:cstheme="minorHAnsi"/>
                <w:lang w:val="en-GB" w:eastAsia="en-GB"/>
              </w:rPr>
              <w:t xml:space="preserve"> Kidderminster,, DY10 1LB,</w:t>
            </w:r>
          </w:p>
        </w:tc>
        <w:tc>
          <w:tcPr>
            <w:tcW w:w="2461" w:type="dxa"/>
            <w:shd w:val="clear" w:color="auto" w:fill="auto"/>
          </w:tcPr>
          <w:p w14:paraId="4BEF10A6" w14:textId="77777777" w:rsidR="001A3D61" w:rsidRPr="00965907" w:rsidRDefault="001A3D61" w:rsidP="00A31F53">
            <w:pPr>
              <w:pStyle w:val="NormalWeb"/>
              <w:rPr>
                <w:rFonts w:asciiTheme="minorHAnsi" w:hAnsiTheme="minorHAnsi" w:cstheme="minorHAnsi"/>
                <w:lang w:val="en"/>
              </w:rPr>
            </w:pPr>
          </w:p>
        </w:tc>
      </w:tr>
    </w:tbl>
    <w:p w14:paraId="46A94A41" w14:textId="77777777" w:rsidR="001A3D61" w:rsidRPr="00EC6E9F" w:rsidRDefault="001A3D61" w:rsidP="001A0B10">
      <w:pPr>
        <w:rPr>
          <w:rFonts w:cstheme="minorHAnsi"/>
          <w:sz w:val="24"/>
          <w:szCs w:val="24"/>
        </w:rPr>
      </w:pPr>
    </w:p>
    <w:p w14:paraId="35FB90D6" w14:textId="1584F932" w:rsidR="001A0B10" w:rsidRPr="00EC6E9F" w:rsidRDefault="001A0B10" w:rsidP="001A0B10">
      <w:pPr>
        <w:rPr>
          <w:rFonts w:cstheme="minorHAnsi"/>
          <w:sz w:val="24"/>
          <w:szCs w:val="24"/>
        </w:rPr>
      </w:pPr>
      <w:r w:rsidRPr="00EC6E9F">
        <w:rPr>
          <w:rFonts w:cstheme="minorHAnsi"/>
          <w:b/>
          <w:bCs/>
          <w:sz w:val="24"/>
          <w:szCs w:val="24"/>
          <w:u w:val="single"/>
        </w:rPr>
        <w:t>B</w:t>
      </w:r>
      <w:r w:rsidR="00EC6E9F" w:rsidRPr="00EC6E9F">
        <w:rPr>
          <w:rFonts w:cstheme="minorHAnsi"/>
          <w:b/>
          <w:bCs/>
          <w:sz w:val="24"/>
          <w:szCs w:val="24"/>
          <w:u w:val="single"/>
        </w:rPr>
        <w:t>ackground</w:t>
      </w:r>
    </w:p>
    <w:p w14:paraId="0EF02302" w14:textId="495C0462" w:rsidR="001A0B10" w:rsidRPr="00EC6E9F" w:rsidRDefault="001A0B10" w:rsidP="001A0B10">
      <w:pPr>
        <w:rPr>
          <w:rFonts w:cstheme="minorHAnsi"/>
          <w:sz w:val="24"/>
          <w:szCs w:val="24"/>
        </w:rPr>
      </w:pPr>
      <w:r w:rsidRPr="00EC6E9F">
        <w:rPr>
          <w:rFonts w:cstheme="minorHAnsi"/>
          <w:sz w:val="24"/>
          <w:szCs w:val="24"/>
        </w:rPr>
        <w:t xml:space="preserve">The purpose of this commission is to outline and record a descriptive plan of the extent, </w:t>
      </w:r>
      <w:proofErr w:type="gramStart"/>
      <w:r w:rsidRPr="00EC6E9F">
        <w:rPr>
          <w:rFonts w:cstheme="minorHAnsi"/>
          <w:sz w:val="24"/>
          <w:szCs w:val="24"/>
        </w:rPr>
        <w:t>condition</w:t>
      </w:r>
      <w:proofErr w:type="gramEnd"/>
      <w:r w:rsidRPr="00EC6E9F">
        <w:rPr>
          <w:rFonts w:cstheme="minorHAnsi"/>
          <w:sz w:val="24"/>
          <w:szCs w:val="24"/>
        </w:rPr>
        <w:t xml:space="preserve"> and design of all water-based systems at all properties included those on the extensive address list.</w:t>
      </w:r>
    </w:p>
    <w:p w14:paraId="2D7BBF39" w14:textId="7A8D0A38" w:rsidR="001A0B10" w:rsidRPr="00EC6E9F" w:rsidRDefault="001A0B10" w:rsidP="001A0B10">
      <w:pPr>
        <w:rPr>
          <w:rFonts w:cstheme="minorHAnsi"/>
          <w:sz w:val="24"/>
          <w:szCs w:val="24"/>
        </w:rPr>
      </w:pPr>
      <w:r w:rsidRPr="00EC6E9F">
        <w:rPr>
          <w:rFonts w:cstheme="minorHAnsi"/>
          <w:sz w:val="24"/>
          <w:szCs w:val="24"/>
        </w:rPr>
        <w:t>Legionellosis management and control risk assessment surveys are to be carried out in order to allow site management to instigate any remedial or on-goings works, or the setting up of on-going monitoring and maintenance plans.</w:t>
      </w:r>
    </w:p>
    <w:p w14:paraId="7F63A9B9" w14:textId="023D4CDE" w:rsidR="001A0B10" w:rsidRPr="00EC6E9F" w:rsidRDefault="001A0B10" w:rsidP="001A0B10">
      <w:pPr>
        <w:rPr>
          <w:rFonts w:cstheme="minorHAnsi"/>
          <w:sz w:val="24"/>
          <w:szCs w:val="24"/>
        </w:rPr>
      </w:pPr>
      <w:r w:rsidRPr="00EC6E9F">
        <w:rPr>
          <w:rFonts w:cstheme="minorHAnsi"/>
          <w:sz w:val="24"/>
          <w:szCs w:val="24"/>
        </w:rPr>
        <w:t>The appointed contractor will not be required to provide quotations for any remedial works identified as part of the risk assessment.</w:t>
      </w:r>
    </w:p>
    <w:p w14:paraId="22479702" w14:textId="5FA29950" w:rsidR="00EC6E9F" w:rsidRPr="00EC6E9F" w:rsidRDefault="001A0B10" w:rsidP="001A0B10">
      <w:pPr>
        <w:rPr>
          <w:rFonts w:cstheme="minorHAnsi"/>
          <w:sz w:val="24"/>
          <w:szCs w:val="24"/>
        </w:rPr>
      </w:pPr>
      <w:r w:rsidRPr="00EC6E9F">
        <w:rPr>
          <w:rFonts w:cstheme="minorHAnsi"/>
          <w:sz w:val="24"/>
          <w:szCs w:val="24"/>
        </w:rPr>
        <w:t>Community Housing has both low- and high-rise buildings. These consist of sheltered housing, general needs, community centres and office blocks within the remit for this contract. Details of the number of units are specified above.</w:t>
      </w:r>
    </w:p>
    <w:p w14:paraId="3179F550" w14:textId="4F1217EA" w:rsidR="001A0B10" w:rsidRPr="00EC6E9F" w:rsidRDefault="001A0B10" w:rsidP="001A0B10">
      <w:pPr>
        <w:rPr>
          <w:rFonts w:cstheme="minorHAnsi"/>
          <w:b/>
          <w:bCs/>
          <w:sz w:val="24"/>
          <w:szCs w:val="24"/>
          <w:u w:val="single"/>
        </w:rPr>
      </w:pPr>
      <w:r w:rsidRPr="00EC6E9F">
        <w:rPr>
          <w:rFonts w:cstheme="minorHAnsi"/>
          <w:b/>
          <w:bCs/>
          <w:sz w:val="24"/>
          <w:szCs w:val="24"/>
          <w:u w:val="single"/>
        </w:rPr>
        <w:t>Other requirements and further expansion of this commission is as follows:</w:t>
      </w:r>
    </w:p>
    <w:p w14:paraId="2EC4D0A3" w14:textId="1A48E98D" w:rsidR="001A0B10" w:rsidRPr="00EC6E9F" w:rsidRDefault="001A0B10" w:rsidP="001A0B10">
      <w:pPr>
        <w:pStyle w:val="ListParagraph"/>
        <w:numPr>
          <w:ilvl w:val="0"/>
          <w:numId w:val="1"/>
        </w:numPr>
        <w:rPr>
          <w:rFonts w:cstheme="minorHAnsi"/>
          <w:sz w:val="24"/>
          <w:szCs w:val="24"/>
        </w:rPr>
      </w:pPr>
      <w:r w:rsidRPr="00EC6E9F">
        <w:rPr>
          <w:rFonts w:cstheme="minorHAnsi"/>
          <w:sz w:val="24"/>
          <w:szCs w:val="24"/>
        </w:rPr>
        <w:t>The consultant will visit each property identified in the address list to survey and subsequently provide a Legionellosis Management and Control Risk Assessment Report. These will be carried out on a bi-annual basis.</w:t>
      </w:r>
    </w:p>
    <w:p w14:paraId="4A83EB4E" w14:textId="14EC5ADB" w:rsidR="00EC6E9F" w:rsidRPr="00EC6E9F" w:rsidRDefault="001A0B10" w:rsidP="00EC6E9F">
      <w:pPr>
        <w:pStyle w:val="ListParagraph"/>
        <w:numPr>
          <w:ilvl w:val="0"/>
          <w:numId w:val="1"/>
        </w:numPr>
        <w:rPr>
          <w:rFonts w:cstheme="minorHAnsi"/>
          <w:sz w:val="24"/>
          <w:szCs w:val="24"/>
        </w:rPr>
      </w:pPr>
      <w:r w:rsidRPr="00EC6E9F">
        <w:rPr>
          <w:rFonts w:cstheme="minorHAnsi"/>
          <w:sz w:val="24"/>
          <w:szCs w:val="24"/>
        </w:rPr>
        <w:t>The reports must comply with relevant legislation and guidance given in Health &amp; Safety Commission Approved Code of Practice, and subsequent Guidance L8.</w:t>
      </w:r>
    </w:p>
    <w:p w14:paraId="102C8772" w14:textId="456CBEC0" w:rsidR="001A0B10" w:rsidRPr="00EC6E9F" w:rsidRDefault="001A0B10" w:rsidP="001A0B10">
      <w:pPr>
        <w:rPr>
          <w:rFonts w:cstheme="minorHAnsi"/>
          <w:b/>
          <w:bCs/>
          <w:sz w:val="24"/>
          <w:szCs w:val="24"/>
          <w:u w:val="single"/>
        </w:rPr>
      </w:pPr>
      <w:r w:rsidRPr="00EC6E9F">
        <w:rPr>
          <w:rFonts w:cstheme="minorHAnsi"/>
          <w:b/>
          <w:bCs/>
          <w:sz w:val="24"/>
          <w:szCs w:val="24"/>
          <w:u w:val="single"/>
        </w:rPr>
        <w:t>The survey and report will outline and place on record the design and condition of all water systems within the building, as follows:</w:t>
      </w:r>
    </w:p>
    <w:p w14:paraId="6B7F6A16" w14:textId="77777777" w:rsidR="001A0B10" w:rsidRPr="00EC6E9F" w:rsidRDefault="001A0B10" w:rsidP="001A0B10">
      <w:pPr>
        <w:pStyle w:val="ListParagraph"/>
        <w:numPr>
          <w:ilvl w:val="0"/>
          <w:numId w:val="2"/>
        </w:numPr>
        <w:rPr>
          <w:rFonts w:cstheme="minorHAnsi"/>
          <w:sz w:val="24"/>
          <w:szCs w:val="24"/>
        </w:rPr>
      </w:pPr>
      <w:r w:rsidRPr="00EC6E9F">
        <w:rPr>
          <w:rFonts w:cstheme="minorHAnsi"/>
          <w:sz w:val="24"/>
          <w:szCs w:val="24"/>
        </w:rPr>
        <w:t>Details of any risk posed in the design and installation of the distribution and supply pipe work that may lead to bacterial contamination, particularly Legionella species should be highlighted, and recommendations made.</w:t>
      </w:r>
    </w:p>
    <w:p w14:paraId="1215BA91" w14:textId="41270719" w:rsidR="001A0B10" w:rsidRPr="00EC6E9F" w:rsidRDefault="001A0B10" w:rsidP="001A0B10">
      <w:pPr>
        <w:pStyle w:val="ListParagraph"/>
        <w:numPr>
          <w:ilvl w:val="0"/>
          <w:numId w:val="2"/>
        </w:numPr>
        <w:rPr>
          <w:rFonts w:cstheme="minorHAnsi"/>
          <w:sz w:val="24"/>
          <w:szCs w:val="24"/>
        </w:rPr>
      </w:pPr>
      <w:r w:rsidRPr="00EC6E9F">
        <w:rPr>
          <w:rFonts w:cstheme="minorHAnsi"/>
          <w:sz w:val="24"/>
          <w:szCs w:val="24"/>
        </w:rPr>
        <w:t xml:space="preserve">Provide schematic diagrams detailing the building and its pipe work distribution systems, and photographs of relevant parts of the installation i.e. storage tanks, storage </w:t>
      </w:r>
      <w:proofErr w:type="spellStart"/>
      <w:r w:rsidRPr="00EC6E9F">
        <w:rPr>
          <w:rFonts w:cstheme="minorHAnsi"/>
          <w:sz w:val="24"/>
          <w:szCs w:val="24"/>
        </w:rPr>
        <w:t>calorififers</w:t>
      </w:r>
      <w:proofErr w:type="spellEnd"/>
      <w:r w:rsidRPr="00EC6E9F">
        <w:rPr>
          <w:rFonts w:cstheme="minorHAnsi"/>
          <w:sz w:val="24"/>
          <w:szCs w:val="24"/>
        </w:rPr>
        <w:t xml:space="preserve"> etc, also attention should be drawn to the water supply for location of vending machines.</w:t>
      </w:r>
    </w:p>
    <w:p w14:paraId="0B9C5529" w14:textId="77777777" w:rsidR="001A0B10" w:rsidRPr="00EC6E9F" w:rsidRDefault="001A0B10" w:rsidP="001A0B10">
      <w:pPr>
        <w:pStyle w:val="ListParagraph"/>
        <w:numPr>
          <w:ilvl w:val="0"/>
          <w:numId w:val="2"/>
        </w:numPr>
        <w:rPr>
          <w:rFonts w:cstheme="minorHAnsi"/>
          <w:sz w:val="24"/>
          <w:szCs w:val="24"/>
        </w:rPr>
      </w:pPr>
      <w:r w:rsidRPr="00EC6E9F">
        <w:rPr>
          <w:rFonts w:cstheme="minorHAnsi"/>
          <w:sz w:val="24"/>
          <w:szCs w:val="24"/>
        </w:rPr>
        <w:lastRenderedPageBreak/>
        <w:t>Any water samples taken and tested as part of initial risk assessments and any other requirement deemed necessary should be recorded and documented and certificates provided.</w:t>
      </w:r>
    </w:p>
    <w:p w14:paraId="176EDCA7" w14:textId="09E6A92F" w:rsidR="001A0B10" w:rsidRPr="00EC6E9F" w:rsidRDefault="001A0B10" w:rsidP="001A0B10">
      <w:pPr>
        <w:pStyle w:val="ListParagraph"/>
        <w:numPr>
          <w:ilvl w:val="0"/>
          <w:numId w:val="2"/>
        </w:numPr>
        <w:rPr>
          <w:rFonts w:cstheme="minorHAnsi"/>
          <w:sz w:val="24"/>
          <w:szCs w:val="24"/>
        </w:rPr>
      </w:pPr>
      <w:r w:rsidRPr="00EC6E9F">
        <w:rPr>
          <w:rFonts w:cstheme="minorHAnsi"/>
          <w:sz w:val="24"/>
          <w:szCs w:val="24"/>
        </w:rPr>
        <w:t xml:space="preserve">Provision of site logs as necessary, to enable the recording of any checks or tests that need to be taken </w:t>
      </w:r>
      <w:proofErr w:type="gramStart"/>
      <w:r w:rsidRPr="00EC6E9F">
        <w:rPr>
          <w:rFonts w:cstheme="minorHAnsi"/>
          <w:sz w:val="24"/>
          <w:szCs w:val="24"/>
        </w:rPr>
        <w:t>as a result of</w:t>
      </w:r>
      <w:proofErr w:type="gramEnd"/>
      <w:r w:rsidRPr="00EC6E9F">
        <w:rPr>
          <w:rFonts w:cstheme="minorHAnsi"/>
          <w:sz w:val="24"/>
          <w:szCs w:val="24"/>
        </w:rPr>
        <w:t xml:space="preserve"> the risk assessment report</w:t>
      </w:r>
      <w:r w:rsidR="00EC6E9F" w:rsidRPr="00EC6E9F">
        <w:rPr>
          <w:rFonts w:cstheme="minorHAnsi"/>
          <w:sz w:val="24"/>
          <w:szCs w:val="24"/>
        </w:rPr>
        <w:t xml:space="preserve"> including identifying and raising actions on a High, Medium and Low risk.</w:t>
      </w:r>
    </w:p>
    <w:p w14:paraId="2E8E412E" w14:textId="469F3031" w:rsidR="00EC6E9F" w:rsidRDefault="001A0B10" w:rsidP="00EC6E9F">
      <w:pPr>
        <w:pStyle w:val="ListParagraph"/>
        <w:numPr>
          <w:ilvl w:val="0"/>
          <w:numId w:val="2"/>
        </w:numPr>
        <w:rPr>
          <w:rFonts w:cstheme="minorHAnsi"/>
          <w:sz w:val="24"/>
          <w:szCs w:val="24"/>
        </w:rPr>
      </w:pPr>
      <w:r w:rsidRPr="00EC6E9F">
        <w:rPr>
          <w:rFonts w:cstheme="minorHAnsi"/>
          <w:sz w:val="24"/>
          <w:szCs w:val="24"/>
        </w:rPr>
        <w:t>Support and training for the nominated responsible person to enable compliance with the relevant ACOP.</w:t>
      </w:r>
    </w:p>
    <w:p w14:paraId="6408AB3B" w14:textId="77777777" w:rsidR="00EC6E9F" w:rsidRPr="00EC6E9F" w:rsidRDefault="00EC6E9F" w:rsidP="00EC6E9F">
      <w:pPr>
        <w:ind w:left="360"/>
        <w:rPr>
          <w:rFonts w:cstheme="minorHAnsi"/>
          <w:sz w:val="24"/>
          <w:szCs w:val="24"/>
        </w:rPr>
      </w:pPr>
    </w:p>
    <w:p w14:paraId="621E998F" w14:textId="237969C0" w:rsidR="001A0B10" w:rsidRPr="00EC6E9F" w:rsidRDefault="001A0B10" w:rsidP="001A0B10">
      <w:pPr>
        <w:jc w:val="both"/>
        <w:rPr>
          <w:rFonts w:cstheme="minorHAnsi"/>
          <w:b/>
          <w:sz w:val="24"/>
          <w:szCs w:val="24"/>
          <w:u w:val="single"/>
        </w:rPr>
      </w:pPr>
      <w:r w:rsidRPr="00EC6E9F">
        <w:rPr>
          <w:rFonts w:cstheme="minorHAnsi"/>
          <w:b/>
          <w:sz w:val="24"/>
          <w:szCs w:val="24"/>
          <w:u w:val="single"/>
        </w:rPr>
        <w:t xml:space="preserve">Reporting </w:t>
      </w:r>
    </w:p>
    <w:p w14:paraId="4AF5F7FD" w14:textId="77777777" w:rsidR="001A0B10" w:rsidRPr="00EC6E9F" w:rsidRDefault="001A0B10" w:rsidP="001A0B10">
      <w:pPr>
        <w:jc w:val="both"/>
        <w:rPr>
          <w:rFonts w:cstheme="minorHAnsi"/>
          <w:bCs/>
          <w:sz w:val="24"/>
          <w:szCs w:val="24"/>
        </w:rPr>
      </w:pPr>
      <w:r w:rsidRPr="00EC6E9F">
        <w:rPr>
          <w:rFonts w:cstheme="minorHAnsi"/>
          <w:bCs/>
          <w:sz w:val="24"/>
          <w:szCs w:val="24"/>
        </w:rPr>
        <w:t xml:space="preserve">The successful contractor will need to provide all maintenance reports, sample results and significant findings with exceptions and record them electronically with a compatible system.  </w:t>
      </w:r>
    </w:p>
    <w:p w14:paraId="5937741C" w14:textId="77777777" w:rsidR="001A0B10" w:rsidRPr="00EC6E9F" w:rsidRDefault="001A0B10" w:rsidP="001A0B10">
      <w:pPr>
        <w:rPr>
          <w:rFonts w:cstheme="minorHAnsi"/>
          <w:sz w:val="24"/>
          <w:szCs w:val="24"/>
        </w:rPr>
      </w:pPr>
      <w:r w:rsidRPr="00EC6E9F">
        <w:rPr>
          <w:rFonts w:cstheme="minorHAnsi"/>
          <w:sz w:val="24"/>
          <w:szCs w:val="24"/>
        </w:rPr>
        <w:t>Reports should be made available within 24 hours of works being completed at site to allow Community Housing to react quickly to hazardous or costly situations.</w:t>
      </w:r>
    </w:p>
    <w:p w14:paraId="3F6E2FC9" w14:textId="22674081" w:rsidR="001A0B10" w:rsidRPr="00EC6E9F" w:rsidRDefault="001A0B10" w:rsidP="001A0B10">
      <w:pPr>
        <w:jc w:val="both"/>
        <w:rPr>
          <w:rFonts w:cstheme="minorHAnsi"/>
          <w:sz w:val="24"/>
          <w:szCs w:val="24"/>
        </w:rPr>
      </w:pPr>
      <w:r w:rsidRPr="00EC6E9F">
        <w:rPr>
          <w:rFonts w:cstheme="minorHAnsi"/>
          <w:sz w:val="24"/>
          <w:szCs w:val="24"/>
        </w:rPr>
        <w:t xml:space="preserve">Exception reports should show the “out of spec “results that require attention. These exceptions should be recorded as High, </w:t>
      </w:r>
      <w:proofErr w:type="gramStart"/>
      <w:r w:rsidRPr="00EC6E9F">
        <w:rPr>
          <w:rFonts w:cstheme="minorHAnsi"/>
          <w:sz w:val="24"/>
          <w:szCs w:val="24"/>
        </w:rPr>
        <w:t>Medium</w:t>
      </w:r>
      <w:proofErr w:type="gramEnd"/>
      <w:r w:rsidRPr="00EC6E9F">
        <w:rPr>
          <w:rFonts w:cstheme="minorHAnsi"/>
          <w:sz w:val="24"/>
          <w:szCs w:val="24"/>
        </w:rPr>
        <w:t xml:space="preserve"> or Low risk.  These actions must be recorded to enable Community Housing to evidence completion and demonstrate compliance. </w:t>
      </w:r>
    </w:p>
    <w:p w14:paraId="6E225094" w14:textId="77777777" w:rsidR="00EC6E9F" w:rsidRPr="00EC6E9F" w:rsidRDefault="00EC6E9F" w:rsidP="001A0B10">
      <w:pPr>
        <w:jc w:val="both"/>
        <w:rPr>
          <w:rFonts w:cstheme="minorHAnsi"/>
          <w:sz w:val="24"/>
          <w:szCs w:val="24"/>
        </w:rPr>
      </w:pPr>
    </w:p>
    <w:p w14:paraId="4369D84B" w14:textId="77777777" w:rsidR="00EC6E9F" w:rsidRPr="00EC6E9F" w:rsidRDefault="00EC6E9F" w:rsidP="00EC6E9F">
      <w:pPr>
        <w:jc w:val="both"/>
        <w:rPr>
          <w:rFonts w:cstheme="minorHAnsi"/>
          <w:b/>
          <w:sz w:val="24"/>
          <w:szCs w:val="24"/>
          <w:u w:val="single"/>
        </w:rPr>
      </w:pPr>
      <w:r w:rsidRPr="00EC6E9F">
        <w:rPr>
          <w:rFonts w:cstheme="minorHAnsi"/>
          <w:b/>
          <w:sz w:val="24"/>
          <w:szCs w:val="24"/>
          <w:u w:val="single"/>
        </w:rPr>
        <w:t>Contract Period</w:t>
      </w:r>
    </w:p>
    <w:p w14:paraId="3DF5D162" w14:textId="2C996EB8" w:rsidR="00EC6E9F" w:rsidRPr="00EC6E9F" w:rsidRDefault="00EC6E9F" w:rsidP="00EC6E9F">
      <w:pPr>
        <w:jc w:val="both"/>
        <w:rPr>
          <w:rFonts w:cstheme="minorHAnsi"/>
          <w:sz w:val="24"/>
          <w:szCs w:val="24"/>
        </w:rPr>
      </w:pPr>
      <w:r w:rsidRPr="00EC6E9F">
        <w:rPr>
          <w:rFonts w:cstheme="minorHAnsi"/>
          <w:sz w:val="24"/>
          <w:szCs w:val="24"/>
        </w:rPr>
        <w:t>The recognised contract period starts at 1</w:t>
      </w:r>
      <w:r w:rsidRPr="00EC6E9F">
        <w:rPr>
          <w:rFonts w:cstheme="minorHAnsi"/>
          <w:sz w:val="24"/>
          <w:szCs w:val="24"/>
          <w:vertAlign w:val="superscript"/>
        </w:rPr>
        <w:t>st</w:t>
      </w:r>
      <w:r w:rsidRPr="00EC6E9F">
        <w:rPr>
          <w:rFonts w:cstheme="minorHAnsi"/>
          <w:sz w:val="24"/>
          <w:szCs w:val="24"/>
        </w:rPr>
        <w:t xml:space="preserve"> April each year. Monthly purchase order numbers will be issued by Community Housing to cover contract work. </w:t>
      </w:r>
    </w:p>
    <w:p w14:paraId="1BB6F3BC" w14:textId="357A350D" w:rsidR="00EC6E9F" w:rsidRPr="00EC6E9F" w:rsidRDefault="00EC6E9F" w:rsidP="00EC6E9F">
      <w:pPr>
        <w:jc w:val="both"/>
        <w:rPr>
          <w:rFonts w:cstheme="minorHAnsi"/>
          <w:sz w:val="24"/>
          <w:szCs w:val="24"/>
        </w:rPr>
      </w:pPr>
      <w:r w:rsidRPr="00EC6E9F">
        <w:rPr>
          <w:rFonts w:cstheme="minorHAnsi"/>
          <w:sz w:val="24"/>
          <w:szCs w:val="24"/>
        </w:rPr>
        <w:t>All additional tasks not included within contract scope should be quoted separately. A separate Purchase Order number will be issued for Legionella Risk Assessment.</w:t>
      </w:r>
    </w:p>
    <w:p w14:paraId="2C521428" w14:textId="77777777" w:rsidR="00EC6E9F" w:rsidRPr="00EC6E9F" w:rsidRDefault="00EC6E9F" w:rsidP="00EC6E9F">
      <w:pPr>
        <w:jc w:val="both"/>
        <w:rPr>
          <w:rFonts w:cstheme="minorHAnsi"/>
          <w:i/>
          <w:sz w:val="24"/>
          <w:szCs w:val="24"/>
        </w:rPr>
      </w:pPr>
    </w:p>
    <w:p w14:paraId="0CE8E951" w14:textId="2894252F" w:rsidR="00EC6E9F" w:rsidRPr="00EC6E9F" w:rsidRDefault="00EC6E9F" w:rsidP="00EC6E9F">
      <w:pPr>
        <w:rPr>
          <w:rFonts w:cstheme="minorHAnsi"/>
          <w:b/>
          <w:sz w:val="24"/>
          <w:szCs w:val="24"/>
          <w:u w:val="single"/>
        </w:rPr>
      </w:pPr>
      <w:r w:rsidRPr="00EC6E9F">
        <w:rPr>
          <w:rFonts w:cstheme="minorHAnsi"/>
          <w:b/>
          <w:sz w:val="24"/>
          <w:szCs w:val="24"/>
          <w:u w:val="single"/>
        </w:rPr>
        <w:t xml:space="preserve">Contact Details Community Housing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654"/>
        <w:gridCol w:w="1098"/>
        <w:gridCol w:w="4416"/>
      </w:tblGrid>
      <w:tr w:rsidR="00EC6E9F" w:rsidRPr="00EC6E9F" w14:paraId="22DA5059" w14:textId="77777777" w:rsidTr="0069666D">
        <w:tc>
          <w:tcPr>
            <w:tcW w:w="2269" w:type="dxa"/>
            <w:shd w:val="clear" w:color="auto" w:fill="auto"/>
          </w:tcPr>
          <w:p w14:paraId="7831FA50" w14:textId="77777777" w:rsidR="00EC6E9F" w:rsidRPr="00EC6E9F" w:rsidRDefault="00EC6E9F" w:rsidP="0069666D">
            <w:pPr>
              <w:jc w:val="center"/>
              <w:rPr>
                <w:rFonts w:cstheme="minorHAnsi"/>
                <w:sz w:val="24"/>
                <w:szCs w:val="24"/>
              </w:rPr>
            </w:pPr>
            <w:r w:rsidRPr="00EC6E9F">
              <w:rPr>
                <w:rFonts w:cstheme="minorHAnsi"/>
                <w:sz w:val="24"/>
                <w:szCs w:val="24"/>
              </w:rPr>
              <w:t xml:space="preserve">Natalie Baxter  </w:t>
            </w:r>
          </w:p>
        </w:tc>
        <w:tc>
          <w:tcPr>
            <w:tcW w:w="1808" w:type="dxa"/>
            <w:shd w:val="clear" w:color="auto" w:fill="auto"/>
          </w:tcPr>
          <w:p w14:paraId="305CCEAB" w14:textId="77777777" w:rsidR="00EC6E9F" w:rsidRPr="00EC6E9F" w:rsidRDefault="00EC6E9F" w:rsidP="0069666D">
            <w:pPr>
              <w:jc w:val="center"/>
              <w:rPr>
                <w:rFonts w:cstheme="minorHAnsi"/>
                <w:sz w:val="24"/>
                <w:szCs w:val="24"/>
              </w:rPr>
            </w:pPr>
            <w:r w:rsidRPr="00EC6E9F">
              <w:rPr>
                <w:rFonts w:cstheme="minorHAnsi"/>
                <w:sz w:val="24"/>
                <w:szCs w:val="24"/>
              </w:rPr>
              <w:t xml:space="preserve">Head of Building Safety and Compliance </w:t>
            </w:r>
          </w:p>
        </w:tc>
        <w:tc>
          <w:tcPr>
            <w:tcW w:w="1560" w:type="dxa"/>
            <w:shd w:val="clear" w:color="auto" w:fill="auto"/>
          </w:tcPr>
          <w:p w14:paraId="7371367B" w14:textId="77777777" w:rsidR="00EC6E9F" w:rsidRPr="00EC6E9F" w:rsidRDefault="00EC6E9F" w:rsidP="0069666D">
            <w:pPr>
              <w:jc w:val="center"/>
              <w:rPr>
                <w:rFonts w:cstheme="minorHAnsi"/>
                <w:sz w:val="24"/>
                <w:szCs w:val="24"/>
              </w:rPr>
            </w:pPr>
          </w:p>
        </w:tc>
        <w:tc>
          <w:tcPr>
            <w:tcW w:w="4116" w:type="dxa"/>
            <w:shd w:val="clear" w:color="auto" w:fill="auto"/>
          </w:tcPr>
          <w:p w14:paraId="59440E02" w14:textId="77777777" w:rsidR="00EC6E9F" w:rsidRPr="00EC6E9F" w:rsidRDefault="001A3D61" w:rsidP="0069666D">
            <w:pPr>
              <w:rPr>
                <w:rFonts w:cstheme="minorHAnsi"/>
                <w:sz w:val="24"/>
                <w:szCs w:val="24"/>
              </w:rPr>
            </w:pPr>
            <w:hyperlink r:id="rId6" w:history="1">
              <w:r w:rsidR="00EC6E9F" w:rsidRPr="00EC6E9F">
                <w:rPr>
                  <w:rStyle w:val="Hyperlink"/>
                  <w:rFonts w:cstheme="minorHAnsi"/>
                  <w:sz w:val="24"/>
                  <w:szCs w:val="24"/>
                </w:rPr>
                <w:t>natalie.baxter@communityhousing.co.uk</w:t>
              </w:r>
            </w:hyperlink>
            <w:r w:rsidR="00EC6E9F" w:rsidRPr="00EC6E9F">
              <w:rPr>
                <w:rFonts w:cstheme="minorHAnsi"/>
                <w:sz w:val="24"/>
                <w:szCs w:val="24"/>
              </w:rPr>
              <w:t xml:space="preserve">  </w:t>
            </w:r>
          </w:p>
        </w:tc>
      </w:tr>
      <w:tr w:rsidR="00EC6E9F" w:rsidRPr="00EC6E9F" w14:paraId="5513EB2E" w14:textId="77777777" w:rsidTr="0069666D">
        <w:tc>
          <w:tcPr>
            <w:tcW w:w="2269" w:type="dxa"/>
            <w:shd w:val="clear" w:color="auto" w:fill="auto"/>
          </w:tcPr>
          <w:p w14:paraId="2C493635" w14:textId="77777777" w:rsidR="00EC6E9F" w:rsidRPr="00EC6E9F" w:rsidRDefault="00EC6E9F" w:rsidP="0069666D">
            <w:pPr>
              <w:jc w:val="center"/>
              <w:rPr>
                <w:rFonts w:cstheme="minorHAnsi"/>
                <w:sz w:val="24"/>
                <w:szCs w:val="24"/>
              </w:rPr>
            </w:pPr>
            <w:r w:rsidRPr="00EC6E9F">
              <w:rPr>
                <w:rFonts w:cstheme="minorHAnsi"/>
                <w:sz w:val="24"/>
                <w:szCs w:val="24"/>
              </w:rPr>
              <w:t xml:space="preserve">Karen Conde </w:t>
            </w:r>
          </w:p>
        </w:tc>
        <w:tc>
          <w:tcPr>
            <w:tcW w:w="1808" w:type="dxa"/>
            <w:shd w:val="clear" w:color="auto" w:fill="auto"/>
          </w:tcPr>
          <w:p w14:paraId="0FB15ADC" w14:textId="77777777" w:rsidR="00EC6E9F" w:rsidRPr="00EC6E9F" w:rsidRDefault="00EC6E9F" w:rsidP="0069666D">
            <w:pPr>
              <w:jc w:val="center"/>
              <w:rPr>
                <w:rFonts w:cstheme="minorHAnsi"/>
                <w:sz w:val="24"/>
                <w:szCs w:val="24"/>
              </w:rPr>
            </w:pPr>
            <w:r w:rsidRPr="00EC6E9F">
              <w:rPr>
                <w:rFonts w:cstheme="minorHAnsi"/>
                <w:sz w:val="24"/>
                <w:szCs w:val="24"/>
              </w:rPr>
              <w:t xml:space="preserve">Safety Compliance Manager (Fire, Asbestos, </w:t>
            </w:r>
            <w:r w:rsidRPr="00EC6E9F">
              <w:rPr>
                <w:rFonts w:cstheme="minorHAnsi"/>
                <w:sz w:val="24"/>
                <w:szCs w:val="24"/>
              </w:rPr>
              <w:lastRenderedPageBreak/>
              <w:t xml:space="preserve">Water and Estates) </w:t>
            </w:r>
          </w:p>
        </w:tc>
        <w:tc>
          <w:tcPr>
            <w:tcW w:w="1560" w:type="dxa"/>
            <w:shd w:val="clear" w:color="auto" w:fill="auto"/>
          </w:tcPr>
          <w:p w14:paraId="21F767F7" w14:textId="77777777" w:rsidR="00EC6E9F" w:rsidRPr="00EC6E9F" w:rsidRDefault="00EC6E9F" w:rsidP="0069666D">
            <w:pPr>
              <w:jc w:val="center"/>
              <w:rPr>
                <w:rFonts w:cstheme="minorHAnsi"/>
                <w:sz w:val="24"/>
                <w:szCs w:val="24"/>
              </w:rPr>
            </w:pPr>
          </w:p>
        </w:tc>
        <w:tc>
          <w:tcPr>
            <w:tcW w:w="4116" w:type="dxa"/>
            <w:shd w:val="clear" w:color="auto" w:fill="auto"/>
          </w:tcPr>
          <w:p w14:paraId="2B5C317E" w14:textId="77777777" w:rsidR="00EC6E9F" w:rsidRPr="00EC6E9F" w:rsidRDefault="001A3D61" w:rsidP="0069666D">
            <w:pPr>
              <w:rPr>
                <w:rFonts w:cstheme="minorHAnsi"/>
                <w:sz w:val="24"/>
                <w:szCs w:val="24"/>
              </w:rPr>
            </w:pPr>
            <w:hyperlink r:id="rId7" w:history="1">
              <w:r w:rsidR="00EC6E9F" w:rsidRPr="00EC6E9F">
                <w:rPr>
                  <w:rStyle w:val="Hyperlink"/>
                  <w:rFonts w:cstheme="minorHAnsi"/>
                  <w:sz w:val="24"/>
                  <w:szCs w:val="24"/>
                </w:rPr>
                <w:t>Karen.Conde@communityhousing.co.uk</w:t>
              </w:r>
            </w:hyperlink>
            <w:r w:rsidR="00EC6E9F" w:rsidRPr="00EC6E9F">
              <w:rPr>
                <w:rFonts w:cstheme="minorHAnsi"/>
                <w:sz w:val="24"/>
                <w:szCs w:val="24"/>
              </w:rPr>
              <w:t xml:space="preserve"> </w:t>
            </w:r>
          </w:p>
          <w:p w14:paraId="0AE3828C" w14:textId="77777777" w:rsidR="00EC6E9F" w:rsidRPr="00EC6E9F" w:rsidRDefault="00EC6E9F" w:rsidP="0069666D">
            <w:pPr>
              <w:jc w:val="center"/>
              <w:rPr>
                <w:rFonts w:cstheme="minorHAnsi"/>
                <w:sz w:val="24"/>
                <w:szCs w:val="24"/>
              </w:rPr>
            </w:pPr>
          </w:p>
        </w:tc>
      </w:tr>
      <w:tr w:rsidR="00EC6E9F" w:rsidRPr="00EC6E9F" w14:paraId="2D518CF5" w14:textId="77777777" w:rsidTr="0069666D">
        <w:tc>
          <w:tcPr>
            <w:tcW w:w="2269" w:type="dxa"/>
            <w:shd w:val="clear" w:color="auto" w:fill="auto"/>
          </w:tcPr>
          <w:p w14:paraId="783237FF" w14:textId="77777777" w:rsidR="00EC6E9F" w:rsidRPr="00EC6E9F" w:rsidRDefault="00EC6E9F" w:rsidP="0069666D">
            <w:pPr>
              <w:jc w:val="center"/>
              <w:rPr>
                <w:rFonts w:cstheme="minorHAnsi"/>
                <w:sz w:val="24"/>
                <w:szCs w:val="24"/>
              </w:rPr>
            </w:pPr>
            <w:r w:rsidRPr="00EC6E9F">
              <w:rPr>
                <w:rFonts w:cstheme="minorHAnsi"/>
                <w:sz w:val="24"/>
                <w:szCs w:val="24"/>
              </w:rPr>
              <w:t xml:space="preserve">Lauren Wheeler </w:t>
            </w:r>
          </w:p>
        </w:tc>
        <w:tc>
          <w:tcPr>
            <w:tcW w:w="1808" w:type="dxa"/>
            <w:shd w:val="clear" w:color="auto" w:fill="auto"/>
          </w:tcPr>
          <w:p w14:paraId="399B2E3E" w14:textId="77777777" w:rsidR="00EC6E9F" w:rsidRPr="00EC6E9F" w:rsidRDefault="00EC6E9F" w:rsidP="0069666D">
            <w:pPr>
              <w:jc w:val="center"/>
              <w:rPr>
                <w:rFonts w:cstheme="minorHAnsi"/>
                <w:sz w:val="24"/>
                <w:szCs w:val="24"/>
              </w:rPr>
            </w:pPr>
            <w:r w:rsidRPr="00EC6E9F">
              <w:rPr>
                <w:rFonts w:cstheme="minorHAnsi"/>
                <w:sz w:val="24"/>
                <w:szCs w:val="24"/>
              </w:rPr>
              <w:t xml:space="preserve">Safety Compliance Officer </w:t>
            </w:r>
          </w:p>
        </w:tc>
        <w:tc>
          <w:tcPr>
            <w:tcW w:w="1560" w:type="dxa"/>
            <w:shd w:val="clear" w:color="auto" w:fill="auto"/>
          </w:tcPr>
          <w:p w14:paraId="1149DD10" w14:textId="77777777" w:rsidR="00EC6E9F" w:rsidRPr="00EC6E9F" w:rsidRDefault="00EC6E9F" w:rsidP="0069666D">
            <w:pPr>
              <w:jc w:val="center"/>
              <w:rPr>
                <w:rFonts w:cstheme="minorHAnsi"/>
                <w:sz w:val="24"/>
                <w:szCs w:val="24"/>
              </w:rPr>
            </w:pPr>
          </w:p>
        </w:tc>
        <w:tc>
          <w:tcPr>
            <w:tcW w:w="4116" w:type="dxa"/>
            <w:shd w:val="clear" w:color="auto" w:fill="auto"/>
          </w:tcPr>
          <w:p w14:paraId="59B26ECD" w14:textId="77777777" w:rsidR="00EC6E9F" w:rsidRPr="00EC6E9F" w:rsidRDefault="001A3D61" w:rsidP="0069666D">
            <w:pPr>
              <w:rPr>
                <w:rFonts w:cstheme="minorHAnsi"/>
                <w:sz w:val="24"/>
                <w:szCs w:val="24"/>
              </w:rPr>
            </w:pPr>
            <w:hyperlink r:id="rId8" w:history="1">
              <w:r w:rsidR="00EC6E9F" w:rsidRPr="00EC6E9F">
                <w:rPr>
                  <w:rStyle w:val="Hyperlink"/>
                  <w:rFonts w:cstheme="minorHAnsi"/>
                  <w:sz w:val="24"/>
                  <w:szCs w:val="24"/>
                </w:rPr>
                <w:t>Lauren.wheeler@communityhousing.co.uk</w:t>
              </w:r>
            </w:hyperlink>
            <w:r w:rsidR="00EC6E9F" w:rsidRPr="00EC6E9F">
              <w:rPr>
                <w:rFonts w:cstheme="minorHAnsi"/>
                <w:sz w:val="24"/>
                <w:szCs w:val="24"/>
              </w:rPr>
              <w:t xml:space="preserve"> </w:t>
            </w:r>
          </w:p>
        </w:tc>
      </w:tr>
    </w:tbl>
    <w:p w14:paraId="34E88A43" w14:textId="77777777" w:rsidR="00EC6E9F" w:rsidRPr="00EC6E9F" w:rsidRDefault="00EC6E9F" w:rsidP="00EC6E9F">
      <w:pPr>
        <w:spacing w:after="120"/>
        <w:rPr>
          <w:rFonts w:cstheme="minorHAnsi"/>
          <w:b/>
          <w:sz w:val="24"/>
          <w:szCs w:val="24"/>
          <w:u w:val="single"/>
        </w:rPr>
      </w:pPr>
    </w:p>
    <w:p w14:paraId="524F4315" w14:textId="25512441" w:rsidR="00EC6E9F" w:rsidRPr="00EC6E9F" w:rsidRDefault="00EC6E9F" w:rsidP="00EC6E9F">
      <w:pPr>
        <w:spacing w:after="120"/>
        <w:rPr>
          <w:rFonts w:cstheme="minorHAnsi"/>
          <w:b/>
          <w:sz w:val="24"/>
          <w:szCs w:val="24"/>
          <w:u w:val="single"/>
        </w:rPr>
      </w:pPr>
      <w:r w:rsidRPr="00EC6E9F">
        <w:rPr>
          <w:rFonts w:cstheme="minorHAnsi"/>
          <w:b/>
          <w:sz w:val="24"/>
          <w:szCs w:val="24"/>
          <w:u w:val="single"/>
        </w:rPr>
        <w:t>Service Level Agreement</w:t>
      </w:r>
    </w:p>
    <w:p w14:paraId="45CD68E6" w14:textId="77777777" w:rsidR="00EC6E9F" w:rsidRPr="00EC6E9F" w:rsidRDefault="00EC6E9F" w:rsidP="00EC6E9F">
      <w:pPr>
        <w:spacing w:after="120"/>
        <w:jc w:val="center"/>
        <w:rPr>
          <w:rFonts w:cstheme="minorHAnsi"/>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3"/>
        <w:gridCol w:w="4543"/>
      </w:tblGrid>
      <w:tr w:rsidR="00EC6E9F" w:rsidRPr="00EC6E9F" w14:paraId="2EFABDE7" w14:textId="77777777" w:rsidTr="00EC6E9F">
        <w:tc>
          <w:tcPr>
            <w:tcW w:w="4473" w:type="dxa"/>
            <w:shd w:val="clear" w:color="auto" w:fill="0070C0"/>
          </w:tcPr>
          <w:p w14:paraId="743E2B73" w14:textId="77777777" w:rsidR="00EC6E9F" w:rsidRPr="00EC6E9F" w:rsidRDefault="00EC6E9F" w:rsidP="0069666D">
            <w:pPr>
              <w:spacing w:after="120"/>
              <w:jc w:val="center"/>
              <w:rPr>
                <w:rFonts w:cstheme="minorHAnsi"/>
                <w:b/>
                <w:color w:val="FFFFFF"/>
                <w:sz w:val="24"/>
                <w:szCs w:val="24"/>
              </w:rPr>
            </w:pPr>
            <w:r w:rsidRPr="00EC6E9F">
              <w:rPr>
                <w:rFonts w:cstheme="minorHAnsi"/>
                <w:b/>
                <w:color w:val="FFFFFF"/>
                <w:sz w:val="24"/>
                <w:szCs w:val="24"/>
              </w:rPr>
              <w:t>Action</w:t>
            </w:r>
          </w:p>
        </w:tc>
        <w:tc>
          <w:tcPr>
            <w:tcW w:w="4543" w:type="dxa"/>
            <w:shd w:val="clear" w:color="auto" w:fill="0070C0"/>
          </w:tcPr>
          <w:p w14:paraId="1015CA33" w14:textId="77777777" w:rsidR="00EC6E9F" w:rsidRPr="00EC6E9F" w:rsidRDefault="00EC6E9F" w:rsidP="0069666D">
            <w:pPr>
              <w:spacing w:after="120"/>
              <w:jc w:val="center"/>
              <w:rPr>
                <w:rFonts w:cstheme="minorHAnsi"/>
                <w:b/>
                <w:color w:val="FFFFFF"/>
                <w:sz w:val="24"/>
                <w:szCs w:val="24"/>
              </w:rPr>
            </w:pPr>
            <w:r w:rsidRPr="00EC6E9F">
              <w:rPr>
                <w:rFonts w:cstheme="minorHAnsi"/>
                <w:b/>
                <w:color w:val="FFFFFF"/>
                <w:sz w:val="24"/>
                <w:szCs w:val="24"/>
              </w:rPr>
              <w:t>Target</w:t>
            </w:r>
          </w:p>
        </w:tc>
      </w:tr>
      <w:tr w:rsidR="00EC6E9F" w:rsidRPr="00EC6E9F" w14:paraId="28B6F02A" w14:textId="77777777" w:rsidTr="00EC6E9F">
        <w:tc>
          <w:tcPr>
            <w:tcW w:w="4473" w:type="dxa"/>
          </w:tcPr>
          <w:p w14:paraId="6454034F" w14:textId="4BA31534" w:rsidR="00EC6E9F" w:rsidRPr="00EC6E9F" w:rsidRDefault="00EC6E9F" w:rsidP="0069666D">
            <w:pPr>
              <w:spacing w:after="120"/>
              <w:rPr>
                <w:rFonts w:cstheme="minorHAnsi"/>
                <w:sz w:val="24"/>
                <w:szCs w:val="24"/>
              </w:rPr>
            </w:pPr>
            <w:r w:rsidRPr="00EC6E9F">
              <w:rPr>
                <w:rFonts w:cstheme="minorHAnsi"/>
                <w:sz w:val="24"/>
                <w:szCs w:val="24"/>
              </w:rPr>
              <w:t>Booking of survey visits</w:t>
            </w:r>
          </w:p>
        </w:tc>
        <w:tc>
          <w:tcPr>
            <w:tcW w:w="4543" w:type="dxa"/>
          </w:tcPr>
          <w:p w14:paraId="060FD6FA" w14:textId="77777777" w:rsidR="00EC6E9F" w:rsidRPr="00EC6E9F" w:rsidRDefault="00EC6E9F" w:rsidP="0069666D">
            <w:pPr>
              <w:spacing w:after="120"/>
              <w:rPr>
                <w:rFonts w:cstheme="minorHAnsi"/>
                <w:sz w:val="24"/>
                <w:szCs w:val="24"/>
              </w:rPr>
            </w:pPr>
            <w:r w:rsidRPr="00EC6E9F">
              <w:rPr>
                <w:rFonts w:cstheme="minorHAnsi"/>
                <w:sz w:val="24"/>
                <w:szCs w:val="24"/>
              </w:rPr>
              <w:t>At least 48 hours before visit</w:t>
            </w:r>
          </w:p>
        </w:tc>
      </w:tr>
      <w:tr w:rsidR="00EC6E9F" w:rsidRPr="00EC6E9F" w14:paraId="4980F1D3" w14:textId="77777777" w:rsidTr="00EC6E9F">
        <w:tc>
          <w:tcPr>
            <w:tcW w:w="4473" w:type="dxa"/>
          </w:tcPr>
          <w:p w14:paraId="65DE01A3" w14:textId="77777777" w:rsidR="00EC6E9F" w:rsidRPr="00EC6E9F" w:rsidRDefault="00EC6E9F" w:rsidP="0069666D">
            <w:pPr>
              <w:spacing w:after="120"/>
              <w:rPr>
                <w:rFonts w:cstheme="minorHAnsi"/>
                <w:sz w:val="24"/>
                <w:szCs w:val="24"/>
              </w:rPr>
            </w:pPr>
            <w:r w:rsidRPr="00EC6E9F">
              <w:rPr>
                <w:rFonts w:cstheme="minorHAnsi"/>
                <w:sz w:val="24"/>
                <w:szCs w:val="24"/>
              </w:rPr>
              <w:t>Request for quotations</w:t>
            </w:r>
          </w:p>
        </w:tc>
        <w:tc>
          <w:tcPr>
            <w:tcW w:w="4543" w:type="dxa"/>
          </w:tcPr>
          <w:p w14:paraId="2309C96C" w14:textId="4CFDAD80" w:rsidR="00EC6E9F" w:rsidRPr="00EC6E9F" w:rsidRDefault="00EC6E9F" w:rsidP="0069666D">
            <w:pPr>
              <w:spacing w:after="120"/>
              <w:rPr>
                <w:rFonts w:cstheme="minorHAnsi"/>
                <w:sz w:val="24"/>
                <w:szCs w:val="24"/>
              </w:rPr>
            </w:pPr>
            <w:r w:rsidRPr="00EC6E9F">
              <w:rPr>
                <w:rFonts w:cstheme="minorHAnsi"/>
                <w:sz w:val="24"/>
                <w:szCs w:val="24"/>
              </w:rPr>
              <w:t xml:space="preserve">Acknowledgement by successful contractor within 48 hrs. </w:t>
            </w:r>
          </w:p>
        </w:tc>
      </w:tr>
      <w:tr w:rsidR="00EC6E9F" w:rsidRPr="00EC6E9F" w14:paraId="3AF83D87" w14:textId="77777777" w:rsidTr="00EC6E9F">
        <w:tc>
          <w:tcPr>
            <w:tcW w:w="4473" w:type="dxa"/>
          </w:tcPr>
          <w:p w14:paraId="72CA1154" w14:textId="38E62386" w:rsidR="00EC6E9F" w:rsidRPr="00EC6E9F" w:rsidRDefault="00EC6E9F" w:rsidP="0069666D">
            <w:pPr>
              <w:spacing w:after="120"/>
              <w:rPr>
                <w:rFonts w:cstheme="minorHAnsi"/>
                <w:sz w:val="24"/>
                <w:szCs w:val="24"/>
              </w:rPr>
            </w:pPr>
            <w:r w:rsidRPr="00EC6E9F">
              <w:rPr>
                <w:rFonts w:cstheme="minorHAnsi"/>
                <w:sz w:val="24"/>
                <w:szCs w:val="24"/>
              </w:rPr>
              <w:t xml:space="preserve">Carrying out surveys following issued orders </w:t>
            </w:r>
          </w:p>
        </w:tc>
        <w:tc>
          <w:tcPr>
            <w:tcW w:w="4543" w:type="dxa"/>
          </w:tcPr>
          <w:p w14:paraId="4D07B003" w14:textId="7FBD1407" w:rsidR="00EC6E9F" w:rsidRPr="00EC6E9F" w:rsidRDefault="00EC6E9F" w:rsidP="0069666D">
            <w:pPr>
              <w:spacing w:after="120"/>
              <w:rPr>
                <w:rFonts w:cstheme="minorHAnsi"/>
                <w:sz w:val="24"/>
                <w:szCs w:val="24"/>
              </w:rPr>
            </w:pPr>
            <w:r w:rsidRPr="00EC6E9F">
              <w:rPr>
                <w:rFonts w:cstheme="minorHAnsi"/>
                <w:sz w:val="24"/>
                <w:szCs w:val="24"/>
              </w:rPr>
              <w:t>The Risk Assessment should be completed on or before the due date which will be specified at the time of order</w:t>
            </w:r>
          </w:p>
        </w:tc>
      </w:tr>
      <w:tr w:rsidR="00EC6E9F" w:rsidRPr="00EC6E9F" w14:paraId="672CDDDE" w14:textId="77777777" w:rsidTr="00EC6E9F">
        <w:tc>
          <w:tcPr>
            <w:tcW w:w="4473" w:type="dxa"/>
          </w:tcPr>
          <w:p w14:paraId="605D4719" w14:textId="77777777" w:rsidR="00EC6E9F" w:rsidRPr="00EC6E9F" w:rsidRDefault="00EC6E9F" w:rsidP="0069666D">
            <w:pPr>
              <w:spacing w:after="120"/>
              <w:rPr>
                <w:rFonts w:cstheme="minorHAnsi"/>
                <w:sz w:val="24"/>
                <w:szCs w:val="24"/>
              </w:rPr>
            </w:pPr>
            <w:r w:rsidRPr="00EC6E9F">
              <w:rPr>
                <w:rFonts w:cstheme="minorHAnsi"/>
                <w:sz w:val="24"/>
                <w:szCs w:val="24"/>
              </w:rPr>
              <w:t>Closure of outstanding quotations</w:t>
            </w:r>
          </w:p>
        </w:tc>
        <w:tc>
          <w:tcPr>
            <w:tcW w:w="4543" w:type="dxa"/>
          </w:tcPr>
          <w:p w14:paraId="757D68DD" w14:textId="77777777" w:rsidR="00EC6E9F" w:rsidRPr="00EC6E9F" w:rsidRDefault="00EC6E9F" w:rsidP="0069666D">
            <w:pPr>
              <w:spacing w:after="120"/>
              <w:rPr>
                <w:rFonts w:cstheme="minorHAnsi"/>
                <w:sz w:val="24"/>
                <w:szCs w:val="24"/>
              </w:rPr>
            </w:pPr>
            <w:r w:rsidRPr="00EC6E9F">
              <w:rPr>
                <w:rFonts w:cstheme="minorHAnsi"/>
                <w:sz w:val="24"/>
                <w:szCs w:val="24"/>
              </w:rPr>
              <w:t xml:space="preserve">Successful Contractor must notify Community Housing of any quotations that have not been accepted during monthly review meetings. </w:t>
            </w:r>
          </w:p>
        </w:tc>
      </w:tr>
      <w:tr w:rsidR="00EC6E9F" w:rsidRPr="00EC6E9F" w14:paraId="4B19C8B1" w14:textId="77777777" w:rsidTr="00EC6E9F">
        <w:tc>
          <w:tcPr>
            <w:tcW w:w="4473" w:type="dxa"/>
          </w:tcPr>
          <w:p w14:paraId="3F4889F4" w14:textId="77777777" w:rsidR="00EC6E9F" w:rsidRPr="00EC6E9F" w:rsidRDefault="00EC6E9F" w:rsidP="0069666D">
            <w:pPr>
              <w:spacing w:after="120"/>
              <w:rPr>
                <w:rFonts w:cstheme="minorHAnsi"/>
                <w:sz w:val="24"/>
                <w:szCs w:val="24"/>
              </w:rPr>
            </w:pPr>
            <w:r w:rsidRPr="00EC6E9F">
              <w:rPr>
                <w:rFonts w:cstheme="minorHAnsi"/>
                <w:sz w:val="24"/>
                <w:szCs w:val="24"/>
              </w:rPr>
              <w:t>Actions identified from Legionella Risk Assessments</w:t>
            </w:r>
          </w:p>
        </w:tc>
        <w:tc>
          <w:tcPr>
            <w:tcW w:w="4543" w:type="dxa"/>
          </w:tcPr>
          <w:p w14:paraId="5CE13C97" w14:textId="18629310" w:rsidR="00EC6E9F" w:rsidRPr="00EC6E9F" w:rsidRDefault="00EC6E9F" w:rsidP="0069666D">
            <w:pPr>
              <w:spacing w:after="120"/>
              <w:rPr>
                <w:rFonts w:cstheme="minorHAnsi"/>
                <w:sz w:val="24"/>
                <w:szCs w:val="24"/>
              </w:rPr>
            </w:pPr>
            <w:r w:rsidRPr="00EC6E9F">
              <w:rPr>
                <w:rFonts w:cstheme="minorHAnsi"/>
                <w:sz w:val="24"/>
                <w:szCs w:val="24"/>
              </w:rPr>
              <w:t>Actions to be raised with the timescales below:</w:t>
            </w:r>
          </w:p>
          <w:p w14:paraId="47DE5CB9" w14:textId="321C5C41" w:rsidR="00EC6E9F" w:rsidRPr="00EC6E9F" w:rsidRDefault="00EC6E9F" w:rsidP="0069666D">
            <w:pPr>
              <w:spacing w:after="120"/>
              <w:rPr>
                <w:rFonts w:cstheme="minorHAnsi"/>
                <w:sz w:val="24"/>
                <w:szCs w:val="24"/>
              </w:rPr>
            </w:pPr>
            <w:r w:rsidRPr="00EC6E9F">
              <w:rPr>
                <w:rFonts w:cstheme="minorHAnsi"/>
                <w:sz w:val="24"/>
                <w:szCs w:val="24"/>
              </w:rPr>
              <w:t>High Risk – 28 days from date of assessment</w:t>
            </w:r>
          </w:p>
          <w:p w14:paraId="38980651" w14:textId="4923B6A8" w:rsidR="00EC6E9F" w:rsidRPr="00EC6E9F" w:rsidRDefault="00EC6E9F" w:rsidP="0069666D">
            <w:pPr>
              <w:spacing w:after="120"/>
              <w:rPr>
                <w:rFonts w:cstheme="minorHAnsi"/>
                <w:sz w:val="24"/>
                <w:szCs w:val="24"/>
              </w:rPr>
            </w:pPr>
            <w:r w:rsidRPr="00EC6E9F">
              <w:rPr>
                <w:rFonts w:cstheme="minorHAnsi"/>
                <w:sz w:val="24"/>
                <w:szCs w:val="24"/>
              </w:rPr>
              <w:t>Medium Risk – 3 months from date of assessment</w:t>
            </w:r>
          </w:p>
          <w:p w14:paraId="3B37147D" w14:textId="1CA8F242" w:rsidR="00EC6E9F" w:rsidRPr="00EC6E9F" w:rsidRDefault="00EC6E9F" w:rsidP="0069666D">
            <w:pPr>
              <w:spacing w:after="120"/>
              <w:rPr>
                <w:rFonts w:cstheme="minorHAnsi"/>
                <w:sz w:val="24"/>
                <w:szCs w:val="24"/>
              </w:rPr>
            </w:pPr>
            <w:r w:rsidRPr="00EC6E9F">
              <w:rPr>
                <w:rFonts w:cstheme="minorHAnsi"/>
                <w:sz w:val="24"/>
                <w:szCs w:val="24"/>
              </w:rPr>
              <w:t>Low Risk – 6 months from date of assessment</w:t>
            </w:r>
          </w:p>
        </w:tc>
      </w:tr>
      <w:tr w:rsidR="00EC6E9F" w:rsidRPr="00EC6E9F" w14:paraId="65FD7F66" w14:textId="77777777" w:rsidTr="00EC6E9F">
        <w:tc>
          <w:tcPr>
            <w:tcW w:w="4473" w:type="dxa"/>
          </w:tcPr>
          <w:p w14:paraId="3734FA81" w14:textId="77777777" w:rsidR="00EC6E9F" w:rsidRPr="00EC6E9F" w:rsidRDefault="00EC6E9F" w:rsidP="0069666D">
            <w:pPr>
              <w:spacing w:after="120"/>
              <w:rPr>
                <w:rFonts w:cstheme="minorHAnsi"/>
                <w:sz w:val="24"/>
                <w:szCs w:val="24"/>
              </w:rPr>
            </w:pPr>
            <w:r w:rsidRPr="00EC6E9F">
              <w:rPr>
                <w:rFonts w:cstheme="minorHAnsi"/>
                <w:sz w:val="24"/>
                <w:szCs w:val="24"/>
              </w:rPr>
              <w:t>Invoicing</w:t>
            </w:r>
          </w:p>
        </w:tc>
        <w:tc>
          <w:tcPr>
            <w:tcW w:w="4543" w:type="dxa"/>
          </w:tcPr>
          <w:p w14:paraId="067AF64B" w14:textId="77777777" w:rsidR="00EC6E9F" w:rsidRPr="00EC6E9F" w:rsidRDefault="00EC6E9F" w:rsidP="0069666D">
            <w:pPr>
              <w:spacing w:after="120"/>
              <w:rPr>
                <w:rFonts w:cstheme="minorHAnsi"/>
                <w:sz w:val="24"/>
                <w:szCs w:val="24"/>
              </w:rPr>
            </w:pPr>
            <w:r w:rsidRPr="00EC6E9F">
              <w:rPr>
                <w:rFonts w:cstheme="minorHAnsi"/>
                <w:sz w:val="24"/>
                <w:szCs w:val="24"/>
              </w:rPr>
              <w:t>Valuations to be submitted no later than 25</w:t>
            </w:r>
            <w:r w:rsidRPr="00EC6E9F">
              <w:rPr>
                <w:rFonts w:cstheme="minorHAnsi"/>
                <w:sz w:val="24"/>
                <w:szCs w:val="24"/>
                <w:vertAlign w:val="superscript"/>
              </w:rPr>
              <w:t>th</w:t>
            </w:r>
            <w:r w:rsidRPr="00EC6E9F">
              <w:rPr>
                <w:rFonts w:cstheme="minorHAnsi"/>
                <w:sz w:val="24"/>
                <w:szCs w:val="24"/>
              </w:rPr>
              <w:t xml:space="preserve"> of each month</w:t>
            </w:r>
          </w:p>
          <w:p w14:paraId="36473D0A" w14:textId="77777777" w:rsidR="00EC6E9F" w:rsidRPr="00EC6E9F" w:rsidRDefault="00EC6E9F" w:rsidP="0069666D">
            <w:pPr>
              <w:spacing w:after="120"/>
              <w:rPr>
                <w:rFonts w:cstheme="minorHAnsi"/>
                <w:sz w:val="24"/>
                <w:szCs w:val="24"/>
              </w:rPr>
            </w:pPr>
            <w:r w:rsidRPr="00EC6E9F">
              <w:rPr>
                <w:rFonts w:cstheme="minorHAnsi"/>
                <w:sz w:val="24"/>
                <w:szCs w:val="24"/>
              </w:rPr>
              <w:t xml:space="preserve">All Invoices to be accurately submitted following approval of the valuation </w:t>
            </w:r>
            <w:proofErr w:type="gramStart"/>
            <w:r w:rsidRPr="00EC6E9F">
              <w:rPr>
                <w:rFonts w:cstheme="minorHAnsi"/>
                <w:sz w:val="24"/>
                <w:szCs w:val="24"/>
              </w:rPr>
              <w:t>on a monthly basis</w:t>
            </w:r>
            <w:proofErr w:type="gramEnd"/>
            <w:r w:rsidRPr="00EC6E9F">
              <w:rPr>
                <w:rFonts w:cstheme="minorHAnsi"/>
                <w:sz w:val="24"/>
                <w:szCs w:val="24"/>
              </w:rPr>
              <w:t xml:space="preserve"> </w:t>
            </w:r>
          </w:p>
        </w:tc>
      </w:tr>
      <w:tr w:rsidR="00EC6E9F" w:rsidRPr="00EC6E9F" w14:paraId="109177A7" w14:textId="77777777" w:rsidTr="00EC6E9F">
        <w:tc>
          <w:tcPr>
            <w:tcW w:w="4473" w:type="dxa"/>
          </w:tcPr>
          <w:p w14:paraId="490D52EE" w14:textId="77777777" w:rsidR="00EC6E9F" w:rsidRPr="00EC6E9F" w:rsidRDefault="00EC6E9F" w:rsidP="0069666D">
            <w:pPr>
              <w:spacing w:after="120"/>
              <w:rPr>
                <w:rFonts w:cstheme="minorHAnsi"/>
                <w:sz w:val="24"/>
                <w:szCs w:val="24"/>
              </w:rPr>
            </w:pPr>
            <w:r w:rsidRPr="00EC6E9F">
              <w:rPr>
                <w:rFonts w:cstheme="minorHAnsi"/>
                <w:sz w:val="24"/>
                <w:szCs w:val="24"/>
              </w:rPr>
              <w:t>Contract Review Meetings</w:t>
            </w:r>
          </w:p>
        </w:tc>
        <w:tc>
          <w:tcPr>
            <w:tcW w:w="4543" w:type="dxa"/>
          </w:tcPr>
          <w:p w14:paraId="1F335D5D" w14:textId="77777777" w:rsidR="00EC6E9F" w:rsidRPr="00EC6E9F" w:rsidRDefault="00EC6E9F" w:rsidP="0069666D">
            <w:pPr>
              <w:spacing w:after="120"/>
              <w:rPr>
                <w:rFonts w:cstheme="minorHAnsi"/>
                <w:sz w:val="24"/>
                <w:szCs w:val="24"/>
              </w:rPr>
            </w:pPr>
            <w:r w:rsidRPr="00EC6E9F">
              <w:rPr>
                <w:rFonts w:cstheme="minorHAnsi"/>
                <w:sz w:val="24"/>
                <w:szCs w:val="24"/>
              </w:rPr>
              <w:t xml:space="preserve">Monthly via Microsoft Teams </w:t>
            </w:r>
          </w:p>
        </w:tc>
      </w:tr>
    </w:tbl>
    <w:p w14:paraId="37A8045B" w14:textId="77777777" w:rsidR="00EC6E9F" w:rsidRPr="00EC6E9F" w:rsidRDefault="00EC6E9F" w:rsidP="00EC6E9F">
      <w:pPr>
        <w:spacing w:after="120"/>
        <w:rPr>
          <w:rFonts w:cstheme="minorHAnsi"/>
          <w:sz w:val="24"/>
          <w:szCs w:val="24"/>
        </w:rPr>
      </w:pPr>
    </w:p>
    <w:p w14:paraId="43BBE3DC" w14:textId="77777777" w:rsidR="00EC6E9F" w:rsidRPr="00EC6E9F" w:rsidRDefault="00EC6E9F" w:rsidP="00EC6E9F">
      <w:pPr>
        <w:jc w:val="both"/>
        <w:rPr>
          <w:rFonts w:cstheme="minorHAnsi"/>
          <w:i/>
          <w:sz w:val="24"/>
          <w:szCs w:val="24"/>
        </w:rPr>
      </w:pPr>
    </w:p>
    <w:p w14:paraId="1A214FBB" w14:textId="77777777" w:rsidR="00EC6E9F" w:rsidRPr="00EC6E9F" w:rsidRDefault="00EC6E9F" w:rsidP="00EC6E9F">
      <w:pPr>
        <w:rPr>
          <w:rFonts w:cstheme="minorHAnsi"/>
          <w:sz w:val="24"/>
          <w:szCs w:val="24"/>
        </w:rPr>
      </w:pPr>
    </w:p>
    <w:p w14:paraId="141059BC" w14:textId="77777777" w:rsidR="00EC6E9F" w:rsidRPr="00EC6E9F" w:rsidRDefault="00EC6E9F">
      <w:pPr>
        <w:rPr>
          <w:rFonts w:cstheme="minorHAnsi"/>
          <w:sz w:val="24"/>
          <w:szCs w:val="24"/>
        </w:rPr>
      </w:pPr>
    </w:p>
    <w:sectPr w:rsidR="00EC6E9F" w:rsidRPr="00EC6E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ABDNJ+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CCAC9F9E"/>
    <w:lvl w:ilvl="0">
      <w:start w:val="1"/>
      <w:numFmt w:val="decimal"/>
      <w:pStyle w:val="Level1"/>
      <w:lvlText w:val="%1."/>
      <w:lvlJc w:val="left"/>
      <w:pPr>
        <w:tabs>
          <w:tab w:val="num" w:pos="850"/>
        </w:tabs>
        <w:ind w:left="850" w:hanging="850"/>
      </w:pPr>
      <w:rPr>
        <w:rFonts w:ascii="Candara" w:hAnsi="Candara" w:cs="Calibri" w:hint="default"/>
        <w:b w:val="0"/>
        <w:i w:val="0"/>
        <w:caps w:val="0"/>
        <w:smallCaps w:val="0"/>
        <w:strike w:val="0"/>
        <w:dstrike w:val="0"/>
        <w:outline w:val="0"/>
        <w:shadow w:val="0"/>
        <w:emboss w:val="0"/>
        <w:imprint w:val="0"/>
        <w:vanish w:val="0"/>
        <w:webHidden w:val="0"/>
        <w:u w:val="none"/>
        <w:effect w:val="none"/>
        <w:vertAlign w:val="baseline"/>
        <w:specVanish w:val="0"/>
      </w:rPr>
    </w:lvl>
    <w:lvl w:ilvl="1">
      <w:start w:val="1"/>
      <w:numFmt w:val="decimal"/>
      <w:pStyle w:val="Level2"/>
      <w:lvlText w:val="%1.%2"/>
      <w:lvlJc w:val="left"/>
      <w:pPr>
        <w:tabs>
          <w:tab w:val="num" w:pos="1276"/>
        </w:tabs>
        <w:ind w:left="1276" w:hanging="850"/>
      </w:pPr>
      <w:rPr>
        <w:rFonts w:ascii="Candara" w:hAnsi="Candara" w:hint="default"/>
        <w:b w:val="0"/>
        <w:i w:val="0"/>
        <w:caps w:val="0"/>
        <w:smallCaps w:val="0"/>
        <w:strike w:val="0"/>
        <w:dstrike w:val="0"/>
        <w:outline w:val="0"/>
        <w:shadow w:val="0"/>
        <w:emboss w:val="0"/>
        <w:imprint w:val="0"/>
        <w:vanish w:val="0"/>
        <w:webHidden w:val="0"/>
        <w:u w:val="none"/>
        <w:effect w:val="none"/>
        <w:vertAlign w:val="baseline"/>
        <w:specVanish w:val="0"/>
      </w:rPr>
    </w:lvl>
    <w:lvl w:ilvl="2">
      <w:start w:val="1"/>
      <w:numFmt w:val="decimal"/>
      <w:pStyle w:val="Level3"/>
      <w:lvlText w:val="%1.%2.%3"/>
      <w:lvlJc w:val="left"/>
      <w:pPr>
        <w:tabs>
          <w:tab w:val="num" w:pos="1701"/>
        </w:tabs>
        <w:ind w:left="1701" w:hanging="851"/>
      </w:pPr>
      <w:rPr>
        <w:b w:val="0"/>
        <w:i w:val="0"/>
        <w:caps w:val="0"/>
        <w:smallCaps w:val="0"/>
        <w:strike w:val="0"/>
        <w:dstrike w:val="0"/>
        <w:outline w:val="0"/>
        <w:shadow w:val="0"/>
        <w:emboss w:val="0"/>
        <w:imprint w:val="0"/>
        <w:vanish w:val="0"/>
        <w:webHidden w:val="0"/>
        <w:color w:val="auto"/>
        <w:u w:val="none"/>
        <w:effect w:val="none"/>
        <w:vertAlign w:val="baseline"/>
        <w:specVanish w:val="0"/>
      </w:rPr>
    </w:lvl>
    <w:lvl w:ilvl="3">
      <w:start w:val="1"/>
      <w:numFmt w:val="lowerLetter"/>
      <w:pStyle w:val="Level4"/>
      <w:lvlText w:val="(%4)"/>
      <w:lvlJc w:val="left"/>
      <w:pPr>
        <w:tabs>
          <w:tab w:val="num" w:pos="2268"/>
        </w:tabs>
        <w:ind w:left="2268" w:hanging="567"/>
      </w:pPr>
      <w:rPr>
        <w:b w:val="0"/>
        <w:i w:val="0"/>
        <w:caps w:val="0"/>
        <w:smallCaps w:val="0"/>
        <w:strike w:val="0"/>
        <w:dstrike w:val="0"/>
        <w:outline w:val="0"/>
        <w:shadow w:val="0"/>
        <w:emboss w:val="0"/>
        <w:imprint w:val="0"/>
        <w:vanish w:val="0"/>
        <w:webHidden w:val="0"/>
        <w:u w:val="none"/>
        <w:effect w:val="none"/>
        <w:vertAlign w:val="baseline"/>
        <w:specVanish w:val="0"/>
      </w:rPr>
    </w:lvl>
    <w:lvl w:ilvl="4">
      <w:start w:val="1"/>
      <w:numFmt w:val="lowerRoman"/>
      <w:pStyle w:val="Level5"/>
      <w:lvlText w:val="(%5)"/>
      <w:lvlJc w:val="left"/>
      <w:pPr>
        <w:tabs>
          <w:tab w:val="num" w:pos="2835"/>
        </w:tabs>
        <w:ind w:left="2835" w:hanging="567"/>
      </w:pPr>
      <w:rPr>
        <w:b w:val="0"/>
        <w:i w:val="0"/>
        <w:caps w:val="0"/>
        <w:smallCaps w:val="0"/>
        <w:strike w:val="0"/>
        <w:dstrike w:val="0"/>
        <w:outline w:val="0"/>
        <w:shadow w:val="0"/>
        <w:emboss w:val="0"/>
        <w:imprint w:val="0"/>
        <w:vanish w:val="0"/>
        <w:webHidden w:val="0"/>
        <w:u w:val="none"/>
        <w:effect w:val="none"/>
        <w:vertAlign w:val="baseline"/>
        <w:specVanish w:val="0"/>
      </w:rPr>
    </w:lvl>
    <w:lvl w:ilvl="5">
      <w:start w:val="1"/>
      <w:numFmt w:val="upperLetter"/>
      <w:pStyle w:val="Level6"/>
      <w:lvlText w:val="(%6)"/>
      <w:lvlJc w:val="left"/>
      <w:pPr>
        <w:tabs>
          <w:tab w:val="num" w:pos="3402"/>
        </w:tabs>
        <w:ind w:left="3402" w:hanging="567"/>
      </w:pPr>
      <w:rPr>
        <w:b w:val="0"/>
        <w:i w:val="0"/>
        <w:caps w:val="0"/>
        <w:smallCaps w:val="0"/>
        <w:strike w:val="0"/>
        <w:dstrike w:val="0"/>
        <w:outline w:val="0"/>
        <w:shadow w:val="0"/>
        <w:emboss w:val="0"/>
        <w:imprint w:val="0"/>
        <w:vanish w:val="0"/>
        <w:webHidden w:val="0"/>
        <w:u w:val="none"/>
        <w:effect w:val="none"/>
        <w:vertAlign w:val="baseline"/>
        <w:specVanish w:val="0"/>
      </w:rPr>
    </w:lvl>
    <w:lvl w:ilvl="6">
      <w:start w:val="1"/>
      <w:numFmt w:val="none"/>
      <w:suff w:val="nothing"/>
      <w:lvlText w:val="Not Defined"/>
      <w:lvlJc w:val="left"/>
      <w:pPr>
        <w:ind w:left="0" w:firstLine="0"/>
      </w:pPr>
      <w:rPr>
        <w:b w:val="0"/>
        <w:i w:val="0"/>
        <w:caps w:val="0"/>
        <w:smallCaps w:val="0"/>
        <w:strike w:val="0"/>
        <w:dstrike w:val="0"/>
        <w:outline w:val="0"/>
        <w:shadow w:val="0"/>
        <w:emboss w:val="0"/>
        <w:imprint w:val="0"/>
        <w:vanish w:val="0"/>
        <w:webHidden w:val="0"/>
        <w:u w:val="none"/>
        <w:effect w:val="none"/>
        <w:vertAlign w:val="baseline"/>
        <w:specVanish w:val="0"/>
      </w:rPr>
    </w:lvl>
    <w:lvl w:ilvl="7">
      <w:start w:val="1"/>
      <w:numFmt w:val="none"/>
      <w:suff w:val="nothing"/>
      <w:lvlText w:val="Not Defined"/>
      <w:lvlJc w:val="left"/>
      <w:pPr>
        <w:ind w:left="0" w:firstLine="0"/>
      </w:pPr>
      <w:rPr>
        <w:b w:val="0"/>
        <w:i w:val="0"/>
        <w:caps w:val="0"/>
        <w:smallCaps w:val="0"/>
        <w:strike w:val="0"/>
        <w:dstrike w:val="0"/>
        <w:outline w:val="0"/>
        <w:shadow w:val="0"/>
        <w:emboss w:val="0"/>
        <w:imprint w:val="0"/>
        <w:vanish w:val="0"/>
        <w:webHidden w:val="0"/>
        <w:u w:val="none"/>
        <w:effect w:val="none"/>
        <w:vertAlign w:val="baseline"/>
        <w:specVanish w:val="0"/>
      </w:rPr>
    </w:lvl>
    <w:lvl w:ilvl="8">
      <w:start w:val="1"/>
      <w:numFmt w:val="none"/>
      <w:suff w:val="nothing"/>
      <w:lvlText w:val="Not Defined"/>
      <w:lvlJc w:val="left"/>
      <w:pPr>
        <w:ind w:left="0" w:firstLine="0"/>
      </w:pPr>
      <w:rPr>
        <w:b w:val="0"/>
        <w:i w:val="0"/>
        <w:caps w:val="0"/>
        <w:smallCaps w:val="0"/>
        <w:strike w:val="0"/>
        <w:dstrike w:val="0"/>
        <w:outline w:val="0"/>
        <w:shadow w:val="0"/>
        <w:emboss w:val="0"/>
        <w:imprint w:val="0"/>
        <w:vanish w:val="0"/>
        <w:webHidden w:val="0"/>
        <w:u w:val="none"/>
        <w:effect w:val="none"/>
        <w:vertAlign w:val="baseline"/>
        <w:specVanish w:val="0"/>
      </w:rPr>
    </w:lvl>
  </w:abstractNum>
  <w:abstractNum w:abstractNumId="1" w15:restartNumberingAfterBreak="0">
    <w:nsid w:val="5FBD29F4"/>
    <w:multiLevelType w:val="hybridMultilevel"/>
    <w:tmpl w:val="FE3E1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A5564A"/>
    <w:multiLevelType w:val="singleLevel"/>
    <w:tmpl w:val="32DEF06E"/>
    <w:lvl w:ilvl="0">
      <w:start w:val="10"/>
      <w:numFmt w:val="decimal"/>
      <w:lvlText w:val="%1."/>
      <w:lvlJc w:val="left"/>
      <w:pPr>
        <w:tabs>
          <w:tab w:val="num" w:pos="570"/>
        </w:tabs>
        <w:ind w:left="570" w:hanging="570"/>
      </w:pPr>
    </w:lvl>
  </w:abstractNum>
  <w:abstractNum w:abstractNumId="3" w15:restartNumberingAfterBreak="0">
    <w:nsid w:val="77DD3623"/>
    <w:multiLevelType w:val="hybridMultilevel"/>
    <w:tmpl w:val="0798B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214645">
    <w:abstractNumId w:val="1"/>
  </w:num>
  <w:num w:numId="2" w16cid:durableId="537864402">
    <w:abstractNumId w:val="3"/>
  </w:num>
  <w:num w:numId="3" w16cid:durableId="1046933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4949616">
    <w:abstractNumId w:val="2"/>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997"/>
    <w:rsid w:val="001170C5"/>
    <w:rsid w:val="001A0B10"/>
    <w:rsid w:val="001A3D61"/>
    <w:rsid w:val="00450975"/>
    <w:rsid w:val="00841997"/>
    <w:rsid w:val="008F4924"/>
    <w:rsid w:val="00917312"/>
    <w:rsid w:val="00BD4E25"/>
    <w:rsid w:val="00D46700"/>
    <w:rsid w:val="00EC6E9F"/>
    <w:rsid w:val="00F04958"/>
    <w:rsid w:val="00FF69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9215A"/>
  <w15:docId w15:val="{922E8A2B-9991-4AEB-8A4D-957F36428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A0B10"/>
    <w:rPr>
      <w:color w:val="0000FF"/>
      <w:u w:val="single"/>
    </w:rPr>
  </w:style>
  <w:style w:type="paragraph" w:styleId="NormalWeb">
    <w:name w:val="Normal (Web)"/>
    <w:basedOn w:val="Normal"/>
    <w:uiPriority w:val="99"/>
    <w:unhideWhenUsed/>
    <w:rsid w:val="001A0B10"/>
    <w:pPr>
      <w:spacing w:after="15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A0B10"/>
    <w:pPr>
      <w:ind w:left="720"/>
      <w:contextualSpacing/>
    </w:pPr>
  </w:style>
  <w:style w:type="paragraph" w:customStyle="1" w:styleId="Level1">
    <w:name w:val="Level 1"/>
    <w:basedOn w:val="Normal"/>
    <w:uiPriority w:val="99"/>
    <w:rsid w:val="00917312"/>
    <w:pPr>
      <w:numPr>
        <w:numId w:val="3"/>
      </w:numPr>
      <w:adjustRightInd w:val="0"/>
      <w:spacing w:after="220" w:line="360" w:lineRule="auto"/>
      <w:jc w:val="both"/>
      <w:outlineLvl w:val="0"/>
    </w:pPr>
    <w:rPr>
      <w:rFonts w:ascii="Arial" w:eastAsia="Arial" w:hAnsi="Arial" w:cs="Arial"/>
      <w:lang w:eastAsia="en-GB"/>
    </w:rPr>
  </w:style>
  <w:style w:type="paragraph" w:customStyle="1" w:styleId="Level2">
    <w:name w:val="Level 2"/>
    <w:basedOn w:val="Normal"/>
    <w:uiPriority w:val="99"/>
    <w:rsid w:val="00917312"/>
    <w:pPr>
      <w:numPr>
        <w:ilvl w:val="1"/>
        <w:numId w:val="3"/>
      </w:numPr>
      <w:tabs>
        <w:tab w:val="num" w:pos="850"/>
      </w:tabs>
      <w:adjustRightInd w:val="0"/>
      <w:spacing w:after="220" w:line="360" w:lineRule="auto"/>
      <w:ind w:left="850"/>
      <w:jc w:val="both"/>
      <w:outlineLvl w:val="1"/>
    </w:pPr>
    <w:rPr>
      <w:rFonts w:ascii="Arial" w:eastAsia="Arial" w:hAnsi="Arial" w:cs="Arial"/>
      <w:lang w:eastAsia="en-GB"/>
    </w:rPr>
  </w:style>
  <w:style w:type="paragraph" w:customStyle="1" w:styleId="Level3">
    <w:name w:val="Level 3"/>
    <w:basedOn w:val="Normal"/>
    <w:uiPriority w:val="99"/>
    <w:rsid w:val="00917312"/>
    <w:pPr>
      <w:numPr>
        <w:ilvl w:val="2"/>
        <w:numId w:val="3"/>
      </w:numPr>
      <w:adjustRightInd w:val="0"/>
      <w:spacing w:after="220" w:line="360" w:lineRule="auto"/>
      <w:jc w:val="both"/>
      <w:outlineLvl w:val="2"/>
    </w:pPr>
    <w:rPr>
      <w:rFonts w:ascii="Arial" w:eastAsia="Arial" w:hAnsi="Arial" w:cs="Arial"/>
      <w:lang w:eastAsia="en-GB"/>
    </w:rPr>
  </w:style>
  <w:style w:type="paragraph" w:customStyle="1" w:styleId="Level4">
    <w:name w:val="Level 4"/>
    <w:basedOn w:val="Normal"/>
    <w:uiPriority w:val="99"/>
    <w:rsid w:val="00917312"/>
    <w:pPr>
      <w:numPr>
        <w:ilvl w:val="3"/>
        <w:numId w:val="3"/>
      </w:numPr>
      <w:adjustRightInd w:val="0"/>
      <w:spacing w:after="220" w:line="360" w:lineRule="auto"/>
      <w:jc w:val="both"/>
      <w:outlineLvl w:val="3"/>
    </w:pPr>
    <w:rPr>
      <w:rFonts w:ascii="Arial" w:eastAsia="Arial" w:hAnsi="Arial" w:cs="Arial"/>
      <w:lang w:eastAsia="en-GB"/>
    </w:rPr>
  </w:style>
  <w:style w:type="paragraph" w:customStyle="1" w:styleId="Level5">
    <w:name w:val="Level 5"/>
    <w:basedOn w:val="Normal"/>
    <w:uiPriority w:val="99"/>
    <w:rsid w:val="00917312"/>
    <w:pPr>
      <w:numPr>
        <w:ilvl w:val="4"/>
        <w:numId w:val="3"/>
      </w:numPr>
      <w:adjustRightInd w:val="0"/>
      <w:spacing w:after="220" w:line="360" w:lineRule="auto"/>
      <w:jc w:val="both"/>
      <w:outlineLvl w:val="4"/>
    </w:pPr>
    <w:rPr>
      <w:rFonts w:ascii="Arial" w:eastAsia="Arial" w:hAnsi="Arial" w:cs="Arial"/>
      <w:lang w:eastAsia="en-GB"/>
    </w:rPr>
  </w:style>
  <w:style w:type="paragraph" w:customStyle="1" w:styleId="Level6">
    <w:name w:val="Level 6"/>
    <w:basedOn w:val="Normal"/>
    <w:uiPriority w:val="99"/>
    <w:rsid w:val="00917312"/>
    <w:pPr>
      <w:numPr>
        <w:ilvl w:val="5"/>
        <w:numId w:val="3"/>
      </w:numPr>
      <w:adjustRightInd w:val="0"/>
      <w:spacing w:after="220" w:line="360" w:lineRule="auto"/>
      <w:jc w:val="both"/>
      <w:outlineLvl w:val="5"/>
    </w:pPr>
    <w:rPr>
      <w:rFonts w:ascii="Arial" w:eastAsia="Arial" w:hAnsi="Arial" w:cs="Arial"/>
      <w:lang w:eastAsia="en-GB"/>
    </w:rPr>
  </w:style>
  <w:style w:type="paragraph" w:customStyle="1" w:styleId="Default">
    <w:name w:val="Default"/>
    <w:rsid w:val="001A3D61"/>
    <w:pPr>
      <w:autoSpaceDE w:val="0"/>
      <w:autoSpaceDN w:val="0"/>
      <w:adjustRightInd w:val="0"/>
      <w:spacing w:after="0" w:line="240" w:lineRule="auto"/>
    </w:pPr>
    <w:rPr>
      <w:rFonts w:ascii="OABDNJ+Arial" w:eastAsia="Times New Roman" w:hAnsi="OABDNJ+Arial" w:cs="OABDNJ+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en.wheeler@communityhousing.co.uk" TargetMode="External"/><Relationship Id="rId3" Type="http://schemas.openxmlformats.org/officeDocument/2006/relationships/settings" Target="settings.xml"/><Relationship Id="rId7" Type="http://schemas.openxmlformats.org/officeDocument/2006/relationships/hyperlink" Target="mailto:Karen.Conde@communityhousing.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talie.baxter@communityhousing.co.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1155</Words>
  <Characters>6586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Taylor</dc:creator>
  <cp:lastModifiedBy>Connie Moore (Risk and Procurement )</cp:lastModifiedBy>
  <cp:revision>5</cp:revision>
  <dcterms:created xsi:type="dcterms:W3CDTF">2023-01-27T09:37:00Z</dcterms:created>
  <dcterms:modified xsi:type="dcterms:W3CDTF">2023-02-07T13:08:00Z</dcterms:modified>
</cp:coreProperties>
</file>