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FD6E7" w14:textId="77777777" w:rsidR="00C935A7" w:rsidRDefault="00C935A7">
      <w:pPr>
        <w:pStyle w:val="BodyText"/>
        <w:spacing w:before="1"/>
        <w:rPr>
          <w:rFonts w:ascii="Times New Roman"/>
          <w:sz w:val="4"/>
        </w:rPr>
      </w:pPr>
    </w:p>
    <w:p w14:paraId="07AFD6E8" w14:textId="6363766C" w:rsidR="00C935A7" w:rsidRDefault="00C935A7">
      <w:pPr>
        <w:pStyle w:val="BodyText"/>
        <w:ind w:left="3466"/>
        <w:rPr>
          <w:rFonts w:ascii="Times New Roman"/>
        </w:rPr>
      </w:pPr>
    </w:p>
    <w:p w14:paraId="07AFD6E9" w14:textId="77777777" w:rsidR="00C935A7" w:rsidRDefault="00C935A7">
      <w:pPr>
        <w:pStyle w:val="BodyText"/>
        <w:rPr>
          <w:rFonts w:ascii="Times New Roman"/>
        </w:rPr>
      </w:pPr>
    </w:p>
    <w:p w14:paraId="07AFD6EA" w14:textId="77777777" w:rsidR="00C935A7" w:rsidRDefault="00C935A7">
      <w:pPr>
        <w:pStyle w:val="BodyText"/>
        <w:rPr>
          <w:rFonts w:ascii="Times New Roman"/>
        </w:rPr>
      </w:pPr>
    </w:p>
    <w:p w14:paraId="07AFD6EB" w14:textId="77777777" w:rsidR="00C935A7" w:rsidRDefault="00C935A7">
      <w:pPr>
        <w:pStyle w:val="BodyText"/>
        <w:rPr>
          <w:rFonts w:ascii="Times New Roman"/>
        </w:rPr>
      </w:pPr>
    </w:p>
    <w:p w14:paraId="07AFD6EC" w14:textId="77777777" w:rsidR="00C935A7" w:rsidRDefault="00C935A7">
      <w:pPr>
        <w:pStyle w:val="BodyText"/>
        <w:spacing w:before="9"/>
        <w:rPr>
          <w:rFonts w:ascii="Times New Roman"/>
          <w:sz w:val="19"/>
        </w:rPr>
      </w:pPr>
    </w:p>
    <w:p w14:paraId="2BD8EEBF" w14:textId="77777777" w:rsidR="007C7636" w:rsidRDefault="007C7636" w:rsidP="007C7636">
      <w:pPr>
        <w:jc w:val="center"/>
        <w:rPr>
          <w:b/>
          <w:caps/>
          <w:sz w:val="24"/>
          <w:szCs w:val="24"/>
        </w:rPr>
      </w:pPr>
      <w:bookmarkStart w:id="0" w:name="CONSTRUCTION_(DESIGN_and_MANAGEMENT)_REG"/>
      <w:bookmarkEnd w:id="0"/>
    </w:p>
    <w:p w14:paraId="4819D642" w14:textId="77777777" w:rsidR="007C7636" w:rsidRDefault="007C7636" w:rsidP="007C7636">
      <w:pPr>
        <w:jc w:val="center"/>
        <w:rPr>
          <w:b/>
          <w:caps/>
          <w:sz w:val="24"/>
          <w:szCs w:val="24"/>
        </w:rPr>
      </w:pPr>
    </w:p>
    <w:p w14:paraId="41AE267F" w14:textId="3C4BEEED" w:rsidR="007C7636" w:rsidRDefault="007C7636" w:rsidP="007C7636">
      <w:pPr>
        <w:jc w:val="center"/>
        <w:rPr>
          <w:b/>
          <w:caps/>
          <w:sz w:val="24"/>
          <w:szCs w:val="24"/>
        </w:rPr>
      </w:pPr>
      <w:r>
        <w:rPr>
          <w:b/>
          <w:caps/>
          <w:sz w:val="24"/>
          <w:szCs w:val="24"/>
        </w:rPr>
        <w:t>Welfare facilities</w:t>
      </w:r>
    </w:p>
    <w:p w14:paraId="5107A662" w14:textId="77777777" w:rsidR="007C7636" w:rsidRPr="00204360" w:rsidRDefault="007C7636" w:rsidP="007C7636">
      <w:pPr>
        <w:jc w:val="center"/>
        <w:rPr>
          <w:b/>
          <w:caps/>
          <w:sz w:val="24"/>
          <w:szCs w:val="24"/>
        </w:rPr>
      </w:pPr>
      <w:r>
        <w:rPr>
          <w:b/>
          <w:caps/>
          <w:sz w:val="24"/>
          <w:szCs w:val="24"/>
        </w:rPr>
        <w:t>Martin Luther King building</w:t>
      </w:r>
    </w:p>
    <w:p w14:paraId="2D86EC0C" w14:textId="77777777" w:rsidR="007C7636" w:rsidRPr="00204360" w:rsidRDefault="007C7636" w:rsidP="007C7636">
      <w:pPr>
        <w:jc w:val="center"/>
        <w:rPr>
          <w:b/>
          <w:caps/>
          <w:sz w:val="24"/>
          <w:szCs w:val="24"/>
        </w:rPr>
      </w:pPr>
    </w:p>
    <w:p w14:paraId="2C1A5829" w14:textId="77777777" w:rsidR="007C7636" w:rsidRPr="00B22628" w:rsidRDefault="007C7636" w:rsidP="007C7636">
      <w:pPr>
        <w:jc w:val="center"/>
        <w:rPr>
          <w:b/>
          <w:sz w:val="24"/>
          <w:szCs w:val="24"/>
        </w:rPr>
      </w:pPr>
    </w:p>
    <w:p w14:paraId="09B4E188" w14:textId="77777777" w:rsidR="007C7636" w:rsidRPr="00B22628" w:rsidRDefault="007C7636" w:rsidP="007C7636">
      <w:pPr>
        <w:jc w:val="center"/>
        <w:rPr>
          <w:b/>
          <w:sz w:val="24"/>
          <w:szCs w:val="24"/>
        </w:rPr>
      </w:pPr>
    </w:p>
    <w:p w14:paraId="7B3CE091" w14:textId="77777777" w:rsidR="007C7636" w:rsidRDefault="007C7636" w:rsidP="007C7636">
      <w:pPr>
        <w:jc w:val="center"/>
        <w:rPr>
          <w:b/>
          <w:sz w:val="24"/>
          <w:szCs w:val="24"/>
        </w:rPr>
      </w:pPr>
      <w:r>
        <w:rPr>
          <w:b/>
          <w:sz w:val="24"/>
          <w:szCs w:val="24"/>
        </w:rPr>
        <w:t xml:space="preserve"> </w:t>
      </w:r>
    </w:p>
    <w:p w14:paraId="6980036C" w14:textId="414F9593" w:rsidR="007C7636" w:rsidRDefault="007C7636" w:rsidP="007C7636">
      <w:pPr>
        <w:jc w:val="center"/>
        <w:rPr>
          <w:b/>
          <w:sz w:val="24"/>
          <w:szCs w:val="24"/>
        </w:rPr>
      </w:pPr>
      <w:r>
        <w:rPr>
          <w:b/>
          <w:sz w:val="24"/>
          <w:szCs w:val="24"/>
        </w:rPr>
        <w:t>PRE-CONSTRUCTION INFORMATION</w:t>
      </w:r>
    </w:p>
    <w:p w14:paraId="3E082271" w14:textId="77777777" w:rsidR="007C7636" w:rsidRDefault="007C7636">
      <w:pPr>
        <w:spacing w:before="93"/>
        <w:ind w:left="745" w:right="745"/>
        <w:jc w:val="center"/>
        <w:rPr>
          <w:b/>
          <w:color w:val="1F487C"/>
        </w:rPr>
      </w:pPr>
    </w:p>
    <w:p w14:paraId="07AFD704" w14:textId="77777777" w:rsidR="00C935A7" w:rsidRDefault="00C935A7">
      <w:pPr>
        <w:pStyle w:val="BodyText"/>
        <w:rPr>
          <w:b/>
          <w:sz w:val="24"/>
        </w:rPr>
      </w:pPr>
    </w:p>
    <w:p w14:paraId="07AFD705" w14:textId="77777777" w:rsidR="00C935A7" w:rsidRDefault="00C935A7">
      <w:pPr>
        <w:pStyle w:val="BodyText"/>
        <w:rPr>
          <w:b/>
          <w:sz w:val="24"/>
        </w:rPr>
      </w:pPr>
    </w:p>
    <w:p w14:paraId="07AFD706" w14:textId="77777777" w:rsidR="00C935A7" w:rsidRDefault="00C935A7">
      <w:pPr>
        <w:pStyle w:val="BodyText"/>
        <w:rPr>
          <w:b/>
          <w:sz w:val="24"/>
        </w:rPr>
      </w:pPr>
    </w:p>
    <w:p w14:paraId="07AFD707" w14:textId="77777777" w:rsidR="00C935A7" w:rsidRDefault="00C935A7">
      <w:pPr>
        <w:pStyle w:val="BodyText"/>
        <w:rPr>
          <w:b/>
          <w:sz w:val="24"/>
        </w:rPr>
      </w:pPr>
    </w:p>
    <w:p w14:paraId="07AFD708" w14:textId="77777777" w:rsidR="00C935A7" w:rsidRDefault="00C935A7">
      <w:pPr>
        <w:pStyle w:val="BodyText"/>
        <w:rPr>
          <w:b/>
          <w:sz w:val="24"/>
        </w:rPr>
      </w:pPr>
    </w:p>
    <w:p w14:paraId="07AFD709" w14:textId="77777777" w:rsidR="00C935A7" w:rsidRDefault="00C935A7">
      <w:pPr>
        <w:pStyle w:val="BodyText"/>
        <w:rPr>
          <w:b/>
          <w:sz w:val="24"/>
        </w:rPr>
      </w:pPr>
    </w:p>
    <w:p w14:paraId="07AFD70A" w14:textId="77777777" w:rsidR="00C935A7" w:rsidRDefault="00C935A7">
      <w:pPr>
        <w:pStyle w:val="BodyText"/>
        <w:rPr>
          <w:b/>
          <w:sz w:val="24"/>
        </w:rPr>
      </w:pPr>
    </w:p>
    <w:p w14:paraId="07AFD70B" w14:textId="77777777" w:rsidR="00C935A7" w:rsidRDefault="00C935A7">
      <w:pPr>
        <w:pStyle w:val="BodyText"/>
        <w:rPr>
          <w:b/>
          <w:sz w:val="24"/>
        </w:rPr>
      </w:pPr>
    </w:p>
    <w:p w14:paraId="07AFD70C" w14:textId="77777777" w:rsidR="00C935A7" w:rsidRDefault="00C935A7">
      <w:pPr>
        <w:pStyle w:val="BodyText"/>
        <w:spacing w:before="8"/>
        <w:rPr>
          <w:b/>
          <w:sz w:val="29"/>
        </w:rPr>
      </w:pPr>
    </w:p>
    <w:p w14:paraId="07AFD712" w14:textId="77777777" w:rsidR="00C935A7" w:rsidRDefault="00C935A7">
      <w:pPr>
        <w:jc w:val="center"/>
        <w:sectPr w:rsidR="00C935A7" w:rsidSect="000A5AFD">
          <w:headerReference w:type="first" r:id="rId10"/>
          <w:type w:val="continuous"/>
          <w:pgSz w:w="11910" w:h="16840"/>
          <w:pgMar w:top="1580" w:right="1000" w:bottom="280" w:left="1000" w:header="720" w:footer="720" w:gutter="0"/>
          <w:cols w:space="720"/>
          <w:titlePg/>
          <w:docGrid w:linePitch="299"/>
        </w:sectPr>
      </w:pPr>
    </w:p>
    <w:tbl>
      <w:tblPr>
        <w:tblStyle w:val="TableGrid"/>
        <w:tblW w:w="0" w:type="auto"/>
        <w:tblLook w:val="04A0" w:firstRow="1" w:lastRow="0" w:firstColumn="1" w:lastColumn="0" w:noHBand="0" w:noVBand="1"/>
      </w:tblPr>
      <w:tblGrid>
        <w:gridCol w:w="3576"/>
        <w:gridCol w:w="6324"/>
      </w:tblGrid>
      <w:tr w:rsidR="003626F9" w14:paraId="73F468E9" w14:textId="77777777" w:rsidTr="7F4C1FD5">
        <w:tc>
          <w:tcPr>
            <w:tcW w:w="10126" w:type="dxa"/>
            <w:gridSpan w:val="2"/>
          </w:tcPr>
          <w:p w14:paraId="44A66E46" w14:textId="77777777" w:rsidR="003626F9" w:rsidRDefault="003626F9">
            <w:pPr>
              <w:pStyle w:val="BodyText"/>
              <w:rPr>
                <w:b/>
              </w:rPr>
            </w:pPr>
            <w:r>
              <w:rPr>
                <w:b/>
              </w:rPr>
              <w:lastRenderedPageBreak/>
              <w:t xml:space="preserve">1. Project Details </w:t>
            </w:r>
          </w:p>
          <w:p w14:paraId="3A9B540E" w14:textId="51FBD1A4" w:rsidR="003626F9" w:rsidRDefault="003626F9">
            <w:pPr>
              <w:pStyle w:val="BodyText"/>
              <w:rPr>
                <w:b/>
              </w:rPr>
            </w:pPr>
          </w:p>
        </w:tc>
      </w:tr>
      <w:tr w:rsidR="007C7636" w14:paraId="4F78002F" w14:textId="77777777" w:rsidTr="7F4C1FD5">
        <w:tc>
          <w:tcPr>
            <w:tcW w:w="3652" w:type="dxa"/>
          </w:tcPr>
          <w:p w14:paraId="0269ABF5" w14:textId="0219EE80" w:rsidR="007C7636" w:rsidRDefault="007C7636">
            <w:pPr>
              <w:pStyle w:val="BodyText"/>
              <w:rPr>
                <w:b/>
              </w:rPr>
            </w:pPr>
            <w:r>
              <w:rPr>
                <w:w w:val="95"/>
              </w:rPr>
              <w:t>Project</w:t>
            </w:r>
          </w:p>
        </w:tc>
        <w:tc>
          <w:tcPr>
            <w:tcW w:w="6474" w:type="dxa"/>
            <w:shd w:val="clear" w:color="auto" w:fill="F2F2F2" w:themeFill="background1" w:themeFillShade="F2"/>
          </w:tcPr>
          <w:p w14:paraId="2AF68C7A" w14:textId="7E0F68E9" w:rsidR="007C7636" w:rsidRPr="007C7636" w:rsidRDefault="007C7636">
            <w:pPr>
              <w:pStyle w:val="BodyText"/>
              <w:rPr>
                <w:bCs/>
              </w:rPr>
            </w:pPr>
            <w:r w:rsidRPr="007C7636">
              <w:rPr>
                <w:bCs/>
              </w:rPr>
              <w:t xml:space="preserve">Martin Luther King Welfare Facilities </w:t>
            </w:r>
          </w:p>
        </w:tc>
      </w:tr>
      <w:tr w:rsidR="007C7636" w14:paraId="215DAC50" w14:textId="77777777" w:rsidTr="7F4C1FD5">
        <w:tc>
          <w:tcPr>
            <w:tcW w:w="3652" w:type="dxa"/>
          </w:tcPr>
          <w:p w14:paraId="49ABF014" w14:textId="2D1FA3E4" w:rsidR="007C7636" w:rsidRDefault="007C7636">
            <w:pPr>
              <w:pStyle w:val="BodyText"/>
              <w:rPr>
                <w:b/>
              </w:rPr>
            </w:pPr>
            <w:r>
              <w:t>Client</w:t>
            </w:r>
          </w:p>
        </w:tc>
        <w:tc>
          <w:tcPr>
            <w:tcW w:w="6474" w:type="dxa"/>
            <w:shd w:val="clear" w:color="auto" w:fill="F2F2F2" w:themeFill="background1" w:themeFillShade="F2"/>
          </w:tcPr>
          <w:p w14:paraId="64260369" w14:textId="24AA439A" w:rsidR="007C7636" w:rsidRPr="007C7636" w:rsidRDefault="007C7636" w:rsidP="007C7636">
            <w:pPr>
              <w:pStyle w:val="BodyText"/>
              <w:spacing w:before="59"/>
              <w:ind w:right="100"/>
              <w:rPr>
                <w:bCs/>
              </w:rPr>
            </w:pPr>
            <w:r w:rsidRPr="007C7636">
              <w:rPr>
                <w:bCs/>
              </w:rPr>
              <w:t>The Board of Trustees of the National Museum and Galleries on Merseyside, 127 Dale Street, Liverpool, L2 2JH</w:t>
            </w:r>
          </w:p>
        </w:tc>
      </w:tr>
      <w:tr w:rsidR="007C7636" w14:paraId="08B7810C" w14:textId="77777777" w:rsidTr="7F4C1FD5">
        <w:tc>
          <w:tcPr>
            <w:tcW w:w="3652" w:type="dxa"/>
          </w:tcPr>
          <w:p w14:paraId="054978EC" w14:textId="369C0654" w:rsidR="007C7636" w:rsidRDefault="007C7636">
            <w:pPr>
              <w:pStyle w:val="BodyText"/>
            </w:pPr>
            <w:r>
              <w:t>Principal designer</w:t>
            </w:r>
          </w:p>
        </w:tc>
        <w:tc>
          <w:tcPr>
            <w:tcW w:w="6474" w:type="dxa"/>
            <w:shd w:val="clear" w:color="auto" w:fill="F2F2F2" w:themeFill="background1" w:themeFillShade="F2"/>
          </w:tcPr>
          <w:p w14:paraId="6EB09E58" w14:textId="235F7787" w:rsidR="007C7636" w:rsidRPr="007C7636" w:rsidRDefault="007C7636">
            <w:pPr>
              <w:pStyle w:val="BodyText"/>
              <w:rPr>
                <w:bCs/>
              </w:rPr>
            </w:pPr>
            <w:r w:rsidRPr="007C7636">
              <w:rPr>
                <w:bCs/>
              </w:rPr>
              <w:t>FCB</w:t>
            </w:r>
          </w:p>
        </w:tc>
      </w:tr>
      <w:tr w:rsidR="007C7636" w14:paraId="118F9B2D" w14:textId="77777777" w:rsidTr="7F4C1FD5">
        <w:tc>
          <w:tcPr>
            <w:tcW w:w="3652" w:type="dxa"/>
          </w:tcPr>
          <w:p w14:paraId="02DE4C35" w14:textId="3CB0AC2C" w:rsidR="007C7636" w:rsidRDefault="007C7636">
            <w:pPr>
              <w:pStyle w:val="BodyText"/>
            </w:pPr>
            <w:r>
              <w:t>Designer(s)</w:t>
            </w:r>
          </w:p>
        </w:tc>
        <w:tc>
          <w:tcPr>
            <w:tcW w:w="6474" w:type="dxa"/>
            <w:shd w:val="clear" w:color="auto" w:fill="F2F2F2" w:themeFill="background1" w:themeFillShade="F2"/>
          </w:tcPr>
          <w:p w14:paraId="251E2C20" w14:textId="5E04A80D" w:rsidR="00197EA2" w:rsidRPr="007C7636" w:rsidRDefault="00197EA2">
            <w:pPr>
              <w:pStyle w:val="BodyText"/>
              <w:rPr>
                <w:bCs/>
              </w:rPr>
            </w:pPr>
            <w:r>
              <w:rPr>
                <w:bCs/>
              </w:rPr>
              <w:t xml:space="preserve">M&amp;E – </w:t>
            </w:r>
            <w:proofErr w:type="spellStart"/>
            <w:r>
              <w:rPr>
                <w:bCs/>
              </w:rPr>
              <w:t>Buro</w:t>
            </w:r>
            <w:proofErr w:type="spellEnd"/>
            <w:r>
              <w:rPr>
                <w:bCs/>
              </w:rPr>
              <w:t xml:space="preserve"> Happold</w:t>
            </w:r>
          </w:p>
        </w:tc>
      </w:tr>
      <w:tr w:rsidR="007C7636" w14:paraId="70BF9CC8" w14:textId="77777777" w:rsidTr="7F4C1FD5">
        <w:tc>
          <w:tcPr>
            <w:tcW w:w="3652" w:type="dxa"/>
          </w:tcPr>
          <w:p w14:paraId="46FB844C" w14:textId="77777777" w:rsidR="007C7636" w:rsidRDefault="007C7636" w:rsidP="007C7636">
            <w:pPr>
              <w:pStyle w:val="BodyText"/>
            </w:pPr>
            <w:r>
              <w:t>Site location</w:t>
            </w:r>
          </w:p>
          <w:p w14:paraId="04C44FC9" w14:textId="77777777" w:rsidR="007C7636" w:rsidRDefault="007C7636">
            <w:pPr>
              <w:pStyle w:val="BodyText"/>
            </w:pPr>
          </w:p>
        </w:tc>
        <w:tc>
          <w:tcPr>
            <w:tcW w:w="6474" w:type="dxa"/>
            <w:shd w:val="clear" w:color="auto" w:fill="F2F2F2" w:themeFill="background1" w:themeFillShade="F2"/>
          </w:tcPr>
          <w:p w14:paraId="7A357B14" w14:textId="629F8011" w:rsidR="007C7636" w:rsidRPr="007943F3" w:rsidRDefault="007943F3">
            <w:pPr>
              <w:pStyle w:val="BodyText"/>
              <w:rPr>
                <w:bCs/>
              </w:rPr>
            </w:pPr>
            <w:r w:rsidRPr="007943F3">
              <w:rPr>
                <w:bCs/>
              </w:rPr>
              <w:t xml:space="preserve">Martin Luther King Building, </w:t>
            </w:r>
            <w:r w:rsidR="00F94F8C" w:rsidRPr="00F94F8C">
              <w:rPr>
                <w:bCs/>
              </w:rPr>
              <w:t>Unit 24, Albert Dock Liverpool L3 4AF</w:t>
            </w:r>
          </w:p>
        </w:tc>
      </w:tr>
      <w:tr w:rsidR="007C7636" w14:paraId="1B10BDDB" w14:textId="77777777" w:rsidTr="7F4C1FD5">
        <w:trPr>
          <w:trHeight w:val="43"/>
        </w:trPr>
        <w:tc>
          <w:tcPr>
            <w:tcW w:w="3652" w:type="dxa"/>
          </w:tcPr>
          <w:p w14:paraId="01EEA1DE" w14:textId="0DF1F1B1" w:rsidR="007C7636" w:rsidRDefault="007C7636">
            <w:pPr>
              <w:pStyle w:val="BodyText"/>
            </w:pPr>
            <w:r>
              <w:t xml:space="preserve">Description of Works </w:t>
            </w:r>
          </w:p>
        </w:tc>
        <w:tc>
          <w:tcPr>
            <w:tcW w:w="6474" w:type="dxa"/>
            <w:shd w:val="clear" w:color="auto" w:fill="F2F2F2" w:themeFill="background1" w:themeFillShade="F2"/>
          </w:tcPr>
          <w:p w14:paraId="2888CA36" w14:textId="77777777" w:rsidR="007C7636" w:rsidRDefault="005C3A5E">
            <w:pPr>
              <w:pStyle w:val="BodyText"/>
              <w:rPr>
                <w:bCs/>
              </w:rPr>
            </w:pPr>
            <w:r w:rsidRPr="005C3A5E">
              <w:rPr>
                <w:bCs/>
              </w:rPr>
              <w:t>NML require a contractor to install, three new Unisex toilets (one of which will be an ambulant disabled toilet) along with a fully accessible disabled toilet, baby change facility and cleaner’s store.</w:t>
            </w:r>
          </w:p>
          <w:p w14:paraId="0F3198EB" w14:textId="77777777" w:rsidR="005C3A5E" w:rsidRDefault="005C3A5E">
            <w:pPr>
              <w:pStyle w:val="BodyText"/>
              <w:rPr>
                <w:bCs/>
              </w:rPr>
            </w:pPr>
          </w:p>
          <w:p w14:paraId="3AC462D8" w14:textId="7C607B7D" w:rsidR="005C3A5E" w:rsidRPr="007943F3" w:rsidRDefault="005C3A5E">
            <w:pPr>
              <w:pStyle w:val="BodyText"/>
              <w:rPr>
                <w:bCs/>
              </w:rPr>
            </w:pPr>
            <w:r>
              <w:rPr>
                <w:bCs/>
              </w:rPr>
              <w:t xml:space="preserve">The work includes removal of two lightweight partitions and 3 door sets. </w:t>
            </w:r>
          </w:p>
        </w:tc>
      </w:tr>
      <w:tr w:rsidR="007C7636" w14:paraId="78751373" w14:textId="77777777" w:rsidTr="7F4C1FD5">
        <w:trPr>
          <w:trHeight w:val="43"/>
        </w:trPr>
        <w:tc>
          <w:tcPr>
            <w:tcW w:w="3652" w:type="dxa"/>
          </w:tcPr>
          <w:p w14:paraId="1DBEF022" w14:textId="30128A18" w:rsidR="007C7636" w:rsidRDefault="007C7636">
            <w:pPr>
              <w:pStyle w:val="BodyText"/>
            </w:pPr>
            <w:r>
              <w:t>Key dates, including start and completion of construction phase</w:t>
            </w:r>
          </w:p>
        </w:tc>
        <w:tc>
          <w:tcPr>
            <w:tcW w:w="6474" w:type="dxa"/>
            <w:shd w:val="clear" w:color="auto" w:fill="F2F2F2" w:themeFill="background1" w:themeFillShade="F2"/>
          </w:tcPr>
          <w:p w14:paraId="42843CD4" w14:textId="77777777" w:rsidR="007C7636" w:rsidRDefault="00D5057C">
            <w:pPr>
              <w:pStyle w:val="BodyText"/>
              <w:rPr>
                <w:bCs/>
              </w:rPr>
            </w:pPr>
            <w:r>
              <w:rPr>
                <w:bCs/>
              </w:rPr>
              <w:t>Mobilisation Period: 25 January – 29 January 2021</w:t>
            </w:r>
          </w:p>
          <w:p w14:paraId="31713283" w14:textId="77777777" w:rsidR="00D5057C" w:rsidRDefault="00D5057C">
            <w:pPr>
              <w:pStyle w:val="BodyText"/>
              <w:rPr>
                <w:bCs/>
              </w:rPr>
            </w:pPr>
            <w:r>
              <w:rPr>
                <w:bCs/>
              </w:rPr>
              <w:t xml:space="preserve">Welfare Facilities Installation: 1 </w:t>
            </w:r>
            <w:r w:rsidR="00FB2871">
              <w:rPr>
                <w:bCs/>
              </w:rPr>
              <w:t>February</w:t>
            </w:r>
            <w:r>
              <w:rPr>
                <w:bCs/>
              </w:rPr>
              <w:t xml:space="preserve"> </w:t>
            </w:r>
            <w:r w:rsidR="00FB2871">
              <w:rPr>
                <w:bCs/>
              </w:rPr>
              <w:t>–</w:t>
            </w:r>
            <w:r>
              <w:rPr>
                <w:bCs/>
              </w:rPr>
              <w:t xml:space="preserve"> </w:t>
            </w:r>
            <w:r w:rsidR="00FB2871">
              <w:rPr>
                <w:bCs/>
              </w:rPr>
              <w:t>1 March 2021</w:t>
            </w:r>
          </w:p>
          <w:p w14:paraId="26D56774" w14:textId="3E057C66" w:rsidR="00FB2871" w:rsidRDefault="00FB2871">
            <w:pPr>
              <w:pStyle w:val="BodyText"/>
              <w:rPr>
                <w:bCs/>
              </w:rPr>
            </w:pPr>
            <w:r>
              <w:rPr>
                <w:bCs/>
              </w:rPr>
              <w:t>Comple</w:t>
            </w:r>
            <w:r w:rsidR="00C7123D">
              <w:rPr>
                <w:bCs/>
              </w:rPr>
              <w:t>tion</w:t>
            </w:r>
            <w:r>
              <w:rPr>
                <w:bCs/>
              </w:rPr>
              <w:t xml:space="preserve"> (Snagging): 1 March 2021 – 5 March 2021</w:t>
            </w:r>
          </w:p>
          <w:p w14:paraId="4ED589E0" w14:textId="77777777" w:rsidR="00FB2871" w:rsidRDefault="00FB2871">
            <w:pPr>
              <w:pStyle w:val="BodyText"/>
              <w:rPr>
                <w:bCs/>
              </w:rPr>
            </w:pPr>
            <w:r>
              <w:rPr>
                <w:bCs/>
              </w:rPr>
              <w:t xml:space="preserve">Site handover: 5 March 2021 </w:t>
            </w:r>
          </w:p>
          <w:p w14:paraId="2156C304" w14:textId="77777777" w:rsidR="00FB2871" w:rsidRDefault="00FB2871">
            <w:pPr>
              <w:pStyle w:val="BodyText"/>
              <w:rPr>
                <w:bCs/>
              </w:rPr>
            </w:pPr>
          </w:p>
          <w:p w14:paraId="7C708C4F" w14:textId="7B5DFC03" w:rsidR="00FB2871" w:rsidRDefault="7CF6702F" w:rsidP="7F4C1FD5">
            <w:pPr>
              <w:pStyle w:val="BodyText"/>
            </w:pPr>
            <w:r>
              <w:t xml:space="preserve">The works needs to be completed ahead of the Liverpool </w:t>
            </w:r>
            <w:r w:rsidR="00B0682F" w:rsidRPr="00B0682F">
              <w:t>Biennial</w:t>
            </w:r>
            <w:r w:rsidR="00B0682F">
              <w:t>.</w:t>
            </w:r>
          </w:p>
          <w:p w14:paraId="605D3490" w14:textId="77777777" w:rsidR="00FB2871" w:rsidRDefault="00FB2871">
            <w:pPr>
              <w:pStyle w:val="BodyText"/>
              <w:rPr>
                <w:bCs/>
              </w:rPr>
            </w:pPr>
          </w:p>
          <w:p w14:paraId="65575523" w14:textId="03FBDA48" w:rsidR="00FB2871" w:rsidRDefault="00FB2871">
            <w:pPr>
              <w:pStyle w:val="BodyText"/>
              <w:rPr>
                <w:bCs/>
              </w:rPr>
            </w:pPr>
            <w:r>
              <w:rPr>
                <w:bCs/>
              </w:rPr>
              <w:t>Liverpool Biannual estimated install of artwork: 8 March – 19 March 2021</w:t>
            </w:r>
          </w:p>
          <w:p w14:paraId="410F0664" w14:textId="6E9AE543" w:rsidR="00FB2871" w:rsidRPr="007943F3" w:rsidRDefault="00FB2871">
            <w:pPr>
              <w:pStyle w:val="BodyText"/>
              <w:rPr>
                <w:bCs/>
              </w:rPr>
            </w:pPr>
            <w:r>
              <w:rPr>
                <w:bCs/>
              </w:rPr>
              <w:t xml:space="preserve">Liverpool Biannual: </w:t>
            </w:r>
            <w:r w:rsidR="00C7123D">
              <w:rPr>
                <w:bCs/>
              </w:rPr>
              <w:t xml:space="preserve">20 March – 6 June 2021 </w:t>
            </w:r>
          </w:p>
        </w:tc>
      </w:tr>
      <w:tr w:rsidR="007C7636" w14:paraId="2FFE918C" w14:textId="77777777" w:rsidTr="7F4C1FD5">
        <w:trPr>
          <w:trHeight w:val="43"/>
        </w:trPr>
        <w:tc>
          <w:tcPr>
            <w:tcW w:w="3652" w:type="dxa"/>
          </w:tcPr>
          <w:p w14:paraId="3E781CE9" w14:textId="5B14FCBE" w:rsidR="007C7636" w:rsidRDefault="007C7636">
            <w:pPr>
              <w:pStyle w:val="BodyText"/>
            </w:pPr>
            <w:r>
              <w:t>Minimum time allowed between appointment</w:t>
            </w:r>
            <w:r w:rsidR="00883E0D">
              <w:t xml:space="preserve"> of principle contractor and start of construction phase </w:t>
            </w:r>
          </w:p>
        </w:tc>
        <w:tc>
          <w:tcPr>
            <w:tcW w:w="6474" w:type="dxa"/>
            <w:shd w:val="clear" w:color="auto" w:fill="F2F2F2" w:themeFill="background1" w:themeFillShade="F2"/>
          </w:tcPr>
          <w:p w14:paraId="20F9F37C" w14:textId="78845C94" w:rsidR="007C7636" w:rsidRPr="007943F3" w:rsidRDefault="00C7123D">
            <w:pPr>
              <w:pStyle w:val="BodyText"/>
              <w:rPr>
                <w:bCs/>
              </w:rPr>
            </w:pPr>
            <w:r>
              <w:rPr>
                <w:bCs/>
              </w:rPr>
              <w:t xml:space="preserve">1 week </w:t>
            </w:r>
          </w:p>
        </w:tc>
      </w:tr>
      <w:tr w:rsidR="007C7636" w14:paraId="12C52EB2" w14:textId="77777777" w:rsidTr="7F4C1FD5">
        <w:trPr>
          <w:trHeight w:val="43"/>
        </w:trPr>
        <w:tc>
          <w:tcPr>
            <w:tcW w:w="3652" w:type="dxa"/>
          </w:tcPr>
          <w:p w14:paraId="542275DC" w14:textId="153C9332" w:rsidR="007C7636" w:rsidRDefault="00F94F8C">
            <w:pPr>
              <w:pStyle w:val="BodyText"/>
            </w:pPr>
            <w:r>
              <w:t>Will the structure be used as a workpla</w:t>
            </w:r>
            <w:r w:rsidR="008742F0">
              <w:t>ce</w:t>
            </w:r>
          </w:p>
        </w:tc>
        <w:tc>
          <w:tcPr>
            <w:tcW w:w="6474" w:type="dxa"/>
            <w:shd w:val="clear" w:color="auto" w:fill="F2F2F2" w:themeFill="background1" w:themeFillShade="F2"/>
          </w:tcPr>
          <w:p w14:paraId="49105622" w14:textId="0CCF1325" w:rsidR="007C7636" w:rsidRPr="007943F3" w:rsidRDefault="000439F2">
            <w:pPr>
              <w:pStyle w:val="BodyText"/>
              <w:rPr>
                <w:bCs/>
              </w:rPr>
            </w:pPr>
            <w:r>
              <w:rPr>
                <w:bCs/>
              </w:rPr>
              <w:t xml:space="preserve">No – The building is currently unoccupied until the 20 March 2021 when public will have access to the building for the Liverpool Biannual. </w:t>
            </w:r>
          </w:p>
        </w:tc>
      </w:tr>
      <w:tr w:rsidR="008742F0" w14:paraId="51E6A902" w14:textId="77777777" w:rsidTr="7F4C1FD5">
        <w:trPr>
          <w:trHeight w:val="43"/>
        </w:trPr>
        <w:tc>
          <w:tcPr>
            <w:tcW w:w="3652" w:type="dxa"/>
          </w:tcPr>
          <w:p w14:paraId="3BAA4783" w14:textId="5AD051B4" w:rsidR="008742F0" w:rsidRDefault="008742F0">
            <w:pPr>
              <w:pStyle w:val="BodyText"/>
            </w:pPr>
            <w:r>
              <w:t xml:space="preserve">Extent and location of existing records and plans </w:t>
            </w:r>
          </w:p>
        </w:tc>
        <w:tc>
          <w:tcPr>
            <w:tcW w:w="6474" w:type="dxa"/>
            <w:shd w:val="clear" w:color="auto" w:fill="F2F2F2" w:themeFill="background1" w:themeFillShade="F2"/>
          </w:tcPr>
          <w:p w14:paraId="05F30836" w14:textId="199324B8" w:rsidR="00E719CA" w:rsidRDefault="00E719CA" w:rsidP="00E719CA">
            <w:pPr>
              <w:pStyle w:val="BodyText"/>
              <w:spacing w:before="93"/>
              <w:ind w:right="518"/>
            </w:pPr>
            <w:r>
              <w:t>The contractor, before commencing works, must check with Statutory Bodies or Public Utilities to definitely establish the presence of all services on site.</w:t>
            </w:r>
          </w:p>
          <w:p w14:paraId="3CF46C01" w14:textId="77777777" w:rsidR="00E719CA" w:rsidRDefault="00E719CA" w:rsidP="00E719CA">
            <w:pPr>
              <w:pStyle w:val="BodyText"/>
              <w:spacing w:before="93"/>
              <w:ind w:right="518"/>
            </w:pPr>
          </w:p>
          <w:p w14:paraId="31E978D7" w14:textId="77777777" w:rsidR="008742F0" w:rsidRDefault="00E719CA" w:rsidP="00E719CA">
            <w:pPr>
              <w:pStyle w:val="BodyText"/>
            </w:pPr>
            <w:r>
              <w:t xml:space="preserve">Live services existing on site to be protected and maintained as necessary </w:t>
            </w:r>
            <w:proofErr w:type="spellStart"/>
            <w:r>
              <w:t>ie</w:t>
            </w:r>
            <w:proofErr w:type="spellEnd"/>
            <w:r>
              <w:t>: gas, water, electric, drains, sewers, cable, telephone and other similar properties</w:t>
            </w:r>
          </w:p>
          <w:p w14:paraId="3F540DBA" w14:textId="77777777" w:rsidR="00E719CA" w:rsidRDefault="00E719CA" w:rsidP="00E719CA">
            <w:pPr>
              <w:pStyle w:val="BodyText"/>
            </w:pPr>
          </w:p>
          <w:p w14:paraId="52D3C330" w14:textId="77777777" w:rsidR="00E719CA" w:rsidRDefault="00E719CA" w:rsidP="00E719CA">
            <w:pPr>
              <w:pStyle w:val="BodyText"/>
            </w:pPr>
            <w:r>
              <w:t>Any such services likely to be interfered with during the execution of the works to be plotted on a Site Plan and passed to the C.A for record purposes prior to commencement of work</w:t>
            </w:r>
            <w:r w:rsidR="005D23C5">
              <w:t>.</w:t>
            </w:r>
          </w:p>
          <w:p w14:paraId="48EE9BF0" w14:textId="77777777" w:rsidR="005D23C5" w:rsidRDefault="005D23C5" w:rsidP="00E719CA">
            <w:pPr>
              <w:pStyle w:val="BodyText"/>
            </w:pPr>
          </w:p>
          <w:p w14:paraId="50CD4A4E" w14:textId="77777777" w:rsidR="005D23C5" w:rsidRPr="005D23C5" w:rsidRDefault="005D23C5" w:rsidP="005D23C5">
            <w:pPr>
              <w:pStyle w:val="BodyText"/>
              <w:rPr>
                <w:bCs/>
              </w:rPr>
            </w:pPr>
            <w:r w:rsidRPr="005D23C5">
              <w:rPr>
                <w:bCs/>
              </w:rPr>
              <w:t>Any existing surface fixed light fittings, electrical cables, sensors etc that affect the proposed works will need to be removed and re-fixed / replaced on completion.</w:t>
            </w:r>
          </w:p>
          <w:p w14:paraId="6EA87A42" w14:textId="77777777" w:rsidR="005D23C5" w:rsidRPr="005D23C5" w:rsidRDefault="005D23C5" w:rsidP="005D23C5">
            <w:pPr>
              <w:pStyle w:val="BodyText"/>
              <w:rPr>
                <w:bCs/>
              </w:rPr>
            </w:pPr>
          </w:p>
          <w:p w14:paraId="0E865139" w14:textId="506733B5" w:rsidR="005D23C5" w:rsidRPr="007943F3" w:rsidRDefault="005D23C5" w:rsidP="005D23C5">
            <w:pPr>
              <w:pStyle w:val="BodyText"/>
              <w:rPr>
                <w:bCs/>
              </w:rPr>
            </w:pPr>
            <w:r w:rsidRPr="005D23C5">
              <w:rPr>
                <w:bCs/>
              </w:rPr>
              <w:t>Site plans for all work areas are provided with the tender package.</w:t>
            </w:r>
          </w:p>
        </w:tc>
      </w:tr>
    </w:tbl>
    <w:p w14:paraId="07AFD713" w14:textId="5FAC3124" w:rsidR="00C935A7" w:rsidRDefault="00C935A7">
      <w:pPr>
        <w:pStyle w:val="BodyText"/>
        <w:rPr>
          <w:b/>
        </w:rPr>
      </w:pPr>
    </w:p>
    <w:p w14:paraId="6BE61A73" w14:textId="7591AEF3" w:rsidR="007C7636" w:rsidRDefault="007C7636">
      <w:pPr>
        <w:pStyle w:val="BodyText"/>
        <w:rPr>
          <w:b/>
        </w:rPr>
      </w:pPr>
    </w:p>
    <w:tbl>
      <w:tblPr>
        <w:tblStyle w:val="TableGrid"/>
        <w:tblW w:w="0" w:type="auto"/>
        <w:tblLook w:val="04A0" w:firstRow="1" w:lastRow="0" w:firstColumn="1" w:lastColumn="0" w:noHBand="0" w:noVBand="1"/>
      </w:tblPr>
      <w:tblGrid>
        <w:gridCol w:w="3574"/>
        <w:gridCol w:w="6326"/>
      </w:tblGrid>
      <w:tr w:rsidR="003626F9" w14:paraId="42F64F60" w14:textId="77777777" w:rsidTr="7F4C1FD5">
        <w:tc>
          <w:tcPr>
            <w:tcW w:w="9900" w:type="dxa"/>
            <w:gridSpan w:val="2"/>
          </w:tcPr>
          <w:p w14:paraId="3C70F8C4" w14:textId="5C6D47DF" w:rsidR="003626F9" w:rsidRDefault="003626F9" w:rsidP="00982EF0">
            <w:pPr>
              <w:pStyle w:val="BodyText"/>
              <w:rPr>
                <w:b/>
              </w:rPr>
            </w:pPr>
            <w:r>
              <w:rPr>
                <w:b/>
              </w:rPr>
              <w:t xml:space="preserve">2. Client’s Consideration and Management Requirements  </w:t>
            </w:r>
          </w:p>
          <w:p w14:paraId="3FE157E9" w14:textId="7CB4BAD8" w:rsidR="003626F9" w:rsidRDefault="003626F9" w:rsidP="00982EF0">
            <w:pPr>
              <w:pStyle w:val="BodyText"/>
              <w:rPr>
                <w:b/>
              </w:rPr>
            </w:pPr>
          </w:p>
        </w:tc>
      </w:tr>
      <w:tr w:rsidR="00863CA4" w14:paraId="3EB153A0" w14:textId="77777777" w:rsidTr="7F4C1FD5">
        <w:tc>
          <w:tcPr>
            <w:tcW w:w="9900" w:type="dxa"/>
            <w:gridSpan w:val="2"/>
          </w:tcPr>
          <w:p w14:paraId="6047D488" w14:textId="5DDEAB83" w:rsidR="00863CA4" w:rsidRPr="001D2017" w:rsidRDefault="00863CA4" w:rsidP="00982EF0">
            <w:pPr>
              <w:pStyle w:val="BodyText"/>
              <w:rPr>
                <w:bCs/>
              </w:rPr>
            </w:pPr>
            <w:r w:rsidRPr="001D2017">
              <w:rPr>
                <w:bCs/>
              </w:rPr>
              <w:t xml:space="preserve">Arrangements for: </w:t>
            </w:r>
          </w:p>
        </w:tc>
      </w:tr>
      <w:tr w:rsidR="00863CA4" w:rsidRPr="007C7636" w14:paraId="45636027" w14:textId="77777777" w:rsidTr="7F4C1FD5">
        <w:tc>
          <w:tcPr>
            <w:tcW w:w="3574" w:type="dxa"/>
          </w:tcPr>
          <w:p w14:paraId="1E27D6BB" w14:textId="78C8564E" w:rsidR="00863CA4" w:rsidRDefault="00863CA4" w:rsidP="00982EF0">
            <w:pPr>
              <w:pStyle w:val="BodyText"/>
              <w:rPr>
                <w:w w:val="95"/>
              </w:rPr>
            </w:pPr>
            <w:r>
              <w:rPr>
                <w:w w:val="95"/>
              </w:rPr>
              <w:t xml:space="preserve">Structure and Organisation </w:t>
            </w:r>
          </w:p>
        </w:tc>
        <w:tc>
          <w:tcPr>
            <w:tcW w:w="6326" w:type="dxa"/>
            <w:shd w:val="clear" w:color="auto" w:fill="F2F2F2" w:themeFill="background1" w:themeFillShade="F2"/>
          </w:tcPr>
          <w:p w14:paraId="36699530" w14:textId="4EEDB874" w:rsidR="00863CA4" w:rsidRDefault="001D7053" w:rsidP="00982EF0">
            <w:pPr>
              <w:pStyle w:val="BodyText"/>
              <w:rPr>
                <w:bCs/>
              </w:rPr>
            </w:pPr>
            <w:r w:rsidRPr="001D7053">
              <w:rPr>
                <w:bCs/>
              </w:rPr>
              <w:t xml:space="preserve">The main point of contact to discuss and agree health &amp; safety aspects of the project will be the Principal Designer, however day to day liaison will be with </w:t>
            </w:r>
            <w:r w:rsidR="00002056" w:rsidRPr="001D7053">
              <w:rPr>
                <w:bCs/>
              </w:rPr>
              <w:t>the</w:t>
            </w:r>
            <w:r>
              <w:rPr>
                <w:bCs/>
              </w:rPr>
              <w:t xml:space="preserve"> </w:t>
            </w:r>
            <w:r w:rsidR="00EC5781">
              <w:rPr>
                <w:bCs/>
              </w:rPr>
              <w:t>Major Project Team</w:t>
            </w:r>
            <w:r>
              <w:rPr>
                <w:bCs/>
              </w:rPr>
              <w:t xml:space="preserve"> </w:t>
            </w:r>
            <w:r w:rsidR="00EC5781">
              <w:rPr>
                <w:bCs/>
              </w:rPr>
              <w:t xml:space="preserve">at National Museums Liverpool </w:t>
            </w:r>
            <w:r w:rsidR="00107308" w:rsidRPr="001D7053">
              <w:rPr>
                <w:bCs/>
              </w:rPr>
              <w:t>in regard to</w:t>
            </w:r>
            <w:r w:rsidRPr="001D7053">
              <w:rPr>
                <w:bCs/>
              </w:rPr>
              <w:t xml:space="preserve"> delivery access etc.</w:t>
            </w:r>
          </w:p>
          <w:p w14:paraId="3EE05462" w14:textId="77777777" w:rsidR="00002056" w:rsidRDefault="00002056" w:rsidP="00982EF0">
            <w:pPr>
              <w:pStyle w:val="BodyText"/>
              <w:rPr>
                <w:bCs/>
              </w:rPr>
            </w:pPr>
          </w:p>
          <w:p w14:paraId="338CF46F" w14:textId="77777777" w:rsidR="00002056" w:rsidRDefault="00107308" w:rsidP="00982EF0">
            <w:pPr>
              <w:pStyle w:val="BodyText"/>
              <w:rPr>
                <w:bCs/>
              </w:rPr>
            </w:pPr>
            <w:r>
              <w:rPr>
                <w:bCs/>
              </w:rPr>
              <w:t xml:space="preserve">FCB have provided the design and Principal Designers services for the client. The </w:t>
            </w:r>
            <w:r w:rsidR="00EC5781">
              <w:rPr>
                <w:bCs/>
              </w:rPr>
              <w:t>Major Project Team</w:t>
            </w:r>
            <w:r>
              <w:rPr>
                <w:bCs/>
              </w:rPr>
              <w:t xml:space="preserve"> have worked closely with FCB </w:t>
            </w:r>
            <w:r w:rsidR="0064161E" w:rsidRPr="0064161E">
              <w:rPr>
                <w:bCs/>
              </w:rPr>
              <w:t>the initial stages of design</w:t>
            </w:r>
            <w:r w:rsidR="0064161E">
              <w:rPr>
                <w:bCs/>
              </w:rPr>
              <w:t>.</w:t>
            </w:r>
          </w:p>
          <w:p w14:paraId="69E429BB" w14:textId="77777777" w:rsidR="00EC5781" w:rsidRDefault="00EC5781" w:rsidP="00982EF0">
            <w:pPr>
              <w:pStyle w:val="BodyText"/>
              <w:rPr>
                <w:bCs/>
              </w:rPr>
            </w:pPr>
          </w:p>
          <w:p w14:paraId="79657C6D" w14:textId="234A1C55" w:rsidR="00EC5781" w:rsidRPr="007C7636" w:rsidRDefault="00EC5781" w:rsidP="00982EF0">
            <w:pPr>
              <w:pStyle w:val="BodyText"/>
              <w:rPr>
                <w:bCs/>
              </w:rPr>
            </w:pPr>
            <w:r>
              <w:rPr>
                <w:bCs/>
              </w:rPr>
              <w:t>National Museums Liverpool will be the Con</w:t>
            </w:r>
            <w:r w:rsidR="003404D5">
              <w:rPr>
                <w:bCs/>
              </w:rPr>
              <w:t xml:space="preserve">tract Administration (CA). </w:t>
            </w:r>
          </w:p>
        </w:tc>
      </w:tr>
      <w:tr w:rsidR="00863CA4" w:rsidRPr="007C7636" w14:paraId="3334D209" w14:textId="77777777" w:rsidTr="7F4C1FD5">
        <w:tc>
          <w:tcPr>
            <w:tcW w:w="3574" w:type="dxa"/>
          </w:tcPr>
          <w:p w14:paraId="106C8A11" w14:textId="62970135" w:rsidR="00863CA4" w:rsidRDefault="001D2017" w:rsidP="00982EF0">
            <w:pPr>
              <w:pStyle w:val="BodyText"/>
              <w:rPr>
                <w:w w:val="95"/>
              </w:rPr>
            </w:pPr>
            <w:r>
              <w:rPr>
                <w:w w:val="95"/>
              </w:rPr>
              <w:lastRenderedPageBreak/>
              <w:t xml:space="preserve">Communications between client and others </w:t>
            </w:r>
          </w:p>
        </w:tc>
        <w:tc>
          <w:tcPr>
            <w:tcW w:w="6326" w:type="dxa"/>
            <w:shd w:val="clear" w:color="auto" w:fill="F2F2F2" w:themeFill="background1" w:themeFillShade="F2"/>
          </w:tcPr>
          <w:p w14:paraId="0C1F63A6" w14:textId="77777777" w:rsidR="002F2F5D" w:rsidRDefault="002639F8" w:rsidP="00982EF0">
            <w:pPr>
              <w:pStyle w:val="BodyText"/>
              <w:rPr>
                <w:bCs/>
              </w:rPr>
            </w:pPr>
            <w:r>
              <w:rPr>
                <w:bCs/>
              </w:rPr>
              <w:t xml:space="preserve">All communications should </w:t>
            </w:r>
            <w:r w:rsidR="00CA3B79">
              <w:rPr>
                <w:bCs/>
              </w:rPr>
              <w:t xml:space="preserve">be between the contractor and the </w:t>
            </w:r>
            <w:r w:rsidR="003404D5">
              <w:rPr>
                <w:bCs/>
              </w:rPr>
              <w:t>CA.</w:t>
            </w:r>
          </w:p>
          <w:p w14:paraId="1B787426" w14:textId="77777777" w:rsidR="002F2F5D" w:rsidRDefault="002F2F5D" w:rsidP="00982EF0">
            <w:pPr>
              <w:pStyle w:val="BodyText"/>
              <w:rPr>
                <w:bCs/>
              </w:rPr>
            </w:pPr>
          </w:p>
          <w:p w14:paraId="770C8575" w14:textId="428AFFE8" w:rsidR="002F2F5D" w:rsidRDefault="002F2F5D" w:rsidP="002F2F5D">
            <w:pPr>
              <w:pStyle w:val="TableParagraph"/>
              <w:ind w:right="274"/>
              <w:rPr>
                <w:sz w:val="20"/>
              </w:rPr>
            </w:pPr>
            <w:r>
              <w:rPr>
                <w:sz w:val="20"/>
              </w:rPr>
              <w:t>All instructions to the contractor will be issued directly from the CA in writing.</w:t>
            </w:r>
          </w:p>
          <w:p w14:paraId="69884BAF" w14:textId="2CCC6D2A" w:rsidR="0032017D" w:rsidRDefault="0032017D" w:rsidP="002F2F5D">
            <w:pPr>
              <w:pStyle w:val="TableParagraph"/>
              <w:ind w:right="274"/>
              <w:rPr>
                <w:sz w:val="20"/>
              </w:rPr>
            </w:pPr>
          </w:p>
          <w:p w14:paraId="3984B003" w14:textId="1C625620" w:rsidR="0032017D" w:rsidRDefault="0032017D" w:rsidP="002F2F5D">
            <w:pPr>
              <w:pStyle w:val="TableParagraph"/>
              <w:ind w:right="274"/>
              <w:rPr>
                <w:sz w:val="20"/>
              </w:rPr>
            </w:pPr>
            <w:r w:rsidRPr="0032017D">
              <w:rPr>
                <w:sz w:val="20"/>
              </w:rPr>
              <w:t>The contractor shall liaise directly with CA for all site issues for the duration of the contract.</w:t>
            </w:r>
            <w:r w:rsidR="00B76CA4">
              <w:t xml:space="preserve"> </w:t>
            </w:r>
            <w:r w:rsidR="00B76CA4" w:rsidRPr="00B76CA4">
              <w:rPr>
                <w:sz w:val="20"/>
              </w:rPr>
              <w:t xml:space="preserve">The </w:t>
            </w:r>
            <w:r w:rsidR="00B76CA4">
              <w:rPr>
                <w:sz w:val="20"/>
              </w:rPr>
              <w:t>CA</w:t>
            </w:r>
            <w:r w:rsidR="00B76CA4" w:rsidRPr="00B76CA4">
              <w:rPr>
                <w:sz w:val="20"/>
              </w:rPr>
              <w:t xml:space="preserve"> will arrange a pre-start meeting in advance of commencing work on site</w:t>
            </w:r>
            <w:r w:rsidR="00B76CA4">
              <w:rPr>
                <w:sz w:val="20"/>
              </w:rPr>
              <w:t xml:space="preserve"> with the Principal Designer and Contractor</w:t>
            </w:r>
            <w:r w:rsidR="00B76CA4" w:rsidRPr="00B76CA4">
              <w:rPr>
                <w:sz w:val="20"/>
              </w:rPr>
              <w:t xml:space="preserve"> to discuss and agree management and coordination for project health &amp; safety. Regular site progress meetings (</w:t>
            </w:r>
            <w:r w:rsidR="00B76CA4">
              <w:rPr>
                <w:sz w:val="20"/>
              </w:rPr>
              <w:t>weekly</w:t>
            </w:r>
            <w:r w:rsidR="00B76CA4" w:rsidRPr="00B76CA4">
              <w:rPr>
                <w:sz w:val="20"/>
              </w:rPr>
              <w:t>) will be held throughout the construction period at which time opportunity will be given to update all parties on the relevant aspects of project health and safety</w:t>
            </w:r>
            <w:r w:rsidR="00425F91">
              <w:rPr>
                <w:sz w:val="20"/>
              </w:rPr>
              <w:t>.</w:t>
            </w:r>
          </w:p>
          <w:p w14:paraId="038ED468" w14:textId="197757E6" w:rsidR="00265730" w:rsidRDefault="00265730" w:rsidP="002F2F5D">
            <w:pPr>
              <w:pStyle w:val="TableParagraph"/>
              <w:ind w:right="274"/>
              <w:rPr>
                <w:sz w:val="20"/>
              </w:rPr>
            </w:pPr>
          </w:p>
          <w:p w14:paraId="1273DC4A" w14:textId="34578B63" w:rsidR="00265730" w:rsidRDefault="00265730" w:rsidP="002F2F5D">
            <w:pPr>
              <w:pStyle w:val="TableParagraph"/>
              <w:ind w:right="274"/>
              <w:rPr>
                <w:sz w:val="20"/>
              </w:rPr>
            </w:pPr>
            <w:r>
              <w:rPr>
                <w:sz w:val="20"/>
              </w:rPr>
              <w:t>The Major Projects Team (CA) will maintain lines of communication between all duty holders for the duration of the project.</w:t>
            </w:r>
            <w:r w:rsidR="00A12602">
              <w:rPr>
                <w:sz w:val="20"/>
              </w:rPr>
              <w:t xml:space="preserve">  FCB (Principal Designer) will liaise with the principal contractor</w:t>
            </w:r>
            <w:r w:rsidR="00460ED4">
              <w:rPr>
                <w:sz w:val="20"/>
              </w:rPr>
              <w:t xml:space="preserve"> and distribute relevant design risk information throughout the design phase.</w:t>
            </w:r>
          </w:p>
          <w:p w14:paraId="1D8B3626" w14:textId="00A919D7" w:rsidR="00AD6B8C" w:rsidRDefault="00AD6B8C" w:rsidP="002F2F5D">
            <w:pPr>
              <w:pStyle w:val="TableParagraph"/>
              <w:ind w:right="274"/>
              <w:rPr>
                <w:sz w:val="20"/>
              </w:rPr>
            </w:pPr>
          </w:p>
          <w:p w14:paraId="7250EBE6" w14:textId="1876E509" w:rsidR="00AD6B8C" w:rsidRDefault="00AD6B8C" w:rsidP="002F2F5D">
            <w:pPr>
              <w:pStyle w:val="TableParagraph"/>
              <w:ind w:right="274"/>
              <w:rPr>
                <w:sz w:val="20"/>
              </w:rPr>
            </w:pPr>
            <w:r>
              <w:rPr>
                <w:sz w:val="20"/>
              </w:rPr>
              <w:t>The contractor must provide a programme to be agreed with the CA, clearly indicating dates when access to specific work areas area required.</w:t>
            </w:r>
          </w:p>
          <w:p w14:paraId="2EF9761C" w14:textId="738569BB" w:rsidR="00863CA4" w:rsidRPr="007C7636" w:rsidRDefault="00863CA4" w:rsidP="00982EF0">
            <w:pPr>
              <w:pStyle w:val="BodyText"/>
              <w:rPr>
                <w:bCs/>
              </w:rPr>
            </w:pPr>
          </w:p>
        </w:tc>
      </w:tr>
      <w:tr w:rsidR="003626F9" w:rsidRPr="007C7636" w14:paraId="5DB29D93" w14:textId="77777777" w:rsidTr="7F4C1FD5">
        <w:tc>
          <w:tcPr>
            <w:tcW w:w="3574" w:type="dxa"/>
          </w:tcPr>
          <w:p w14:paraId="7E4FE585" w14:textId="29A5CDC4" w:rsidR="003626F9" w:rsidRPr="001D2017" w:rsidRDefault="001D2017" w:rsidP="00982EF0">
            <w:pPr>
              <w:pStyle w:val="BodyText"/>
              <w:rPr>
                <w:bCs/>
              </w:rPr>
            </w:pPr>
            <w:r w:rsidRPr="001D2017">
              <w:rPr>
                <w:bCs/>
              </w:rPr>
              <w:t xml:space="preserve">Safety Goals </w:t>
            </w:r>
          </w:p>
        </w:tc>
        <w:tc>
          <w:tcPr>
            <w:tcW w:w="6326" w:type="dxa"/>
            <w:shd w:val="clear" w:color="auto" w:fill="F2F2F2" w:themeFill="background1" w:themeFillShade="F2"/>
          </w:tcPr>
          <w:p w14:paraId="1BAA68DB" w14:textId="4BC0BA67" w:rsidR="00D65DA0" w:rsidRDefault="00D65DA0" w:rsidP="00D65DA0">
            <w:pPr>
              <w:pStyle w:val="TableParagraph"/>
              <w:spacing w:before="50"/>
              <w:ind w:right="163"/>
              <w:rPr>
                <w:sz w:val="20"/>
              </w:rPr>
            </w:pPr>
            <w:r>
              <w:rPr>
                <w:sz w:val="20"/>
              </w:rPr>
              <w:t>NML expects the highest standards of Health &amp; Safety to be observed throughout all building projects and will work together with the successful contractor to ensure that the safety goals are achieved.</w:t>
            </w:r>
          </w:p>
          <w:p w14:paraId="3BBBDB7B" w14:textId="30DFE443" w:rsidR="009655EA" w:rsidRDefault="009655EA" w:rsidP="00D65DA0">
            <w:pPr>
              <w:pStyle w:val="TableParagraph"/>
              <w:spacing w:before="50"/>
              <w:ind w:right="163"/>
              <w:rPr>
                <w:sz w:val="20"/>
              </w:rPr>
            </w:pPr>
          </w:p>
          <w:p w14:paraId="1D6F0480" w14:textId="34C9D619" w:rsidR="009655EA" w:rsidRDefault="009655EA" w:rsidP="009655EA">
            <w:pPr>
              <w:pStyle w:val="TableParagraph"/>
              <w:ind w:right="137"/>
              <w:rPr>
                <w:sz w:val="20"/>
              </w:rPr>
            </w:pPr>
            <w:r>
              <w:rPr>
                <w:sz w:val="20"/>
              </w:rPr>
              <w:t>The Principal Contractors Construction Phase Health</w:t>
            </w:r>
            <w:r>
              <w:rPr>
                <w:spacing w:val="-23"/>
                <w:sz w:val="20"/>
              </w:rPr>
              <w:t xml:space="preserve"> </w:t>
            </w:r>
            <w:r>
              <w:rPr>
                <w:sz w:val="20"/>
              </w:rPr>
              <w:t xml:space="preserve">&amp; Safety Plan will be the principal document for setting out how the project will be managed with regard to Health &amp; Safety. The Construction Phase Health &amp; Safety Plan </w:t>
            </w:r>
            <w:r>
              <w:rPr>
                <w:b/>
                <w:sz w:val="20"/>
                <w:u w:val="thick"/>
              </w:rPr>
              <w:t>MUST</w:t>
            </w:r>
            <w:r>
              <w:rPr>
                <w:b/>
                <w:sz w:val="20"/>
              </w:rPr>
              <w:t xml:space="preserve"> </w:t>
            </w:r>
            <w:r>
              <w:rPr>
                <w:sz w:val="20"/>
              </w:rPr>
              <w:t>be site specific. Generic plans will not be accepted. A copy of the Construction Phase Health &amp; Safety Plan must be submitted to the client at least 1 week prior to commencement. Works should not commence until the client is satisfied that the construction phase plan has satisfactorily addressed the relevant project health &amp; safety</w:t>
            </w:r>
            <w:r>
              <w:rPr>
                <w:spacing w:val="-8"/>
                <w:sz w:val="20"/>
              </w:rPr>
              <w:t xml:space="preserve"> </w:t>
            </w:r>
            <w:r>
              <w:rPr>
                <w:sz w:val="20"/>
              </w:rPr>
              <w:t>risks.</w:t>
            </w:r>
          </w:p>
          <w:p w14:paraId="3E2744DD" w14:textId="0389AC94" w:rsidR="009D4203" w:rsidRDefault="009D4203" w:rsidP="009655EA">
            <w:pPr>
              <w:pStyle w:val="TableParagraph"/>
              <w:ind w:right="137"/>
              <w:rPr>
                <w:sz w:val="20"/>
              </w:rPr>
            </w:pPr>
          </w:p>
          <w:p w14:paraId="6286CD57" w14:textId="77777777" w:rsidR="009D4203" w:rsidRDefault="009D4203" w:rsidP="009D4203">
            <w:pPr>
              <w:pStyle w:val="TableParagraph"/>
              <w:ind w:right="85"/>
              <w:rPr>
                <w:sz w:val="20"/>
              </w:rPr>
            </w:pPr>
            <w:r>
              <w:rPr>
                <w:sz w:val="20"/>
              </w:rPr>
              <w:t>A formal meeting with all duty holders will take place prior to commencement of works on site at which time the project Health &amp; Safety issues will be discussed in detail. Further site meetings will take place throughout the contract period during which opportunity will be given to discuss the Health &amp; Safety issues in the presence of all duty holders.</w:t>
            </w:r>
          </w:p>
          <w:p w14:paraId="53AE5885" w14:textId="77777777" w:rsidR="009D4203" w:rsidRDefault="009D4203" w:rsidP="009655EA">
            <w:pPr>
              <w:pStyle w:val="TableParagraph"/>
              <w:ind w:right="137"/>
              <w:rPr>
                <w:sz w:val="20"/>
              </w:rPr>
            </w:pPr>
          </w:p>
          <w:p w14:paraId="1844AB5E" w14:textId="73AE37BA" w:rsidR="009655EA" w:rsidRDefault="003D0806" w:rsidP="00D65DA0">
            <w:pPr>
              <w:pStyle w:val="TableParagraph"/>
              <w:spacing w:before="50"/>
              <w:ind w:right="163"/>
              <w:rPr>
                <w:sz w:val="20"/>
              </w:rPr>
            </w:pPr>
            <w:r>
              <w:rPr>
                <w:sz w:val="20"/>
              </w:rPr>
              <w:t>It is essential that the proposed works are planned with thought for safe access during the contract programme. All unauthorised persons are to be kept segregated from the works and exposure to potential associated construction hazards.</w:t>
            </w:r>
          </w:p>
          <w:p w14:paraId="5A2522BD" w14:textId="770E0ACF" w:rsidR="003626F9" w:rsidRPr="007C7636" w:rsidRDefault="003626F9" w:rsidP="00982EF0">
            <w:pPr>
              <w:pStyle w:val="BodyText"/>
              <w:rPr>
                <w:bCs/>
              </w:rPr>
            </w:pPr>
          </w:p>
        </w:tc>
      </w:tr>
      <w:tr w:rsidR="003626F9" w:rsidRPr="007C7636" w14:paraId="770E5A8D" w14:textId="77777777" w:rsidTr="7F4C1FD5">
        <w:tc>
          <w:tcPr>
            <w:tcW w:w="3574" w:type="dxa"/>
          </w:tcPr>
          <w:p w14:paraId="28540657" w14:textId="7F02DFC3" w:rsidR="003626F9" w:rsidRPr="001D2017" w:rsidRDefault="001D2017" w:rsidP="00982EF0">
            <w:pPr>
              <w:pStyle w:val="BodyText"/>
              <w:rPr>
                <w:bCs/>
              </w:rPr>
            </w:pPr>
            <w:r w:rsidRPr="001D2017">
              <w:rPr>
                <w:bCs/>
              </w:rPr>
              <w:t>Security</w:t>
            </w:r>
          </w:p>
        </w:tc>
        <w:tc>
          <w:tcPr>
            <w:tcW w:w="6326" w:type="dxa"/>
            <w:shd w:val="clear" w:color="auto" w:fill="F2F2F2" w:themeFill="background1" w:themeFillShade="F2"/>
          </w:tcPr>
          <w:p w14:paraId="459F98A2" w14:textId="45FE9163" w:rsidR="001E01FF" w:rsidRDefault="56BE5092" w:rsidP="7F4C1FD5">
            <w:pPr>
              <w:pStyle w:val="TableParagraph"/>
              <w:ind w:right="93"/>
              <w:rPr>
                <w:sz w:val="20"/>
                <w:szCs w:val="20"/>
              </w:rPr>
            </w:pPr>
            <w:r w:rsidRPr="7F4C1FD5">
              <w:rPr>
                <w:sz w:val="20"/>
                <w:szCs w:val="20"/>
              </w:rPr>
              <w:t xml:space="preserve">All personnel will be required to attend a site induction prior to entering the site. The site induction will be held on site and will be arranged by CA, </w:t>
            </w:r>
            <w:r w:rsidR="2116B170" w:rsidRPr="7F4C1FD5">
              <w:rPr>
                <w:sz w:val="20"/>
                <w:szCs w:val="20"/>
              </w:rPr>
              <w:t>Principal</w:t>
            </w:r>
            <w:r w:rsidRPr="7F4C1FD5">
              <w:rPr>
                <w:sz w:val="20"/>
                <w:szCs w:val="20"/>
              </w:rPr>
              <w:t xml:space="preserve"> Contractor</w:t>
            </w:r>
            <w:r w:rsidR="00B0682F">
              <w:rPr>
                <w:sz w:val="20"/>
                <w:szCs w:val="20"/>
              </w:rPr>
              <w:t xml:space="preserve">. </w:t>
            </w:r>
            <w:r w:rsidRPr="7F4C1FD5">
              <w:rPr>
                <w:sz w:val="20"/>
                <w:szCs w:val="20"/>
              </w:rPr>
              <w:t xml:space="preserve">Details for signing in and out of the building will be advised during the site induction process, and in line with </w:t>
            </w:r>
            <w:r w:rsidR="26A97B23" w:rsidRPr="7F4C1FD5">
              <w:rPr>
                <w:sz w:val="20"/>
                <w:szCs w:val="20"/>
              </w:rPr>
              <w:t>Principal</w:t>
            </w:r>
            <w:r w:rsidRPr="7F4C1FD5">
              <w:rPr>
                <w:sz w:val="20"/>
                <w:szCs w:val="20"/>
              </w:rPr>
              <w:t xml:space="preserve"> Contractor site rules and site setup.</w:t>
            </w:r>
          </w:p>
          <w:p w14:paraId="6905EE7A" w14:textId="77777777" w:rsidR="003626F9" w:rsidRDefault="003626F9" w:rsidP="00982EF0">
            <w:pPr>
              <w:pStyle w:val="BodyText"/>
              <w:spacing w:before="59"/>
              <w:ind w:right="100"/>
              <w:rPr>
                <w:bCs/>
              </w:rPr>
            </w:pPr>
          </w:p>
          <w:p w14:paraId="5A43ABC4" w14:textId="4688C539" w:rsidR="00EA1875" w:rsidRPr="00EA1875" w:rsidRDefault="60A0F844" w:rsidP="00EA1875">
            <w:pPr>
              <w:pStyle w:val="BodyText"/>
              <w:spacing w:before="59"/>
              <w:ind w:right="100"/>
            </w:pPr>
            <w:r>
              <w:t xml:space="preserve">The Contractor shall comply with all regulations and operating restrictions imposed by the Client / Principal Designer / </w:t>
            </w:r>
            <w:r w:rsidR="5090F638">
              <w:t>Designer / Principal</w:t>
            </w:r>
            <w:r>
              <w:t xml:space="preserve"> Contractor with regard to access routes throughout the site. In </w:t>
            </w:r>
            <w:proofErr w:type="gramStart"/>
            <w:r>
              <w:t>addition</w:t>
            </w:r>
            <w:proofErr w:type="gramEnd"/>
            <w:r>
              <w:t xml:space="preserve"> the Contractor shall liaise with the NML Security/ Visitor Services Managers to obtain building security badges for staff during the carrying out of the works.</w:t>
            </w:r>
          </w:p>
          <w:p w14:paraId="71216574" w14:textId="77777777" w:rsidR="00EA1875" w:rsidRPr="00EA1875" w:rsidRDefault="00EA1875" w:rsidP="00EA1875">
            <w:pPr>
              <w:pStyle w:val="BodyText"/>
              <w:spacing w:before="59"/>
              <w:ind w:right="100"/>
              <w:rPr>
                <w:bCs/>
              </w:rPr>
            </w:pPr>
          </w:p>
          <w:p w14:paraId="7425F6F9" w14:textId="77777777" w:rsidR="00EA1875" w:rsidRDefault="00EA1875" w:rsidP="00EA1875">
            <w:pPr>
              <w:pStyle w:val="BodyText"/>
              <w:spacing w:before="59"/>
              <w:ind w:right="100"/>
              <w:rPr>
                <w:bCs/>
              </w:rPr>
            </w:pPr>
            <w:r w:rsidRPr="00EA1875">
              <w:rPr>
                <w:bCs/>
              </w:rPr>
              <w:t>The Contractor shall give the Client and Principal Contractor 48 hours’ notice of personnel visiting the site.</w:t>
            </w:r>
          </w:p>
          <w:p w14:paraId="36EA38DE" w14:textId="77777777" w:rsidR="00ED735B" w:rsidRDefault="00ED735B" w:rsidP="00EA1875">
            <w:pPr>
              <w:pStyle w:val="BodyText"/>
              <w:spacing w:before="59"/>
              <w:ind w:right="100"/>
              <w:rPr>
                <w:bCs/>
              </w:rPr>
            </w:pPr>
          </w:p>
          <w:p w14:paraId="6384DE3E" w14:textId="77777777" w:rsidR="00ED735B" w:rsidRDefault="00ED735B" w:rsidP="00EA1875">
            <w:pPr>
              <w:pStyle w:val="BodyText"/>
              <w:spacing w:before="59"/>
              <w:ind w:right="100"/>
            </w:pPr>
            <w:r>
              <w:t>The principal contractor will have responsibility for ensuring that all work areas including the contractors site compound are secure in order to prevent unauthorised access.</w:t>
            </w:r>
          </w:p>
          <w:p w14:paraId="1D1A10E5" w14:textId="77777777" w:rsidR="00EA5D38" w:rsidRDefault="00EA5D38" w:rsidP="00EA1875">
            <w:pPr>
              <w:pStyle w:val="BodyText"/>
              <w:spacing w:before="59"/>
              <w:ind w:right="100"/>
            </w:pPr>
          </w:p>
          <w:p w14:paraId="3A840DB3" w14:textId="4BC91766" w:rsidR="00EA5D38" w:rsidRPr="007C7636" w:rsidRDefault="00EA5D38" w:rsidP="00EA1875">
            <w:pPr>
              <w:pStyle w:val="BodyText"/>
              <w:spacing w:before="59"/>
              <w:ind w:right="100"/>
              <w:rPr>
                <w:bCs/>
              </w:rPr>
            </w:pPr>
            <w:r>
              <w:t xml:space="preserve">The principal contractor should keep a site signing in document to be located in the site office. All operative </w:t>
            </w:r>
            <w:r w:rsidR="00BC0EC7">
              <w:t>is</w:t>
            </w:r>
            <w:r>
              <w:t xml:space="preserve"> required to complete a site induction prior to being permitted access onto the construction site.</w:t>
            </w:r>
          </w:p>
        </w:tc>
      </w:tr>
      <w:tr w:rsidR="001D2017" w:rsidRPr="007C7636" w14:paraId="3D1A9FC8" w14:textId="77777777" w:rsidTr="7F4C1FD5">
        <w:tc>
          <w:tcPr>
            <w:tcW w:w="3574" w:type="dxa"/>
          </w:tcPr>
          <w:p w14:paraId="78F2638A" w14:textId="448BC125" w:rsidR="001D2017" w:rsidRPr="001D2017" w:rsidRDefault="001D2017" w:rsidP="00982EF0">
            <w:pPr>
              <w:pStyle w:val="BodyText"/>
              <w:rPr>
                <w:bCs/>
              </w:rPr>
            </w:pPr>
            <w:r>
              <w:rPr>
                <w:bCs/>
              </w:rPr>
              <w:lastRenderedPageBreak/>
              <w:t xml:space="preserve">Welfare Provision </w:t>
            </w:r>
          </w:p>
        </w:tc>
        <w:tc>
          <w:tcPr>
            <w:tcW w:w="6326" w:type="dxa"/>
            <w:shd w:val="clear" w:color="auto" w:fill="F2F2F2" w:themeFill="background1" w:themeFillShade="F2"/>
          </w:tcPr>
          <w:p w14:paraId="05E1A8F0" w14:textId="12BCE0BD" w:rsidR="001D2017" w:rsidRPr="007C7636" w:rsidRDefault="00BC0EC7" w:rsidP="00982EF0">
            <w:pPr>
              <w:pStyle w:val="BodyText"/>
              <w:spacing w:before="59"/>
              <w:ind w:right="100"/>
              <w:rPr>
                <w:bCs/>
              </w:rPr>
            </w:pPr>
            <w:r>
              <w:t>The Principal Contractor should ensure that adequate welfare facilities are provided in accordance with HSE Construction Information Sheet No 59 (Provision of welfare facilities during construction work)</w:t>
            </w:r>
          </w:p>
        </w:tc>
      </w:tr>
      <w:tr w:rsidR="001D2017" w:rsidRPr="007C7636" w14:paraId="3AF1775A" w14:textId="77777777" w:rsidTr="7F4C1FD5">
        <w:tc>
          <w:tcPr>
            <w:tcW w:w="9900" w:type="dxa"/>
            <w:gridSpan w:val="2"/>
          </w:tcPr>
          <w:p w14:paraId="4946C49C" w14:textId="616FC7B2" w:rsidR="001D2017" w:rsidRPr="007C7636" w:rsidRDefault="001D2017" w:rsidP="00982EF0">
            <w:pPr>
              <w:pStyle w:val="BodyText"/>
              <w:spacing w:before="59"/>
              <w:ind w:right="100"/>
              <w:rPr>
                <w:bCs/>
              </w:rPr>
            </w:pPr>
            <w:r>
              <w:rPr>
                <w:bCs/>
              </w:rPr>
              <w:t xml:space="preserve">Requirements relating to the health and safety of the client’s employees and others: </w:t>
            </w:r>
          </w:p>
        </w:tc>
      </w:tr>
      <w:tr w:rsidR="001D2017" w:rsidRPr="007C7636" w14:paraId="5E4695D2" w14:textId="77777777" w:rsidTr="7F4C1FD5">
        <w:tc>
          <w:tcPr>
            <w:tcW w:w="3574" w:type="dxa"/>
          </w:tcPr>
          <w:p w14:paraId="41709605" w14:textId="2567126C" w:rsidR="001D2017" w:rsidRPr="001D2017" w:rsidRDefault="001D2017" w:rsidP="00982EF0">
            <w:pPr>
              <w:pStyle w:val="BodyText"/>
              <w:rPr>
                <w:bCs/>
              </w:rPr>
            </w:pPr>
            <w:r>
              <w:rPr>
                <w:bCs/>
              </w:rPr>
              <w:t xml:space="preserve">Site Fencing </w:t>
            </w:r>
          </w:p>
        </w:tc>
        <w:tc>
          <w:tcPr>
            <w:tcW w:w="6326" w:type="dxa"/>
            <w:shd w:val="clear" w:color="auto" w:fill="F2F2F2" w:themeFill="background1" w:themeFillShade="F2"/>
          </w:tcPr>
          <w:p w14:paraId="173819E8" w14:textId="14B3F64F" w:rsidR="001D2017" w:rsidRPr="007C7636" w:rsidRDefault="00096456" w:rsidP="00982EF0">
            <w:pPr>
              <w:pStyle w:val="BodyText"/>
              <w:spacing w:before="59"/>
              <w:ind w:right="100"/>
              <w:rPr>
                <w:bCs/>
              </w:rPr>
            </w:pPr>
            <w:r>
              <w:rPr>
                <w:bCs/>
              </w:rPr>
              <w:t xml:space="preserve">Not Applicable </w:t>
            </w:r>
          </w:p>
        </w:tc>
      </w:tr>
      <w:tr w:rsidR="001D2017" w:rsidRPr="007C7636" w14:paraId="767D73EC" w14:textId="77777777" w:rsidTr="7F4C1FD5">
        <w:tc>
          <w:tcPr>
            <w:tcW w:w="3574" w:type="dxa"/>
          </w:tcPr>
          <w:p w14:paraId="54EE9080" w14:textId="4E4E9C04" w:rsidR="001D2017" w:rsidRPr="001D2017" w:rsidRDefault="001D2017" w:rsidP="00982EF0">
            <w:pPr>
              <w:pStyle w:val="BodyText"/>
              <w:rPr>
                <w:bCs/>
              </w:rPr>
            </w:pPr>
            <w:r>
              <w:rPr>
                <w:bCs/>
              </w:rPr>
              <w:t xml:space="preserve">Site transport, including vehicle restrictions </w:t>
            </w:r>
          </w:p>
        </w:tc>
        <w:tc>
          <w:tcPr>
            <w:tcW w:w="6326" w:type="dxa"/>
            <w:shd w:val="clear" w:color="auto" w:fill="F2F2F2" w:themeFill="background1" w:themeFillShade="F2"/>
          </w:tcPr>
          <w:p w14:paraId="70DF18E6" w14:textId="7D4E839C" w:rsidR="00D50CAC" w:rsidRDefault="00D50CAC" w:rsidP="00D50CAC">
            <w:pPr>
              <w:pStyle w:val="BodyText"/>
              <w:spacing w:before="59"/>
              <w:ind w:right="100"/>
              <w:rPr>
                <w:bCs/>
              </w:rPr>
            </w:pPr>
            <w:r w:rsidRPr="00D50CAC">
              <w:rPr>
                <w:bCs/>
              </w:rPr>
              <w:t>The Contractor shall ensure that all delivery vehicles and refuse vehicles are of a size suitable to negotiate the surrounding roads and area in a safe manner.</w:t>
            </w:r>
          </w:p>
          <w:p w14:paraId="481BE418" w14:textId="77777777" w:rsidR="00D92FEA" w:rsidRPr="00D50CAC" w:rsidRDefault="00D92FEA" w:rsidP="00D50CAC">
            <w:pPr>
              <w:pStyle w:val="BodyText"/>
              <w:spacing w:before="59"/>
              <w:ind w:right="100"/>
              <w:rPr>
                <w:bCs/>
              </w:rPr>
            </w:pPr>
          </w:p>
          <w:p w14:paraId="62DCE1D2" w14:textId="77777777" w:rsidR="001D2017" w:rsidRDefault="00D50CAC" w:rsidP="00D50CAC">
            <w:pPr>
              <w:pStyle w:val="BodyText"/>
              <w:spacing w:before="59"/>
              <w:ind w:right="100"/>
              <w:rPr>
                <w:bCs/>
              </w:rPr>
            </w:pPr>
            <w:r w:rsidRPr="00D50CAC">
              <w:rPr>
                <w:bCs/>
              </w:rPr>
              <w:t>The area around the building is a pedestrian zone and drivers must comply with site rules when driving / operating vehicles or machinery in this area.</w:t>
            </w:r>
          </w:p>
          <w:p w14:paraId="23E61CDA" w14:textId="77777777" w:rsidR="00CD6FED" w:rsidRDefault="00CD6FED" w:rsidP="00D50CAC">
            <w:pPr>
              <w:pStyle w:val="BodyText"/>
              <w:spacing w:before="59"/>
              <w:ind w:right="100"/>
              <w:rPr>
                <w:bCs/>
              </w:rPr>
            </w:pPr>
          </w:p>
          <w:p w14:paraId="328259E2" w14:textId="570887CC" w:rsidR="00CD6FED" w:rsidRDefault="514AB4FA" w:rsidP="7F4C1FD5">
            <w:pPr>
              <w:pStyle w:val="TableParagraph"/>
              <w:spacing w:before="1"/>
              <w:ind w:right="879"/>
              <w:rPr>
                <w:sz w:val="20"/>
                <w:szCs w:val="20"/>
              </w:rPr>
            </w:pPr>
            <w:r w:rsidRPr="7F4C1FD5">
              <w:rPr>
                <w:sz w:val="20"/>
                <w:szCs w:val="20"/>
              </w:rPr>
              <w:t xml:space="preserve">Site deliveries are to be agreed with the </w:t>
            </w:r>
            <w:r w:rsidR="4307DE2B" w:rsidRPr="7F4C1FD5">
              <w:rPr>
                <w:sz w:val="20"/>
                <w:szCs w:val="20"/>
              </w:rPr>
              <w:t xml:space="preserve">NML </w:t>
            </w:r>
            <w:r w:rsidRPr="7F4C1FD5">
              <w:rPr>
                <w:sz w:val="20"/>
                <w:szCs w:val="20"/>
              </w:rPr>
              <w:t>Visitor Services managers.</w:t>
            </w:r>
            <w:r w:rsidR="00D92FEA">
              <w:rPr>
                <w:sz w:val="20"/>
                <w:szCs w:val="20"/>
              </w:rPr>
              <w:t xml:space="preserve"> </w:t>
            </w:r>
          </w:p>
          <w:p w14:paraId="19D415F7" w14:textId="77777777" w:rsidR="00CD6FED" w:rsidRPr="00CD6FED" w:rsidRDefault="00CD6FED" w:rsidP="00CD6FED">
            <w:pPr>
              <w:pStyle w:val="TableParagraph"/>
              <w:spacing w:before="1"/>
              <w:ind w:left="112" w:right="879"/>
              <w:rPr>
                <w:sz w:val="20"/>
              </w:rPr>
            </w:pPr>
          </w:p>
          <w:p w14:paraId="5F2A57F6" w14:textId="4DBEFD94" w:rsidR="00CD6FED" w:rsidRPr="007C7636" w:rsidRDefault="00CD6FED" w:rsidP="00CD6FED">
            <w:pPr>
              <w:pStyle w:val="BodyText"/>
              <w:spacing w:before="59"/>
              <w:ind w:right="100"/>
              <w:rPr>
                <w:bCs/>
              </w:rPr>
            </w:pPr>
            <w:r>
              <w:t>All deliveries shall be accompanied and controlled by a banksman.</w:t>
            </w:r>
          </w:p>
        </w:tc>
      </w:tr>
      <w:tr w:rsidR="001D2017" w:rsidRPr="007C7636" w14:paraId="642A76D7" w14:textId="77777777" w:rsidTr="7F4C1FD5">
        <w:tc>
          <w:tcPr>
            <w:tcW w:w="3574" w:type="dxa"/>
          </w:tcPr>
          <w:p w14:paraId="530B104D" w14:textId="19A6A764" w:rsidR="001D2017" w:rsidRDefault="001D2017" w:rsidP="00982EF0">
            <w:pPr>
              <w:pStyle w:val="BodyText"/>
              <w:rPr>
                <w:bCs/>
              </w:rPr>
            </w:pPr>
            <w:r>
              <w:rPr>
                <w:bCs/>
              </w:rPr>
              <w:t xml:space="preserve">Site rules </w:t>
            </w:r>
          </w:p>
        </w:tc>
        <w:tc>
          <w:tcPr>
            <w:tcW w:w="6326" w:type="dxa"/>
            <w:shd w:val="clear" w:color="auto" w:fill="F2F2F2" w:themeFill="background1" w:themeFillShade="F2"/>
          </w:tcPr>
          <w:p w14:paraId="5455D924" w14:textId="77777777" w:rsidR="00C47E20" w:rsidRDefault="00C47E20" w:rsidP="00C47E20">
            <w:pPr>
              <w:pStyle w:val="TableParagraph"/>
              <w:spacing w:before="59"/>
              <w:ind w:right="897"/>
              <w:rPr>
                <w:sz w:val="20"/>
              </w:rPr>
            </w:pPr>
            <w:r>
              <w:rPr>
                <w:sz w:val="20"/>
              </w:rPr>
              <w:t>All deliveries to site must be supervised by the Principal Contractor.</w:t>
            </w:r>
          </w:p>
          <w:p w14:paraId="7C781842" w14:textId="77777777" w:rsidR="00C47E20" w:rsidRDefault="00C47E20" w:rsidP="00C47E20">
            <w:pPr>
              <w:pStyle w:val="TableParagraph"/>
              <w:spacing w:before="4"/>
              <w:rPr>
                <w:sz w:val="30"/>
              </w:rPr>
            </w:pPr>
          </w:p>
          <w:p w14:paraId="2647A88B" w14:textId="77777777" w:rsidR="00C47E20" w:rsidRDefault="00C47E20" w:rsidP="00C47E20">
            <w:pPr>
              <w:pStyle w:val="TableParagraph"/>
              <w:ind w:right="135"/>
              <w:rPr>
                <w:sz w:val="20"/>
              </w:rPr>
            </w:pPr>
            <w:r>
              <w:rPr>
                <w:sz w:val="20"/>
              </w:rPr>
              <w:t>No waste materials shall be burnt on site. Under no circumstances shall materials, tools, waste etc. be positioned on site so as to pose a hazard. Waste should be regularly removed from site and must not be allowed to accumulate and form a potential fire hazard.</w:t>
            </w:r>
          </w:p>
          <w:p w14:paraId="2619AD0C" w14:textId="77777777" w:rsidR="00C47E20" w:rsidRDefault="00C47E20" w:rsidP="00C47E20">
            <w:pPr>
              <w:pStyle w:val="TableParagraph"/>
              <w:spacing w:before="5"/>
              <w:rPr>
                <w:sz w:val="30"/>
              </w:rPr>
            </w:pPr>
          </w:p>
          <w:p w14:paraId="421062F3" w14:textId="3A051E91" w:rsidR="00C47E20" w:rsidRDefault="00C47E20" w:rsidP="00C47E20">
            <w:pPr>
              <w:pStyle w:val="TableParagraph"/>
              <w:ind w:right="330"/>
              <w:rPr>
                <w:sz w:val="20"/>
              </w:rPr>
            </w:pPr>
            <w:r>
              <w:rPr>
                <w:sz w:val="20"/>
              </w:rPr>
              <w:t>All paths, roads, car parking areas, etc. must be kept clear of waste, debris, mud, etc. at all times.</w:t>
            </w:r>
          </w:p>
          <w:p w14:paraId="09B0E9F5" w14:textId="77777777" w:rsidR="00C47E20" w:rsidRDefault="00C47E20" w:rsidP="00C47E20">
            <w:pPr>
              <w:pStyle w:val="TableParagraph"/>
              <w:spacing w:before="5"/>
              <w:rPr>
                <w:sz w:val="32"/>
              </w:rPr>
            </w:pPr>
          </w:p>
          <w:p w14:paraId="630C2223" w14:textId="77777777" w:rsidR="00C47E20" w:rsidRDefault="00C47E20" w:rsidP="00C47E20">
            <w:pPr>
              <w:pStyle w:val="TableParagraph"/>
              <w:ind w:right="518"/>
              <w:rPr>
                <w:sz w:val="20"/>
              </w:rPr>
            </w:pPr>
            <w:r>
              <w:rPr>
                <w:sz w:val="20"/>
              </w:rPr>
              <w:t>Skips shall not be left on site overnight unless they have a secure lockable cover.</w:t>
            </w:r>
          </w:p>
          <w:p w14:paraId="63867327" w14:textId="77777777" w:rsidR="00C47E20" w:rsidRDefault="00C47E20" w:rsidP="00C47E20">
            <w:pPr>
              <w:pStyle w:val="TableParagraph"/>
              <w:spacing w:before="6"/>
              <w:rPr>
                <w:sz w:val="30"/>
              </w:rPr>
            </w:pPr>
          </w:p>
          <w:p w14:paraId="37FC8239" w14:textId="6CB2A441" w:rsidR="00C47E20" w:rsidRDefault="00C47E20" w:rsidP="00C47E20">
            <w:pPr>
              <w:pStyle w:val="TableParagraph"/>
              <w:ind w:right="351"/>
              <w:rPr>
                <w:sz w:val="20"/>
              </w:rPr>
            </w:pPr>
            <w:r>
              <w:rPr>
                <w:sz w:val="20"/>
              </w:rPr>
              <w:t>Appropriate fire extinguishers shall be provided at all areas of work.</w:t>
            </w:r>
          </w:p>
          <w:p w14:paraId="1C5454F7" w14:textId="6A4C4B3D" w:rsidR="00B37706" w:rsidRDefault="00B37706" w:rsidP="00C47E20">
            <w:pPr>
              <w:pStyle w:val="TableParagraph"/>
              <w:ind w:right="351"/>
              <w:rPr>
                <w:sz w:val="20"/>
              </w:rPr>
            </w:pPr>
          </w:p>
          <w:p w14:paraId="16D399B2" w14:textId="77777777" w:rsidR="00B73096" w:rsidRDefault="00B37706" w:rsidP="00B73096">
            <w:pPr>
              <w:pStyle w:val="TableParagraph"/>
              <w:ind w:right="85"/>
              <w:rPr>
                <w:sz w:val="20"/>
              </w:rPr>
            </w:pPr>
            <w:r>
              <w:rPr>
                <w:sz w:val="20"/>
              </w:rPr>
              <w:t>Adequate warning signs e.g. ‘Danger Keep Out’, ‘Men Working Overhead’ etc. must be provided at all areas</w:t>
            </w:r>
            <w:r w:rsidR="00B73096">
              <w:rPr>
                <w:sz w:val="20"/>
              </w:rPr>
              <w:t xml:space="preserve"> of work. Relevant warning signs and notices shall be displayed at the site entrance.</w:t>
            </w:r>
          </w:p>
          <w:p w14:paraId="0BEF5641" w14:textId="4EBBF9B6" w:rsidR="00B37706" w:rsidRDefault="00B37706" w:rsidP="00C47E20">
            <w:pPr>
              <w:pStyle w:val="TableParagraph"/>
              <w:ind w:right="351"/>
              <w:rPr>
                <w:sz w:val="20"/>
              </w:rPr>
            </w:pPr>
          </w:p>
          <w:p w14:paraId="54F5826C" w14:textId="3F038EF7" w:rsidR="00037044" w:rsidRDefault="009D2888" w:rsidP="009D2888">
            <w:pPr>
              <w:pStyle w:val="TableParagraph"/>
              <w:ind w:right="85"/>
              <w:rPr>
                <w:sz w:val="20"/>
              </w:rPr>
            </w:pPr>
            <w:r>
              <w:rPr>
                <w:sz w:val="20"/>
              </w:rPr>
              <w:t>At least one member of the Principal Contractor's Personnel should be sufficiently competent in the administration of first aid. The appointed First Aider must be site based. Evidence of training is to be provided in the developed Health &amp; Safety Plan.</w:t>
            </w:r>
          </w:p>
          <w:p w14:paraId="6A7D4E1C" w14:textId="77777777" w:rsidR="001D2017" w:rsidRPr="007C7636" w:rsidRDefault="001D2017" w:rsidP="00982EF0">
            <w:pPr>
              <w:pStyle w:val="BodyText"/>
              <w:spacing w:before="59"/>
              <w:ind w:right="100"/>
              <w:rPr>
                <w:bCs/>
              </w:rPr>
            </w:pPr>
          </w:p>
        </w:tc>
      </w:tr>
      <w:tr w:rsidR="001D2017" w:rsidRPr="007C7636" w14:paraId="68EB9607" w14:textId="77777777" w:rsidTr="7F4C1FD5">
        <w:tc>
          <w:tcPr>
            <w:tcW w:w="3574" w:type="dxa"/>
          </w:tcPr>
          <w:p w14:paraId="4C1DFACF" w14:textId="3C01AD7E" w:rsidR="001D2017" w:rsidRDefault="001D2017" w:rsidP="00982EF0">
            <w:pPr>
              <w:pStyle w:val="BodyText"/>
              <w:rPr>
                <w:bCs/>
              </w:rPr>
            </w:pPr>
            <w:r>
              <w:rPr>
                <w:bCs/>
              </w:rPr>
              <w:t xml:space="preserve">Fire Precautions </w:t>
            </w:r>
          </w:p>
        </w:tc>
        <w:tc>
          <w:tcPr>
            <w:tcW w:w="6326" w:type="dxa"/>
            <w:shd w:val="clear" w:color="auto" w:fill="F2F2F2" w:themeFill="background1" w:themeFillShade="F2"/>
          </w:tcPr>
          <w:p w14:paraId="1DF6A383" w14:textId="77777777" w:rsidR="009D4DBC" w:rsidRPr="009D4DBC" w:rsidRDefault="009D4DBC" w:rsidP="009D4DBC">
            <w:pPr>
              <w:pStyle w:val="BodyText"/>
              <w:spacing w:before="59"/>
              <w:ind w:right="100"/>
              <w:rPr>
                <w:bCs/>
              </w:rPr>
            </w:pPr>
            <w:r w:rsidRPr="009D4DBC">
              <w:rPr>
                <w:bCs/>
              </w:rPr>
              <w:t>The principal contractor shall produce a construction site fire evacuation plan to include details of muster points, egress routes etc.</w:t>
            </w:r>
          </w:p>
          <w:p w14:paraId="19EBA88A" w14:textId="77777777" w:rsidR="009D4DBC" w:rsidRPr="009D4DBC" w:rsidRDefault="009D4DBC" w:rsidP="009D4DBC">
            <w:pPr>
              <w:pStyle w:val="BodyText"/>
              <w:spacing w:before="59"/>
              <w:ind w:right="100"/>
              <w:rPr>
                <w:bCs/>
              </w:rPr>
            </w:pPr>
          </w:p>
          <w:p w14:paraId="7BACD965" w14:textId="77777777" w:rsidR="001D2017" w:rsidRDefault="009D4DBC" w:rsidP="009D4DBC">
            <w:pPr>
              <w:pStyle w:val="BodyText"/>
              <w:spacing w:before="59"/>
              <w:ind w:right="100"/>
              <w:rPr>
                <w:bCs/>
              </w:rPr>
            </w:pPr>
            <w:r w:rsidRPr="009D4DBC">
              <w:rPr>
                <w:bCs/>
              </w:rPr>
              <w:t>In the event of a fire, the contractor shall ensure that a site register is taken to ensure all operatives are present and this is to be confirmed back to the</w:t>
            </w:r>
            <w:r w:rsidR="00294640">
              <w:rPr>
                <w:bCs/>
              </w:rPr>
              <w:t xml:space="preserve"> CA.</w:t>
            </w:r>
          </w:p>
          <w:p w14:paraId="1B6F32E8" w14:textId="77777777" w:rsidR="00294640" w:rsidRDefault="00294640" w:rsidP="00294640">
            <w:pPr>
              <w:pStyle w:val="TableParagraph"/>
              <w:ind w:right="155"/>
              <w:rPr>
                <w:sz w:val="20"/>
              </w:rPr>
            </w:pPr>
          </w:p>
          <w:p w14:paraId="3BC83E25" w14:textId="3A420BC2" w:rsidR="00294640" w:rsidRDefault="00294640" w:rsidP="00294640">
            <w:pPr>
              <w:pStyle w:val="TableParagraph"/>
              <w:ind w:right="155"/>
              <w:rPr>
                <w:sz w:val="20"/>
              </w:rPr>
            </w:pPr>
            <w:r>
              <w:rPr>
                <w:sz w:val="20"/>
              </w:rPr>
              <w:t>The building has an active automatic fire detection system. The Contractor must advise the Principal Contractor if it is necessary to isolate areas / zones within the building whilst works are</w:t>
            </w:r>
            <w:r>
              <w:rPr>
                <w:spacing w:val="-27"/>
                <w:sz w:val="20"/>
              </w:rPr>
              <w:t xml:space="preserve"> </w:t>
            </w:r>
            <w:r>
              <w:rPr>
                <w:sz w:val="20"/>
              </w:rPr>
              <w:t>being undertaken.</w:t>
            </w:r>
          </w:p>
          <w:p w14:paraId="12C9DA3D" w14:textId="64C60896" w:rsidR="00D10549" w:rsidRDefault="00D10549" w:rsidP="00294640">
            <w:pPr>
              <w:pStyle w:val="TableParagraph"/>
              <w:ind w:right="155"/>
              <w:rPr>
                <w:sz w:val="20"/>
              </w:rPr>
            </w:pPr>
          </w:p>
          <w:p w14:paraId="0232AA64" w14:textId="77777777" w:rsidR="00D10549" w:rsidRDefault="00D10549" w:rsidP="00D10549">
            <w:pPr>
              <w:pStyle w:val="TableParagraph"/>
              <w:rPr>
                <w:sz w:val="20"/>
              </w:rPr>
            </w:pPr>
            <w:r>
              <w:rPr>
                <w:sz w:val="20"/>
              </w:rPr>
              <w:t>Smoking will not be permitted anywhere on site.</w:t>
            </w:r>
          </w:p>
          <w:p w14:paraId="1C4445B3" w14:textId="77777777" w:rsidR="00D10549" w:rsidRDefault="00D10549" w:rsidP="00294640">
            <w:pPr>
              <w:pStyle w:val="TableParagraph"/>
              <w:ind w:right="155"/>
              <w:rPr>
                <w:sz w:val="20"/>
              </w:rPr>
            </w:pPr>
          </w:p>
          <w:p w14:paraId="391CB6BC" w14:textId="77777777" w:rsidR="00294640" w:rsidRDefault="00D07DA1" w:rsidP="009D4DBC">
            <w:pPr>
              <w:pStyle w:val="BodyText"/>
              <w:spacing w:before="59"/>
              <w:ind w:right="100"/>
              <w:rPr>
                <w:bCs/>
              </w:rPr>
            </w:pPr>
            <w:r w:rsidRPr="00D07DA1">
              <w:rPr>
                <w:bCs/>
              </w:rPr>
              <w:t xml:space="preserve">Hot works permits will be issued if these hot works are necessary. Hot Work Permits will be issued by the </w:t>
            </w:r>
            <w:r>
              <w:rPr>
                <w:bCs/>
              </w:rPr>
              <w:t>CA</w:t>
            </w:r>
            <w:r w:rsidRPr="00D07DA1">
              <w:rPr>
                <w:bCs/>
              </w:rPr>
              <w:t xml:space="preserve"> as required. These will include details of fire extinguishers, personnel, how long a fire watch is to be maintained after hot works and how long before closure of the site these should be completed and any other rules and restrictions. The Contractor will however be expected to utilise any method other than hot works if deemed practical and economical by the Principal Designer.</w:t>
            </w:r>
          </w:p>
          <w:p w14:paraId="352BB5D6" w14:textId="48E29FE4" w:rsidR="00D07DA1" w:rsidRPr="007C7636" w:rsidRDefault="00D07DA1" w:rsidP="009D4DBC">
            <w:pPr>
              <w:pStyle w:val="BodyText"/>
              <w:spacing w:before="59"/>
              <w:ind w:right="100"/>
              <w:rPr>
                <w:bCs/>
              </w:rPr>
            </w:pPr>
          </w:p>
        </w:tc>
      </w:tr>
      <w:tr w:rsidR="001D2017" w:rsidRPr="007C7636" w14:paraId="635364AD" w14:textId="77777777" w:rsidTr="7F4C1FD5">
        <w:tc>
          <w:tcPr>
            <w:tcW w:w="3574" w:type="dxa"/>
          </w:tcPr>
          <w:p w14:paraId="247D2076" w14:textId="61BD2BE4" w:rsidR="001D2017" w:rsidRDefault="001D2017" w:rsidP="00982EF0">
            <w:pPr>
              <w:pStyle w:val="BodyText"/>
              <w:rPr>
                <w:bCs/>
              </w:rPr>
            </w:pPr>
            <w:r>
              <w:rPr>
                <w:bCs/>
              </w:rPr>
              <w:lastRenderedPageBreak/>
              <w:t xml:space="preserve">Emergency Procedures </w:t>
            </w:r>
          </w:p>
        </w:tc>
        <w:tc>
          <w:tcPr>
            <w:tcW w:w="6326" w:type="dxa"/>
            <w:shd w:val="clear" w:color="auto" w:fill="F2F2F2" w:themeFill="background1" w:themeFillShade="F2"/>
          </w:tcPr>
          <w:p w14:paraId="061DE652" w14:textId="13CECBA3" w:rsidR="00A14932" w:rsidRDefault="00A14932" w:rsidP="00A14932">
            <w:pPr>
              <w:pStyle w:val="TableParagraph"/>
              <w:spacing w:before="59"/>
              <w:ind w:right="163"/>
              <w:rPr>
                <w:sz w:val="20"/>
              </w:rPr>
            </w:pPr>
            <w:r>
              <w:rPr>
                <w:sz w:val="20"/>
              </w:rPr>
              <w:t>The principal contractor shall familiarise himself with the museum’s emergency evacuation procedures prior to commencement of works on site.</w:t>
            </w:r>
          </w:p>
          <w:p w14:paraId="7F0D57CC" w14:textId="77777777" w:rsidR="001D2017" w:rsidRDefault="001D2017" w:rsidP="00982EF0">
            <w:pPr>
              <w:pStyle w:val="BodyText"/>
              <w:spacing w:before="59"/>
              <w:ind w:right="100"/>
              <w:rPr>
                <w:bCs/>
              </w:rPr>
            </w:pPr>
          </w:p>
          <w:p w14:paraId="30C7C75A" w14:textId="77777777" w:rsidR="00A26197" w:rsidRDefault="00A26197" w:rsidP="00982EF0">
            <w:pPr>
              <w:pStyle w:val="BodyText"/>
              <w:spacing w:before="59"/>
              <w:ind w:right="100"/>
              <w:rPr>
                <w:bCs/>
              </w:rPr>
            </w:pPr>
            <w:r w:rsidRPr="00A26197">
              <w:rPr>
                <w:bCs/>
              </w:rPr>
              <w:t>The building has a major / minor incident emergency plan together with emergency evacuation procedures. These will be explained to the Contractor during the site induction</w:t>
            </w:r>
            <w:r>
              <w:rPr>
                <w:bCs/>
              </w:rPr>
              <w:t>.</w:t>
            </w:r>
          </w:p>
          <w:p w14:paraId="207653DB" w14:textId="77777777" w:rsidR="005E7D26" w:rsidRDefault="005E7D26" w:rsidP="00982EF0">
            <w:pPr>
              <w:pStyle w:val="BodyText"/>
              <w:spacing w:before="59"/>
              <w:ind w:right="100"/>
              <w:rPr>
                <w:bCs/>
              </w:rPr>
            </w:pPr>
          </w:p>
          <w:p w14:paraId="767BCC66" w14:textId="756E160D" w:rsidR="005E7D26" w:rsidRDefault="005E7D26" w:rsidP="005E7D26">
            <w:pPr>
              <w:pStyle w:val="TableParagraph"/>
              <w:ind w:right="124"/>
              <w:rPr>
                <w:sz w:val="20"/>
              </w:rPr>
            </w:pPr>
            <w:r>
              <w:rPr>
                <w:sz w:val="20"/>
              </w:rPr>
              <w:t>Every employee working on this project who reasonably considers that they are exposed to serious, imminent and unavoidable danger, shall in the absence of any further guidance or instruction, stop work and immediately proceed to a place of safety. Such a situation must be reported immediately to the Principal Contractor and CA.</w:t>
            </w:r>
          </w:p>
          <w:p w14:paraId="1B50E47D" w14:textId="095A5B51" w:rsidR="006C5D09" w:rsidRDefault="006C5D09" w:rsidP="005E7D26">
            <w:pPr>
              <w:pStyle w:val="TableParagraph"/>
              <w:ind w:right="124"/>
              <w:rPr>
                <w:sz w:val="20"/>
              </w:rPr>
            </w:pPr>
          </w:p>
          <w:p w14:paraId="151C8077" w14:textId="77777777" w:rsidR="006C5D09" w:rsidRDefault="006C5D09" w:rsidP="006C5D09">
            <w:pPr>
              <w:pStyle w:val="TableParagraph"/>
              <w:spacing w:before="1"/>
              <w:ind w:right="518"/>
              <w:rPr>
                <w:sz w:val="20"/>
              </w:rPr>
            </w:pPr>
            <w:r>
              <w:rPr>
                <w:sz w:val="20"/>
              </w:rPr>
              <w:t>Notices containing emergency procedures shall be displayed by the Principal Contractor on site.</w:t>
            </w:r>
          </w:p>
          <w:p w14:paraId="6A6DE5F9" w14:textId="655F6A04" w:rsidR="006C5D09" w:rsidRDefault="006C5D09" w:rsidP="005E7D26">
            <w:pPr>
              <w:pStyle w:val="TableParagraph"/>
              <w:ind w:right="124"/>
              <w:rPr>
                <w:sz w:val="20"/>
              </w:rPr>
            </w:pPr>
          </w:p>
          <w:p w14:paraId="6B33191D" w14:textId="77777777" w:rsidR="00A97B29" w:rsidRPr="00A97B29" w:rsidRDefault="00A97B29" w:rsidP="00A97B29">
            <w:pPr>
              <w:pStyle w:val="TableParagraph"/>
              <w:ind w:right="124"/>
              <w:rPr>
                <w:sz w:val="20"/>
              </w:rPr>
            </w:pPr>
            <w:r w:rsidRPr="00A97B29">
              <w:rPr>
                <w:sz w:val="20"/>
              </w:rPr>
              <w:t>The contractor should establish where nearest hospital to the site is and obtain its telephone number.</w:t>
            </w:r>
          </w:p>
          <w:p w14:paraId="22575025" w14:textId="77777777" w:rsidR="00A97B29" w:rsidRPr="00A97B29" w:rsidRDefault="00A97B29" w:rsidP="00A97B29">
            <w:pPr>
              <w:pStyle w:val="TableParagraph"/>
              <w:ind w:right="124"/>
              <w:rPr>
                <w:sz w:val="20"/>
              </w:rPr>
            </w:pPr>
          </w:p>
          <w:p w14:paraId="0AAA506B" w14:textId="1FD1123C" w:rsidR="00A97B29" w:rsidRPr="00A97B29" w:rsidRDefault="00A97B29" w:rsidP="00A97B29">
            <w:pPr>
              <w:pStyle w:val="TableParagraph"/>
              <w:ind w:right="124"/>
              <w:rPr>
                <w:sz w:val="20"/>
              </w:rPr>
            </w:pPr>
            <w:r w:rsidRPr="00A97B29">
              <w:rPr>
                <w:sz w:val="20"/>
              </w:rPr>
              <w:t xml:space="preserve">The local Health &amp; Safety Executive </w:t>
            </w:r>
            <w:proofErr w:type="gramStart"/>
            <w:r w:rsidR="006505D2" w:rsidRPr="00A97B29">
              <w:rPr>
                <w:sz w:val="20"/>
              </w:rPr>
              <w:t>is</w:t>
            </w:r>
            <w:r w:rsidR="006505D2">
              <w:rPr>
                <w:sz w:val="20"/>
              </w:rPr>
              <w:t>:</w:t>
            </w:r>
            <w:proofErr w:type="gramEnd"/>
            <w:r w:rsidRPr="00A97B29">
              <w:rPr>
                <w:sz w:val="20"/>
              </w:rPr>
              <w:t xml:space="preserve"> Redgrave Court, Merton Road, Bootle, Merseyside L20 7HS</w:t>
            </w:r>
          </w:p>
          <w:p w14:paraId="42DBDC75" w14:textId="77777777" w:rsidR="00A97B29" w:rsidRPr="00A97B29" w:rsidRDefault="00A97B29" w:rsidP="00A97B29">
            <w:pPr>
              <w:pStyle w:val="TableParagraph"/>
              <w:ind w:right="124"/>
              <w:rPr>
                <w:sz w:val="20"/>
              </w:rPr>
            </w:pPr>
          </w:p>
          <w:p w14:paraId="18730E19" w14:textId="1FFCF0E6" w:rsidR="000A5AFD" w:rsidRDefault="00A97B29" w:rsidP="00A97B29">
            <w:pPr>
              <w:pStyle w:val="TableParagraph"/>
              <w:ind w:right="124"/>
              <w:rPr>
                <w:sz w:val="20"/>
              </w:rPr>
            </w:pPr>
            <w:r w:rsidRPr="00A97B29">
              <w:rPr>
                <w:sz w:val="20"/>
              </w:rPr>
              <w:t>In addition to individual sub-</w:t>
            </w:r>
            <w:r w:rsidR="006505D2" w:rsidRPr="00A97B29">
              <w:rPr>
                <w:sz w:val="20"/>
              </w:rPr>
              <w:t>contractor’s</w:t>
            </w:r>
            <w:r w:rsidRPr="00A97B29">
              <w:rPr>
                <w:sz w:val="20"/>
              </w:rPr>
              <w:t xml:space="preserve"> accident reporting procedures, all accidents must be reported to the Principal Contractor where they shall be recorded in his accident book.</w:t>
            </w:r>
          </w:p>
          <w:p w14:paraId="1CB07BB0" w14:textId="3985CA48" w:rsidR="000A2D3C" w:rsidRDefault="000A2D3C" w:rsidP="00A97B29">
            <w:pPr>
              <w:pStyle w:val="TableParagraph"/>
              <w:ind w:right="124"/>
              <w:rPr>
                <w:sz w:val="20"/>
              </w:rPr>
            </w:pPr>
          </w:p>
          <w:p w14:paraId="1C81C9CB" w14:textId="77777777" w:rsidR="000A2D3C" w:rsidRDefault="000A2D3C" w:rsidP="000A2D3C">
            <w:pPr>
              <w:pStyle w:val="TableParagraph"/>
              <w:spacing w:before="1"/>
              <w:ind w:right="104"/>
              <w:rPr>
                <w:sz w:val="20"/>
              </w:rPr>
            </w:pPr>
            <w:r>
              <w:rPr>
                <w:sz w:val="20"/>
              </w:rPr>
              <w:t>All injuries, diseases and dangerous occurrences</w:t>
            </w:r>
            <w:r>
              <w:rPr>
                <w:spacing w:val="-23"/>
                <w:sz w:val="20"/>
              </w:rPr>
              <w:t xml:space="preserve"> </w:t>
            </w:r>
            <w:r>
              <w:rPr>
                <w:sz w:val="20"/>
              </w:rPr>
              <w:t>which are notifiable to the HSE under the Reporting of Injuries, Diseases and Dangerous Occurrences Regulations, must also be notified to the Principal Contractor.</w:t>
            </w:r>
          </w:p>
          <w:p w14:paraId="5CAE0EFC" w14:textId="77777777" w:rsidR="000A2D3C" w:rsidRDefault="000A2D3C" w:rsidP="00A97B29">
            <w:pPr>
              <w:pStyle w:val="TableParagraph"/>
              <w:ind w:right="124"/>
              <w:rPr>
                <w:sz w:val="20"/>
              </w:rPr>
            </w:pPr>
          </w:p>
          <w:p w14:paraId="71820F5A" w14:textId="40604E85" w:rsidR="006505D2" w:rsidRDefault="006505D2" w:rsidP="006505D2">
            <w:pPr>
              <w:pStyle w:val="TableParagraph"/>
              <w:ind w:right="241"/>
              <w:rPr>
                <w:sz w:val="20"/>
              </w:rPr>
            </w:pPr>
            <w:r>
              <w:rPr>
                <w:sz w:val="20"/>
              </w:rPr>
              <w:t xml:space="preserve">The nearest hospital to the Martin Luther King Building </w:t>
            </w:r>
            <w:proofErr w:type="gramStart"/>
            <w:r>
              <w:rPr>
                <w:sz w:val="20"/>
              </w:rPr>
              <w:t>is :</w:t>
            </w:r>
            <w:proofErr w:type="gramEnd"/>
          </w:p>
          <w:p w14:paraId="2593EDE0" w14:textId="77777777" w:rsidR="006505D2" w:rsidRDefault="006505D2" w:rsidP="006505D2">
            <w:pPr>
              <w:pStyle w:val="TableParagraph"/>
              <w:spacing w:before="61" w:line="300" w:lineRule="auto"/>
              <w:ind w:right="1508"/>
              <w:rPr>
                <w:sz w:val="20"/>
              </w:rPr>
            </w:pPr>
            <w:r>
              <w:rPr>
                <w:sz w:val="20"/>
              </w:rPr>
              <w:t>The Royal Liverpool University Hospital Prescot Street</w:t>
            </w:r>
          </w:p>
          <w:p w14:paraId="37197FB8" w14:textId="77777777" w:rsidR="006505D2" w:rsidRDefault="006505D2" w:rsidP="006505D2">
            <w:pPr>
              <w:pStyle w:val="TableParagraph"/>
              <w:spacing w:before="3"/>
              <w:rPr>
                <w:sz w:val="20"/>
              </w:rPr>
            </w:pPr>
            <w:r>
              <w:rPr>
                <w:sz w:val="20"/>
              </w:rPr>
              <w:t>Liverpool</w:t>
            </w:r>
          </w:p>
          <w:p w14:paraId="6F53222F" w14:textId="68458B69" w:rsidR="005E7D26" w:rsidRPr="007C7636" w:rsidRDefault="006505D2" w:rsidP="006505D2">
            <w:pPr>
              <w:pStyle w:val="BodyText"/>
              <w:spacing w:before="59"/>
              <w:ind w:right="100"/>
              <w:rPr>
                <w:bCs/>
              </w:rPr>
            </w:pPr>
            <w:r>
              <w:t>L7 8XP</w:t>
            </w:r>
          </w:p>
        </w:tc>
      </w:tr>
      <w:tr w:rsidR="001D2017" w:rsidRPr="007C7636" w14:paraId="0F569642" w14:textId="77777777" w:rsidTr="7F4C1FD5">
        <w:tc>
          <w:tcPr>
            <w:tcW w:w="3574" w:type="dxa"/>
          </w:tcPr>
          <w:p w14:paraId="114A2794" w14:textId="6018B696" w:rsidR="001D2017" w:rsidRDefault="001D2017" w:rsidP="00982EF0">
            <w:pPr>
              <w:pStyle w:val="BodyText"/>
              <w:rPr>
                <w:bCs/>
              </w:rPr>
            </w:pPr>
            <w:r>
              <w:rPr>
                <w:bCs/>
              </w:rPr>
              <w:t xml:space="preserve">No-go areas </w:t>
            </w:r>
          </w:p>
        </w:tc>
        <w:tc>
          <w:tcPr>
            <w:tcW w:w="6326" w:type="dxa"/>
            <w:shd w:val="clear" w:color="auto" w:fill="F2F2F2" w:themeFill="background1" w:themeFillShade="F2"/>
          </w:tcPr>
          <w:p w14:paraId="64DD0D5D" w14:textId="77C1EE77" w:rsidR="001D2017" w:rsidRPr="007C7636" w:rsidRDefault="00732640" w:rsidP="00982EF0">
            <w:pPr>
              <w:pStyle w:val="BodyText"/>
              <w:spacing w:before="59"/>
              <w:ind w:right="100"/>
              <w:rPr>
                <w:bCs/>
              </w:rPr>
            </w:pPr>
            <w:r w:rsidRPr="00732640">
              <w:rPr>
                <w:bCs/>
              </w:rPr>
              <w:t>No contractor access to any area outside of the construction work areas without prior permission from the CA or designated visitor services manager.</w:t>
            </w:r>
          </w:p>
        </w:tc>
      </w:tr>
      <w:tr w:rsidR="001D2017" w:rsidRPr="007C7636" w14:paraId="081878DD" w14:textId="77777777" w:rsidTr="7F4C1FD5">
        <w:tc>
          <w:tcPr>
            <w:tcW w:w="3574" w:type="dxa"/>
          </w:tcPr>
          <w:p w14:paraId="25AF9288" w14:textId="22BD3AB5" w:rsidR="001D2017" w:rsidRDefault="001D2017" w:rsidP="00982EF0">
            <w:pPr>
              <w:pStyle w:val="BodyText"/>
              <w:rPr>
                <w:bCs/>
              </w:rPr>
            </w:pPr>
            <w:r>
              <w:rPr>
                <w:bCs/>
              </w:rPr>
              <w:lastRenderedPageBreak/>
              <w:t>Confined spaces (as designated by the client)</w:t>
            </w:r>
          </w:p>
        </w:tc>
        <w:tc>
          <w:tcPr>
            <w:tcW w:w="6326" w:type="dxa"/>
            <w:shd w:val="clear" w:color="auto" w:fill="F2F2F2" w:themeFill="background1" w:themeFillShade="F2"/>
          </w:tcPr>
          <w:p w14:paraId="5B95422C" w14:textId="077728B9" w:rsidR="001D2017" w:rsidRPr="007C7636" w:rsidRDefault="001374E9" w:rsidP="00982EF0">
            <w:pPr>
              <w:pStyle w:val="BodyText"/>
              <w:spacing w:before="59"/>
              <w:ind w:right="100"/>
              <w:rPr>
                <w:bCs/>
              </w:rPr>
            </w:pPr>
            <w:r w:rsidRPr="001374E9">
              <w:rPr>
                <w:bCs/>
              </w:rPr>
              <w:t>Not applicable</w:t>
            </w:r>
          </w:p>
        </w:tc>
      </w:tr>
      <w:tr w:rsidR="001D2017" w:rsidRPr="007C7636" w14:paraId="13ABB201" w14:textId="77777777" w:rsidTr="7F4C1FD5">
        <w:tc>
          <w:tcPr>
            <w:tcW w:w="3574" w:type="dxa"/>
          </w:tcPr>
          <w:p w14:paraId="2DE178D3" w14:textId="1464AB4B" w:rsidR="001D2017" w:rsidRDefault="001D2017" w:rsidP="00982EF0">
            <w:pPr>
              <w:pStyle w:val="BodyText"/>
              <w:rPr>
                <w:bCs/>
              </w:rPr>
            </w:pPr>
            <w:r>
              <w:rPr>
                <w:bCs/>
              </w:rPr>
              <w:t xml:space="preserve">Smoking and parking restrictions </w:t>
            </w:r>
          </w:p>
        </w:tc>
        <w:tc>
          <w:tcPr>
            <w:tcW w:w="6326" w:type="dxa"/>
            <w:shd w:val="clear" w:color="auto" w:fill="F2F2F2" w:themeFill="background1" w:themeFillShade="F2"/>
          </w:tcPr>
          <w:p w14:paraId="7D1B87D2" w14:textId="77777777" w:rsidR="00A513BA" w:rsidRPr="00A513BA" w:rsidRDefault="1EEA36A4" w:rsidP="7F4C1FD5">
            <w:pPr>
              <w:pStyle w:val="BodyText"/>
              <w:spacing w:before="59"/>
              <w:ind w:right="100"/>
            </w:pPr>
            <w:r>
              <w:t>Smoking is not permitted anywhere on the site. There is no smoking on or near the building. Designated smoking areas are to be identified in the construction phase health and safety plan.</w:t>
            </w:r>
          </w:p>
          <w:p w14:paraId="24368B83" w14:textId="77777777" w:rsidR="00A513BA" w:rsidRPr="00197EA2" w:rsidRDefault="00A513BA" w:rsidP="7F4C1FD5">
            <w:pPr>
              <w:pStyle w:val="BodyText"/>
              <w:spacing w:before="59"/>
              <w:ind w:right="100"/>
            </w:pPr>
          </w:p>
          <w:p w14:paraId="3DE4F585" w14:textId="073A3D75" w:rsidR="001D2017" w:rsidRPr="007C7636" w:rsidRDefault="1EEA36A4" w:rsidP="7F4C1FD5">
            <w:pPr>
              <w:pStyle w:val="BodyText"/>
              <w:spacing w:before="59"/>
              <w:ind w:right="100"/>
              <w:rPr>
                <w:highlight w:val="yellow"/>
              </w:rPr>
            </w:pPr>
            <w:r w:rsidRPr="00197EA2">
              <w:t xml:space="preserve">There </w:t>
            </w:r>
            <w:r w:rsidR="00601C87" w:rsidRPr="00197EA2">
              <w:t xml:space="preserve">is likely to be </w:t>
            </w:r>
            <w:r w:rsidRPr="00197EA2">
              <w:t>no contractor parking available at the venue</w:t>
            </w:r>
            <w:r w:rsidR="00601C87" w:rsidRPr="00197EA2">
              <w:t>, it will depend on the type of vehicles</w:t>
            </w:r>
            <w:r w:rsidRPr="00197EA2">
              <w:t>. Limited parking for contractors will be available on Museum of Liverpool site</w:t>
            </w:r>
            <w:r w:rsidR="00601C87" w:rsidRPr="00197EA2">
              <w:t xml:space="preserve">. </w:t>
            </w:r>
          </w:p>
        </w:tc>
      </w:tr>
      <w:tr w:rsidR="00197EA2" w:rsidRPr="007C7636" w14:paraId="14C84859" w14:textId="77777777" w:rsidTr="7F4C1FD5">
        <w:tc>
          <w:tcPr>
            <w:tcW w:w="3574" w:type="dxa"/>
          </w:tcPr>
          <w:p w14:paraId="698B480E" w14:textId="5CC79331" w:rsidR="00197EA2" w:rsidRDefault="00197EA2" w:rsidP="00982EF0">
            <w:pPr>
              <w:pStyle w:val="BodyText"/>
              <w:rPr>
                <w:bCs/>
              </w:rPr>
            </w:pPr>
            <w:r>
              <w:rPr>
                <w:bCs/>
              </w:rPr>
              <w:t>COVID-19</w:t>
            </w:r>
          </w:p>
        </w:tc>
        <w:tc>
          <w:tcPr>
            <w:tcW w:w="6326" w:type="dxa"/>
            <w:shd w:val="clear" w:color="auto" w:fill="F2F2F2" w:themeFill="background1" w:themeFillShade="F2"/>
          </w:tcPr>
          <w:p w14:paraId="1F582D23" w14:textId="6835B5D7" w:rsidR="00197EA2" w:rsidRDefault="00197EA2" w:rsidP="7F4C1FD5">
            <w:pPr>
              <w:pStyle w:val="BodyText"/>
              <w:spacing w:before="59"/>
              <w:ind w:right="100"/>
            </w:pPr>
            <w:r>
              <w:t xml:space="preserve">Refer to the Site Operating Procedures for working safely during Coronavirus (COVID-10). (Appendix P - </w:t>
            </w:r>
            <w:r w:rsidRPr="00197EA2">
              <w:t>Site Operating Procedures Covid-19</w:t>
            </w:r>
            <w:r>
              <w:t xml:space="preserve">). </w:t>
            </w:r>
          </w:p>
        </w:tc>
      </w:tr>
      <w:tr w:rsidR="001D2017" w:rsidRPr="007C7636" w14:paraId="7B57FAE5" w14:textId="77777777" w:rsidTr="7F4C1FD5">
        <w:tc>
          <w:tcPr>
            <w:tcW w:w="9900" w:type="dxa"/>
            <w:gridSpan w:val="2"/>
          </w:tcPr>
          <w:p w14:paraId="5538B3D6" w14:textId="00DE47B9" w:rsidR="001D2017" w:rsidRPr="001D2017" w:rsidRDefault="001D2017" w:rsidP="00982EF0">
            <w:pPr>
              <w:pStyle w:val="BodyText"/>
              <w:spacing w:before="59"/>
              <w:ind w:right="100"/>
              <w:rPr>
                <w:b/>
              </w:rPr>
            </w:pPr>
            <w:r w:rsidRPr="001D2017">
              <w:rPr>
                <w:b/>
              </w:rPr>
              <w:t xml:space="preserve">3. Significant Project Hazards </w:t>
            </w:r>
          </w:p>
        </w:tc>
      </w:tr>
      <w:tr w:rsidR="00226B81" w:rsidRPr="007C7636" w14:paraId="154AB0D9" w14:textId="77777777" w:rsidTr="7F4C1FD5">
        <w:tc>
          <w:tcPr>
            <w:tcW w:w="9900" w:type="dxa"/>
            <w:gridSpan w:val="2"/>
          </w:tcPr>
          <w:p w14:paraId="17F4616F" w14:textId="38B573F3" w:rsidR="00226B81" w:rsidRPr="007C7636" w:rsidRDefault="00226B81" w:rsidP="00632D35">
            <w:pPr>
              <w:pStyle w:val="BodyText"/>
              <w:spacing w:before="59"/>
              <w:ind w:right="100"/>
              <w:rPr>
                <w:bCs/>
              </w:rPr>
            </w:pPr>
            <w:r>
              <w:rPr>
                <w:bCs/>
              </w:rPr>
              <w:t>Safety hazards, including:</w:t>
            </w:r>
          </w:p>
        </w:tc>
      </w:tr>
      <w:tr w:rsidR="001D2017" w:rsidRPr="007C7636" w14:paraId="48D2E310" w14:textId="77777777" w:rsidTr="7F4C1FD5">
        <w:tc>
          <w:tcPr>
            <w:tcW w:w="3574" w:type="dxa"/>
          </w:tcPr>
          <w:p w14:paraId="6D6F4048" w14:textId="757E9BD6" w:rsidR="001D2017" w:rsidRDefault="001D2017" w:rsidP="00982EF0">
            <w:pPr>
              <w:pStyle w:val="BodyText"/>
              <w:rPr>
                <w:bCs/>
              </w:rPr>
            </w:pPr>
            <w:r>
              <w:rPr>
                <w:bCs/>
              </w:rPr>
              <w:t xml:space="preserve">Boundaries and access, including temporary access </w:t>
            </w:r>
          </w:p>
        </w:tc>
        <w:tc>
          <w:tcPr>
            <w:tcW w:w="6326" w:type="dxa"/>
            <w:shd w:val="clear" w:color="auto" w:fill="F2F2F2" w:themeFill="background1" w:themeFillShade="F2"/>
          </w:tcPr>
          <w:p w14:paraId="6E10B61E" w14:textId="77777777" w:rsidR="00226B81" w:rsidRPr="00632D35" w:rsidRDefault="00226B81" w:rsidP="00226B81">
            <w:pPr>
              <w:pStyle w:val="BodyText"/>
              <w:spacing w:before="59"/>
              <w:ind w:right="100"/>
              <w:rPr>
                <w:bCs/>
              </w:rPr>
            </w:pPr>
            <w:r w:rsidRPr="00632D35">
              <w:rPr>
                <w:bCs/>
              </w:rPr>
              <w:t>Access to the site and contractors parking is as detailed above. These areas are in constant daily use by other term contractors, NML staff and general public. The contractor should take care when entering and exiting the premises to avoid traffic/pedestrian collisions.</w:t>
            </w:r>
          </w:p>
          <w:p w14:paraId="12277FE2" w14:textId="77777777" w:rsidR="00226B81" w:rsidRPr="00632D35" w:rsidRDefault="00226B81" w:rsidP="00226B81">
            <w:pPr>
              <w:pStyle w:val="BodyText"/>
              <w:spacing w:before="59"/>
              <w:ind w:right="100"/>
              <w:rPr>
                <w:bCs/>
              </w:rPr>
            </w:pPr>
          </w:p>
          <w:p w14:paraId="600206FC" w14:textId="1061B2A2" w:rsidR="00BC65FA" w:rsidRPr="007C7636" w:rsidRDefault="00226B81" w:rsidP="00226B81">
            <w:pPr>
              <w:pStyle w:val="BodyText"/>
              <w:spacing w:before="1"/>
              <w:ind w:right="121"/>
              <w:jc w:val="both"/>
              <w:rPr>
                <w:bCs/>
              </w:rPr>
            </w:pPr>
            <w:r w:rsidRPr="00632D35">
              <w:rPr>
                <w:bCs/>
              </w:rPr>
              <w:t>There is a designated speed limit in place on all access routes to the site and contractors compound/parking area and these must be adhered to at all times. Hazard warning lights must be used when entering and exiting these areas.</w:t>
            </w:r>
          </w:p>
        </w:tc>
      </w:tr>
      <w:tr w:rsidR="001D2017" w:rsidRPr="007C7636" w14:paraId="5CEA8CB8" w14:textId="77777777" w:rsidTr="7F4C1FD5">
        <w:tc>
          <w:tcPr>
            <w:tcW w:w="3574" w:type="dxa"/>
          </w:tcPr>
          <w:p w14:paraId="6769ADBC" w14:textId="4130AB60" w:rsidR="001D2017" w:rsidRDefault="001D2017" w:rsidP="00982EF0">
            <w:pPr>
              <w:pStyle w:val="BodyText"/>
              <w:rPr>
                <w:bCs/>
              </w:rPr>
            </w:pPr>
            <w:r>
              <w:rPr>
                <w:bCs/>
              </w:rPr>
              <w:t xml:space="preserve">Restrictions on deliveries or waste collection or storage </w:t>
            </w:r>
          </w:p>
        </w:tc>
        <w:tc>
          <w:tcPr>
            <w:tcW w:w="6326" w:type="dxa"/>
            <w:shd w:val="clear" w:color="auto" w:fill="F2F2F2" w:themeFill="background1" w:themeFillShade="F2"/>
          </w:tcPr>
          <w:p w14:paraId="2C506692" w14:textId="77777777" w:rsidR="00226B81" w:rsidRPr="00E10EC1" w:rsidRDefault="00226B81" w:rsidP="00226B81">
            <w:pPr>
              <w:pStyle w:val="BodyText"/>
              <w:spacing w:before="59"/>
              <w:ind w:right="100"/>
              <w:rPr>
                <w:bCs/>
              </w:rPr>
            </w:pPr>
            <w:r w:rsidRPr="00E10EC1">
              <w:rPr>
                <w:bCs/>
              </w:rPr>
              <w:t>Deliveries should be timed to avoid clashes with food deliveries, bin collections etc. The contractor will be required to lia</w:t>
            </w:r>
            <w:r>
              <w:rPr>
                <w:bCs/>
              </w:rPr>
              <w:t>i</w:t>
            </w:r>
            <w:r w:rsidRPr="00E10EC1">
              <w:rPr>
                <w:bCs/>
              </w:rPr>
              <w:t xml:space="preserve">se with the </w:t>
            </w:r>
            <w:r>
              <w:rPr>
                <w:bCs/>
              </w:rPr>
              <w:t>CA and Visitor Services Manager</w:t>
            </w:r>
            <w:r w:rsidRPr="00E10EC1">
              <w:rPr>
                <w:bCs/>
              </w:rPr>
              <w:t xml:space="preserve"> to agree suitable delivery times.</w:t>
            </w:r>
          </w:p>
          <w:p w14:paraId="237BB313" w14:textId="77777777" w:rsidR="00226B81" w:rsidRPr="00E10EC1" w:rsidRDefault="00226B81" w:rsidP="00226B81">
            <w:pPr>
              <w:pStyle w:val="BodyText"/>
              <w:spacing w:before="59"/>
              <w:ind w:right="100"/>
              <w:rPr>
                <w:bCs/>
              </w:rPr>
            </w:pPr>
          </w:p>
          <w:p w14:paraId="5B91B70B" w14:textId="77777777" w:rsidR="00226B81" w:rsidRDefault="00226B81" w:rsidP="00226B81">
            <w:pPr>
              <w:pStyle w:val="BodyText"/>
              <w:spacing w:before="59"/>
              <w:ind w:right="100"/>
              <w:rPr>
                <w:bCs/>
              </w:rPr>
            </w:pPr>
            <w:r w:rsidRPr="00E10EC1">
              <w:rPr>
                <w:bCs/>
              </w:rPr>
              <w:t>All deliveries are to be made to the building at a time agreed with the C</w:t>
            </w:r>
            <w:r>
              <w:rPr>
                <w:bCs/>
              </w:rPr>
              <w:t>A.</w:t>
            </w:r>
          </w:p>
          <w:p w14:paraId="0028045B" w14:textId="77777777" w:rsidR="00226B81" w:rsidRPr="00E10EC1" w:rsidRDefault="00226B81" w:rsidP="00226B81">
            <w:pPr>
              <w:pStyle w:val="BodyText"/>
              <w:spacing w:before="59"/>
              <w:ind w:right="100"/>
              <w:rPr>
                <w:bCs/>
              </w:rPr>
            </w:pPr>
          </w:p>
          <w:p w14:paraId="1A3BC4FE" w14:textId="77777777" w:rsidR="00226B81" w:rsidRDefault="00226B81" w:rsidP="00226B81">
            <w:pPr>
              <w:pStyle w:val="BodyText"/>
              <w:spacing w:before="59"/>
              <w:ind w:right="100"/>
              <w:rPr>
                <w:bCs/>
              </w:rPr>
            </w:pPr>
            <w:r w:rsidRPr="00E10EC1">
              <w:rPr>
                <w:bCs/>
              </w:rPr>
              <w:t>The Contractor will ensure nothing is damaged wi</w:t>
            </w:r>
            <w:r>
              <w:rPr>
                <w:bCs/>
              </w:rPr>
              <w:t xml:space="preserve">thin the Atrium as </w:t>
            </w:r>
            <w:r w:rsidRPr="00E10EC1">
              <w:rPr>
                <w:bCs/>
              </w:rPr>
              <w:t>equipment and materials are brought through the building.</w:t>
            </w:r>
          </w:p>
          <w:p w14:paraId="02010504" w14:textId="77777777" w:rsidR="00226B81" w:rsidRDefault="00226B81" w:rsidP="00226B81">
            <w:pPr>
              <w:pStyle w:val="BodyText"/>
              <w:spacing w:before="59"/>
              <w:ind w:right="100"/>
              <w:rPr>
                <w:bCs/>
              </w:rPr>
            </w:pPr>
          </w:p>
          <w:p w14:paraId="7C2A29E5" w14:textId="77777777" w:rsidR="00226B81" w:rsidRPr="006278F4" w:rsidRDefault="00226B81" w:rsidP="00226B81">
            <w:pPr>
              <w:pStyle w:val="BodyText"/>
              <w:spacing w:before="59"/>
              <w:ind w:right="100"/>
              <w:rPr>
                <w:bCs/>
              </w:rPr>
            </w:pPr>
            <w:r w:rsidRPr="006278F4">
              <w:rPr>
                <w:bCs/>
              </w:rPr>
              <w:t>Roads, loading bays and access lifts shall be left clean and clear to allow access for emergency vehicles at all times.</w:t>
            </w:r>
          </w:p>
          <w:p w14:paraId="78963879" w14:textId="77777777" w:rsidR="00226B81" w:rsidRPr="006278F4" w:rsidRDefault="00226B81" w:rsidP="00226B81">
            <w:pPr>
              <w:pStyle w:val="BodyText"/>
              <w:spacing w:before="59"/>
              <w:ind w:right="100"/>
              <w:rPr>
                <w:bCs/>
              </w:rPr>
            </w:pPr>
          </w:p>
          <w:p w14:paraId="36016DDF" w14:textId="77777777" w:rsidR="00226B81" w:rsidRPr="006278F4" w:rsidRDefault="00226B81" w:rsidP="00226B81">
            <w:pPr>
              <w:pStyle w:val="BodyText"/>
              <w:spacing w:before="59"/>
              <w:ind w:right="100"/>
              <w:rPr>
                <w:bCs/>
              </w:rPr>
            </w:pPr>
            <w:r w:rsidRPr="006278F4">
              <w:rPr>
                <w:bCs/>
              </w:rPr>
              <w:t>The Contractor will be responsible for removal of all debris and rubbish arising from the</w:t>
            </w:r>
            <w:r>
              <w:rPr>
                <w:bCs/>
              </w:rPr>
              <w:t xml:space="preserve"> </w:t>
            </w:r>
            <w:r w:rsidRPr="006278F4">
              <w:rPr>
                <w:bCs/>
              </w:rPr>
              <w:t>Contract Works and must maintain a clean and clutter free environment.</w:t>
            </w:r>
          </w:p>
          <w:p w14:paraId="6FE0DDD9" w14:textId="77777777" w:rsidR="00226B81" w:rsidRPr="006278F4" w:rsidRDefault="00226B81" w:rsidP="00226B81">
            <w:pPr>
              <w:pStyle w:val="BodyText"/>
              <w:spacing w:before="59"/>
              <w:ind w:right="100"/>
              <w:rPr>
                <w:bCs/>
              </w:rPr>
            </w:pPr>
          </w:p>
          <w:p w14:paraId="78D2AF2F" w14:textId="0A3D71B7" w:rsidR="00226B81" w:rsidRDefault="5D8F1BD5" w:rsidP="00226B81">
            <w:pPr>
              <w:pStyle w:val="BodyText"/>
              <w:spacing w:before="59"/>
              <w:ind w:right="100"/>
            </w:pPr>
            <w:r>
              <w:t>Storage space is limited, and the Contractor shall agree with the CA</w:t>
            </w:r>
            <w:r w:rsidR="498763B3">
              <w:t xml:space="preserve"> </w:t>
            </w:r>
            <w:r>
              <w:t>locations for storage of materials and shall relocate material if requested by the Client / Principal Contractor within 24 hours of the request being made or immediately if so requested.</w:t>
            </w:r>
          </w:p>
          <w:p w14:paraId="4597A099" w14:textId="77777777" w:rsidR="00226B81" w:rsidRDefault="00226B81" w:rsidP="00226B81">
            <w:pPr>
              <w:pStyle w:val="BodyText"/>
              <w:spacing w:before="59"/>
              <w:ind w:right="100"/>
              <w:rPr>
                <w:bCs/>
              </w:rPr>
            </w:pPr>
          </w:p>
          <w:p w14:paraId="64F8F79B" w14:textId="77777777" w:rsidR="00226B81" w:rsidRDefault="00226B81" w:rsidP="00226B81">
            <w:pPr>
              <w:pStyle w:val="BodyText"/>
              <w:ind w:right="92"/>
            </w:pPr>
            <w:r>
              <w:t>The Contractor shall thoroughly clean the working and storage areas daily as the works proceed to the satisfaction of the Client/Principle Designer and remove rubbish, debris and surplus materials daily.</w:t>
            </w:r>
          </w:p>
          <w:p w14:paraId="3E3FCFF9" w14:textId="77777777" w:rsidR="00226B81" w:rsidRDefault="00226B81" w:rsidP="00226B81">
            <w:pPr>
              <w:pStyle w:val="BodyText"/>
              <w:spacing w:before="11"/>
              <w:rPr>
                <w:sz w:val="19"/>
              </w:rPr>
            </w:pPr>
          </w:p>
          <w:p w14:paraId="311A550E" w14:textId="77777777" w:rsidR="00226B81" w:rsidRDefault="00226B81" w:rsidP="00226B81">
            <w:pPr>
              <w:pStyle w:val="BodyText"/>
              <w:jc w:val="both"/>
              <w:rPr>
                <w:rFonts w:ascii="Calibri"/>
                <w:sz w:val="22"/>
              </w:rPr>
            </w:pPr>
            <w:r>
              <w:t>No flammable materials are to be stored on the Site</w:t>
            </w:r>
            <w:r>
              <w:rPr>
                <w:rFonts w:ascii="Calibri"/>
                <w:sz w:val="22"/>
              </w:rPr>
              <w:t>.</w:t>
            </w:r>
          </w:p>
          <w:p w14:paraId="5A3DCC81" w14:textId="77777777" w:rsidR="00226B81" w:rsidRDefault="00226B81" w:rsidP="00226B81">
            <w:pPr>
              <w:pStyle w:val="BodyText"/>
              <w:spacing w:before="11"/>
              <w:rPr>
                <w:rFonts w:ascii="Calibri"/>
                <w:sz w:val="26"/>
              </w:rPr>
            </w:pPr>
          </w:p>
          <w:p w14:paraId="459450E2" w14:textId="03873B01" w:rsidR="00601C87" w:rsidRDefault="00601C87" w:rsidP="00226B81">
            <w:pPr>
              <w:pStyle w:val="BodyText"/>
              <w:spacing w:before="1"/>
              <w:ind w:right="121"/>
              <w:jc w:val="both"/>
            </w:pPr>
            <w:r>
              <w:t>The location of the skip will either be located on site in a parking bay</w:t>
            </w:r>
            <w:r w:rsidR="00197EA2">
              <w:t>. NML are also consulting Albert Dock Company in regard to having the skip outside of MLK on the shared land.</w:t>
            </w:r>
            <w:r>
              <w:t xml:space="preserve"> The skips will need to have a lockable cover or be removed from the site each day.</w:t>
            </w:r>
          </w:p>
          <w:p w14:paraId="5C3AF58A" w14:textId="2F71FEEE" w:rsidR="001D2017" w:rsidRPr="007C7636" w:rsidRDefault="001D2017" w:rsidP="00982EF0">
            <w:pPr>
              <w:pStyle w:val="BodyText"/>
              <w:spacing w:before="59"/>
              <w:ind w:right="100"/>
              <w:rPr>
                <w:bCs/>
              </w:rPr>
            </w:pPr>
          </w:p>
        </w:tc>
      </w:tr>
      <w:tr w:rsidR="001D2017" w:rsidRPr="007C7636" w14:paraId="4F5206F6" w14:textId="77777777" w:rsidTr="7F4C1FD5">
        <w:tc>
          <w:tcPr>
            <w:tcW w:w="3574" w:type="dxa"/>
          </w:tcPr>
          <w:p w14:paraId="79412171" w14:textId="02201F6B" w:rsidR="001D2017" w:rsidRDefault="001D2017" w:rsidP="00982EF0">
            <w:pPr>
              <w:pStyle w:val="BodyText"/>
              <w:rPr>
                <w:bCs/>
              </w:rPr>
            </w:pPr>
            <w:r>
              <w:rPr>
                <w:bCs/>
              </w:rPr>
              <w:t xml:space="preserve">Adjacent land use </w:t>
            </w:r>
          </w:p>
        </w:tc>
        <w:tc>
          <w:tcPr>
            <w:tcW w:w="6326" w:type="dxa"/>
            <w:shd w:val="clear" w:color="auto" w:fill="F2F2F2" w:themeFill="background1" w:themeFillShade="F2"/>
          </w:tcPr>
          <w:p w14:paraId="52ACEECD" w14:textId="434DC13C" w:rsidR="001D2017" w:rsidRPr="007C7636" w:rsidRDefault="007B6EDF" w:rsidP="00982EF0">
            <w:pPr>
              <w:pStyle w:val="BodyText"/>
              <w:spacing w:before="59"/>
              <w:ind w:right="100"/>
              <w:rPr>
                <w:bCs/>
              </w:rPr>
            </w:pPr>
            <w:r w:rsidRPr="00AB7F9D">
              <w:rPr>
                <w:bCs/>
              </w:rPr>
              <w:t xml:space="preserve">The building is located in a pedestrianised area, largely used for </w:t>
            </w:r>
            <w:r w:rsidRPr="00AB7F9D">
              <w:rPr>
                <w:bCs/>
              </w:rPr>
              <w:lastRenderedPageBreak/>
              <w:t>recreational and commercial activities.</w:t>
            </w:r>
          </w:p>
        </w:tc>
      </w:tr>
      <w:tr w:rsidR="001D2017" w:rsidRPr="007C7636" w14:paraId="10FA809B" w14:textId="77777777" w:rsidTr="7F4C1FD5">
        <w:tc>
          <w:tcPr>
            <w:tcW w:w="3574" w:type="dxa"/>
          </w:tcPr>
          <w:p w14:paraId="55F4F9E3" w14:textId="6D93B4ED" w:rsidR="001D2017" w:rsidRDefault="001D2017" w:rsidP="00982EF0">
            <w:pPr>
              <w:pStyle w:val="BodyText"/>
              <w:rPr>
                <w:bCs/>
              </w:rPr>
            </w:pPr>
            <w:r>
              <w:rPr>
                <w:bCs/>
              </w:rPr>
              <w:lastRenderedPageBreak/>
              <w:t>Existing structures</w:t>
            </w:r>
          </w:p>
        </w:tc>
        <w:tc>
          <w:tcPr>
            <w:tcW w:w="6326" w:type="dxa"/>
            <w:shd w:val="clear" w:color="auto" w:fill="F2F2F2" w:themeFill="background1" w:themeFillShade="F2"/>
          </w:tcPr>
          <w:p w14:paraId="66A4574F" w14:textId="77777777" w:rsidR="001D2017" w:rsidRDefault="00D02743" w:rsidP="00982EF0">
            <w:pPr>
              <w:pStyle w:val="BodyText"/>
              <w:spacing w:before="59"/>
              <w:ind w:right="100"/>
              <w:rPr>
                <w:bCs/>
              </w:rPr>
            </w:pPr>
            <w:r w:rsidRPr="00D02743">
              <w:rPr>
                <w:bCs/>
              </w:rPr>
              <w:t>The Martin Luther King is a Grade I listed building</w:t>
            </w:r>
            <w:r w:rsidR="00E87D9D">
              <w:rPr>
                <w:bCs/>
              </w:rPr>
              <w:t xml:space="preserve">, in the 1980’s it went under a major repair, restoration and conversation re-use as a news gathering centre for the North West by Granada Studies. </w:t>
            </w:r>
          </w:p>
          <w:p w14:paraId="768A449B" w14:textId="7FA3A37F" w:rsidR="00776DCB" w:rsidRDefault="003735EB" w:rsidP="00982EF0">
            <w:pPr>
              <w:pStyle w:val="BodyText"/>
              <w:spacing w:before="59"/>
              <w:ind w:right="100"/>
              <w:rPr>
                <w:bCs/>
              </w:rPr>
            </w:pPr>
            <w:proofErr w:type="gramStart"/>
            <w:r>
              <w:rPr>
                <w:bCs/>
              </w:rPr>
              <w:t>It’s</w:t>
            </w:r>
            <w:proofErr w:type="gramEnd"/>
            <w:r>
              <w:rPr>
                <w:bCs/>
              </w:rPr>
              <w:t xml:space="preserve"> external features are it’s</w:t>
            </w:r>
            <w:r w:rsidR="00776DCB">
              <w:rPr>
                <w:bCs/>
              </w:rPr>
              <w:t xml:space="preserve"> brick</w:t>
            </w:r>
            <w:r w:rsidR="00776DCB" w:rsidRPr="00776DCB">
              <w:rPr>
                <w:bCs/>
              </w:rPr>
              <w:t xml:space="preserve"> facades, stone dressings, windows with gauged brick flat arches and sashed windows with glazing bars. However, the current windows are not original and were installed as part of the 1980’s conversion works.</w:t>
            </w:r>
            <w:r w:rsidR="00CA7005">
              <w:rPr>
                <w:bCs/>
              </w:rPr>
              <w:t xml:space="preserve"> </w:t>
            </w:r>
            <w:r w:rsidR="00CA7005" w:rsidRPr="00CA7005">
              <w:rPr>
                <w:bCs/>
              </w:rPr>
              <w:t>The Tetrastyle Tuscan portico and frieze, pediment with its 36ft long architrave is identified as a single casting, all of iron with a brick tympanum</w:t>
            </w:r>
            <w:r w:rsidR="00E03863">
              <w:rPr>
                <w:bCs/>
              </w:rPr>
              <w:t>.</w:t>
            </w:r>
          </w:p>
          <w:p w14:paraId="3223582D" w14:textId="49B66D41" w:rsidR="00776DCB" w:rsidRPr="007C7636" w:rsidRDefault="00776DCB" w:rsidP="00982EF0">
            <w:pPr>
              <w:pStyle w:val="BodyText"/>
              <w:spacing w:before="59"/>
              <w:ind w:right="100"/>
              <w:rPr>
                <w:bCs/>
              </w:rPr>
            </w:pPr>
          </w:p>
        </w:tc>
      </w:tr>
      <w:tr w:rsidR="001D2017" w:rsidRPr="007C7636" w14:paraId="55466270" w14:textId="77777777" w:rsidTr="7F4C1FD5">
        <w:tc>
          <w:tcPr>
            <w:tcW w:w="3574" w:type="dxa"/>
          </w:tcPr>
          <w:p w14:paraId="75246E02" w14:textId="49BBEE99" w:rsidR="001D2017" w:rsidRDefault="001104C6" w:rsidP="00982EF0">
            <w:pPr>
              <w:pStyle w:val="BodyText"/>
              <w:rPr>
                <w:bCs/>
              </w:rPr>
            </w:pPr>
            <w:r>
              <w:rPr>
                <w:bCs/>
              </w:rPr>
              <w:t>Location of existing services, particularly concealed services</w:t>
            </w:r>
          </w:p>
        </w:tc>
        <w:tc>
          <w:tcPr>
            <w:tcW w:w="6326" w:type="dxa"/>
            <w:shd w:val="clear" w:color="auto" w:fill="F2F2F2" w:themeFill="background1" w:themeFillShade="F2"/>
          </w:tcPr>
          <w:p w14:paraId="119D294E" w14:textId="4E7564E0" w:rsidR="001D2017" w:rsidRPr="007C7636" w:rsidRDefault="00A82CAD" w:rsidP="00982EF0">
            <w:pPr>
              <w:pStyle w:val="BodyText"/>
              <w:spacing w:before="59"/>
              <w:ind w:right="100"/>
              <w:rPr>
                <w:bCs/>
              </w:rPr>
            </w:pPr>
            <w:r>
              <w:rPr>
                <w:bCs/>
              </w:rPr>
              <w:t>Care should be taken to identify service runs prior to removal of opening up of any areas</w:t>
            </w:r>
          </w:p>
        </w:tc>
      </w:tr>
      <w:tr w:rsidR="001D2017" w:rsidRPr="007C7636" w14:paraId="52DB602F" w14:textId="77777777" w:rsidTr="7F4C1FD5">
        <w:tc>
          <w:tcPr>
            <w:tcW w:w="3574" w:type="dxa"/>
          </w:tcPr>
          <w:p w14:paraId="5B1AAC99" w14:textId="55297ADC" w:rsidR="001D2017" w:rsidRDefault="001104C6" w:rsidP="00982EF0">
            <w:pPr>
              <w:pStyle w:val="BodyText"/>
              <w:rPr>
                <w:bCs/>
              </w:rPr>
            </w:pPr>
            <w:r>
              <w:rPr>
                <w:bCs/>
              </w:rPr>
              <w:t xml:space="preserve">Ground </w:t>
            </w:r>
            <w:proofErr w:type="spellStart"/>
            <w:r>
              <w:rPr>
                <w:bCs/>
              </w:rPr>
              <w:t>consitions</w:t>
            </w:r>
            <w:proofErr w:type="spellEnd"/>
            <w:r>
              <w:rPr>
                <w:bCs/>
              </w:rPr>
              <w:t>, underground structures or water courses</w:t>
            </w:r>
          </w:p>
        </w:tc>
        <w:tc>
          <w:tcPr>
            <w:tcW w:w="6326" w:type="dxa"/>
            <w:shd w:val="clear" w:color="auto" w:fill="F2F2F2" w:themeFill="background1" w:themeFillShade="F2"/>
          </w:tcPr>
          <w:p w14:paraId="295C3EA1" w14:textId="35C2DD96" w:rsidR="001D2017" w:rsidRPr="007C7636" w:rsidRDefault="003217D8" w:rsidP="00982EF0">
            <w:pPr>
              <w:pStyle w:val="BodyText"/>
              <w:spacing w:before="59"/>
              <w:ind w:right="100"/>
              <w:rPr>
                <w:bCs/>
              </w:rPr>
            </w:pPr>
            <w:r>
              <w:rPr>
                <w:bCs/>
              </w:rPr>
              <w:t xml:space="preserve">Not applicable </w:t>
            </w:r>
          </w:p>
        </w:tc>
      </w:tr>
      <w:tr w:rsidR="001D2017" w:rsidRPr="007C7636" w14:paraId="1F11F642" w14:textId="77777777" w:rsidTr="7F4C1FD5">
        <w:tc>
          <w:tcPr>
            <w:tcW w:w="3574" w:type="dxa"/>
          </w:tcPr>
          <w:p w14:paraId="4505BFAB" w14:textId="1BA46BAD" w:rsidR="001D2017" w:rsidRDefault="001104C6" w:rsidP="00982EF0">
            <w:pPr>
              <w:pStyle w:val="BodyText"/>
              <w:rPr>
                <w:bCs/>
              </w:rPr>
            </w:pPr>
            <w:r>
              <w:rPr>
                <w:bCs/>
              </w:rPr>
              <w:t xml:space="preserve">Information about existing structures, </w:t>
            </w:r>
            <w:proofErr w:type="spellStart"/>
            <w:r>
              <w:rPr>
                <w:bCs/>
              </w:rPr>
              <w:t>i.e</w:t>
            </w:r>
            <w:proofErr w:type="spellEnd"/>
            <w:r>
              <w:rPr>
                <w:bCs/>
              </w:rPr>
              <w:t xml:space="preserve"> stability, or those containing fragile or hazardous materials </w:t>
            </w:r>
          </w:p>
        </w:tc>
        <w:tc>
          <w:tcPr>
            <w:tcW w:w="6326" w:type="dxa"/>
            <w:shd w:val="clear" w:color="auto" w:fill="F2F2F2" w:themeFill="background1" w:themeFillShade="F2"/>
          </w:tcPr>
          <w:p w14:paraId="0896DFBC" w14:textId="349EF5BE" w:rsidR="001D2017" w:rsidRPr="007C7636" w:rsidRDefault="00865FBE" w:rsidP="00982EF0">
            <w:pPr>
              <w:pStyle w:val="BodyText"/>
              <w:spacing w:before="59"/>
              <w:ind w:right="100"/>
              <w:rPr>
                <w:bCs/>
              </w:rPr>
            </w:pPr>
            <w:r>
              <w:rPr>
                <w:bCs/>
              </w:rPr>
              <w:t>Extensive refurbishment work was undertaken in the 1980’</w:t>
            </w:r>
            <w:proofErr w:type="gramStart"/>
            <w:r>
              <w:rPr>
                <w:bCs/>
              </w:rPr>
              <w:t>s.The</w:t>
            </w:r>
            <w:proofErr w:type="gramEnd"/>
            <w:r>
              <w:rPr>
                <w:bCs/>
              </w:rPr>
              <w:t xml:space="preserve"> Contractor should stop works immediately if any suspected ACM’s were found. This should be reported to the CA who will take appropriate action. </w:t>
            </w:r>
          </w:p>
        </w:tc>
      </w:tr>
      <w:tr w:rsidR="001104C6" w:rsidRPr="007C7636" w14:paraId="4E08B728" w14:textId="77777777" w:rsidTr="7F4C1FD5">
        <w:tc>
          <w:tcPr>
            <w:tcW w:w="9900" w:type="dxa"/>
            <w:gridSpan w:val="2"/>
          </w:tcPr>
          <w:p w14:paraId="208FF723" w14:textId="16093A50" w:rsidR="001104C6" w:rsidRPr="001104C6" w:rsidRDefault="001104C6" w:rsidP="00982EF0">
            <w:pPr>
              <w:pStyle w:val="BodyText"/>
              <w:spacing w:before="59"/>
              <w:ind w:right="100"/>
              <w:rPr>
                <w:b/>
              </w:rPr>
            </w:pPr>
            <w:r w:rsidRPr="001104C6">
              <w:rPr>
                <w:b/>
              </w:rPr>
              <w:t xml:space="preserve">Design assumptions and control measures </w:t>
            </w:r>
          </w:p>
        </w:tc>
      </w:tr>
      <w:tr w:rsidR="001104C6" w:rsidRPr="007C7636" w14:paraId="65AF9086" w14:textId="77777777" w:rsidTr="7F4C1FD5">
        <w:tc>
          <w:tcPr>
            <w:tcW w:w="3574" w:type="dxa"/>
          </w:tcPr>
          <w:p w14:paraId="3F675146" w14:textId="6E19D64A" w:rsidR="001104C6" w:rsidRDefault="001104C6" w:rsidP="00982EF0">
            <w:pPr>
              <w:pStyle w:val="BodyText"/>
              <w:rPr>
                <w:bCs/>
              </w:rPr>
            </w:pPr>
            <w:r>
              <w:rPr>
                <w:bCs/>
              </w:rPr>
              <w:t xml:space="preserve">Principals of Design </w:t>
            </w:r>
          </w:p>
        </w:tc>
        <w:tc>
          <w:tcPr>
            <w:tcW w:w="6326" w:type="dxa"/>
            <w:shd w:val="clear" w:color="auto" w:fill="F2F2F2" w:themeFill="background1" w:themeFillShade="F2"/>
          </w:tcPr>
          <w:p w14:paraId="79A5B8CD" w14:textId="6B218813" w:rsidR="001104C6" w:rsidRPr="007C7636" w:rsidRDefault="00666A7E" w:rsidP="00982EF0">
            <w:pPr>
              <w:pStyle w:val="BodyText"/>
              <w:spacing w:before="59"/>
              <w:ind w:right="100"/>
              <w:rPr>
                <w:bCs/>
              </w:rPr>
            </w:pPr>
            <w:r>
              <w:rPr>
                <w:bCs/>
              </w:rPr>
              <w:t xml:space="preserve">Works will include </w:t>
            </w:r>
            <w:r w:rsidR="007B3709" w:rsidRPr="007B3709">
              <w:rPr>
                <w:bCs/>
              </w:rPr>
              <w:t>three new Unisex toilets (one of which will be an ambulant disabled toilet) along with a fully accessible disabled toilet, baby change facility and cleaner’s store.</w:t>
            </w:r>
            <w:r w:rsidR="007B3709">
              <w:rPr>
                <w:bCs/>
              </w:rPr>
              <w:t xml:space="preserve"> The work does require removal of partition walls. </w:t>
            </w:r>
          </w:p>
        </w:tc>
      </w:tr>
      <w:tr w:rsidR="001104C6" w:rsidRPr="007C7636" w14:paraId="3DE70077" w14:textId="77777777" w:rsidTr="7F4C1FD5">
        <w:tc>
          <w:tcPr>
            <w:tcW w:w="3574" w:type="dxa"/>
          </w:tcPr>
          <w:p w14:paraId="1B484EDB" w14:textId="1629A117" w:rsidR="001104C6" w:rsidRDefault="001104C6" w:rsidP="00982EF0">
            <w:pPr>
              <w:pStyle w:val="BodyText"/>
              <w:rPr>
                <w:bCs/>
              </w:rPr>
            </w:pPr>
            <w:r>
              <w:rPr>
                <w:bCs/>
              </w:rPr>
              <w:t xml:space="preserve">Fire damage, ground shrinkage </w:t>
            </w:r>
          </w:p>
        </w:tc>
        <w:tc>
          <w:tcPr>
            <w:tcW w:w="6326" w:type="dxa"/>
            <w:shd w:val="clear" w:color="auto" w:fill="F2F2F2" w:themeFill="background1" w:themeFillShade="F2"/>
          </w:tcPr>
          <w:p w14:paraId="4005E9CC" w14:textId="716056F4" w:rsidR="001104C6" w:rsidRPr="007C7636" w:rsidRDefault="007B3709" w:rsidP="00982EF0">
            <w:pPr>
              <w:pStyle w:val="BodyText"/>
              <w:spacing w:before="59"/>
              <w:ind w:right="100"/>
              <w:rPr>
                <w:bCs/>
              </w:rPr>
            </w:pPr>
            <w:r>
              <w:rPr>
                <w:bCs/>
              </w:rPr>
              <w:t xml:space="preserve">Not applicable </w:t>
            </w:r>
          </w:p>
        </w:tc>
      </w:tr>
      <w:tr w:rsidR="001104C6" w:rsidRPr="007C7636" w14:paraId="003890A0" w14:textId="77777777" w:rsidTr="7F4C1FD5">
        <w:tc>
          <w:tcPr>
            <w:tcW w:w="3574" w:type="dxa"/>
          </w:tcPr>
          <w:p w14:paraId="48BBF9B2" w14:textId="3C9DE20F" w:rsidR="001104C6" w:rsidRDefault="001104C6" w:rsidP="00982EF0">
            <w:pPr>
              <w:pStyle w:val="BodyText"/>
              <w:rPr>
                <w:bCs/>
              </w:rPr>
            </w:pPr>
            <w:r>
              <w:rPr>
                <w:bCs/>
              </w:rPr>
              <w:t xml:space="preserve">Health and </w:t>
            </w:r>
            <w:r w:rsidR="0044389F">
              <w:rPr>
                <w:bCs/>
              </w:rPr>
              <w:t>safety</w:t>
            </w:r>
            <w:r>
              <w:rPr>
                <w:bCs/>
              </w:rPr>
              <w:t xml:space="preserve"> information contained in earlier design</w:t>
            </w:r>
            <w:r w:rsidR="0044389F">
              <w:rPr>
                <w:bCs/>
              </w:rPr>
              <w:t xml:space="preserve"> and construction information </w:t>
            </w:r>
          </w:p>
        </w:tc>
        <w:tc>
          <w:tcPr>
            <w:tcW w:w="6326" w:type="dxa"/>
            <w:shd w:val="clear" w:color="auto" w:fill="F2F2F2" w:themeFill="background1" w:themeFillShade="F2"/>
          </w:tcPr>
          <w:p w14:paraId="6E66FE59" w14:textId="17675943" w:rsidR="001104C6" w:rsidRPr="007C7636" w:rsidRDefault="00BE42D5" w:rsidP="00982EF0">
            <w:pPr>
              <w:pStyle w:val="BodyText"/>
              <w:spacing w:before="59"/>
              <w:ind w:right="100"/>
              <w:rPr>
                <w:bCs/>
              </w:rPr>
            </w:pPr>
            <w:r>
              <w:rPr>
                <w:bCs/>
              </w:rPr>
              <w:t xml:space="preserve">Health and Safety and operation manuals from previous projects will be made available and applicable. </w:t>
            </w:r>
          </w:p>
        </w:tc>
      </w:tr>
      <w:tr w:rsidR="001104C6" w:rsidRPr="007C7636" w14:paraId="76189067" w14:textId="77777777" w:rsidTr="7F4C1FD5">
        <w:tc>
          <w:tcPr>
            <w:tcW w:w="3574" w:type="dxa"/>
          </w:tcPr>
          <w:p w14:paraId="1510FA02" w14:textId="58EF6D5F" w:rsidR="001104C6" w:rsidRPr="00601C87" w:rsidRDefault="0044389F" w:rsidP="00982EF0">
            <w:pPr>
              <w:pStyle w:val="BodyText"/>
              <w:rPr>
                <w:bCs/>
              </w:rPr>
            </w:pPr>
            <w:r w:rsidRPr="00601C87">
              <w:rPr>
                <w:bCs/>
              </w:rPr>
              <w:t>Asbestos, including results of surveys, etc</w:t>
            </w:r>
          </w:p>
        </w:tc>
        <w:tc>
          <w:tcPr>
            <w:tcW w:w="6326" w:type="dxa"/>
            <w:shd w:val="clear" w:color="auto" w:fill="F2F2F2" w:themeFill="background1" w:themeFillShade="F2"/>
          </w:tcPr>
          <w:p w14:paraId="4753D4D3" w14:textId="0BAF50CB" w:rsidR="001104C6" w:rsidRPr="00601C87" w:rsidRDefault="00601C87" w:rsidP="00BE42D5">
            <w:pPr>
              <w:pStyle w:val="BodyText"/>
              <w:tabs>
                <w:tab w:val="left" w:pos="1049"/>
              </w:tabs>
              <w:spacing w:before="59"/>
              <w:ind w:right="100"/>
            </w:pPr>
            <w:r w:rsidRPr="00601C87">
              <w:rPr>
                <w:bCs/>
              </w:rPr>
              <w:t xml:space="preserve">A </w:t>
            </w:r>
            <w:r w:rsidR="00197EA2">
              <w:t>Refurbishment &amp; Demolition Survey</w:t>
            </w:r>
            <w:r w:rsidR="00197EA2" w:rsidRPr="00601C87">
              <w:rPr>
                <w:bCs/>
              </w:rPr>
              <w:t xml:space="preserve"> </w:t>
            </w:r>
            <w:r w:rsidRPr="00601C87">
              <w:rPr>
                <w:bCs/>
              </w:rPr>
              <w:t xml:space="preserve">will be undertaken in January 2021. </w:t>
            </w:r>
            <w:r w:rsidR="00197EA2">
              <w:t>This is to any areas affected by the works.</w:t>
            </w:r>
          </w:p>
        </w:tc>
      </w:tr>
      <w:tr w:rsidR="001104C6" w:rsidRPr="007C7636" w14:paraId="76343815" w14:textId="77777777" w:rsidTr="7F4C1FD5">
        <w:tc>
          <w:tcPr>
            <w:tcW w:w="3574" w:type="dxa"/>
          </w:tcPr>
          <w:p w14:paraId="31D0D64A" w14:textId="48AF6A3A" w:rsidR="001104C6" w:rsidRDefault="0044389F" w:rsidP="00982EF0">
            <w:pPr>
              <w:pStyle w:val="BodyText"/>
              <w:rPr>
                <w:bCs/>
              </w:rPr>
            </w:pPr>
            <w:r>
              <w:rPr>
                <w:bCs/>
              </w:rPr>
              <w:t>Design assumptions, suggested work, method, sequences, etc</w:t>
            </w:r>
          </w:p>
        </w:tc>
        <w:tc>
          <w:tcPr>
            <w:tcW w:w="6326" w:type="dxa"/>
            <w:shd w:val="clear" w:color="auto" w:fill="F2F2F2" w:themeFill="background1" w:themeFillShade="F2"/>
          </w:tcPr>
          <w:p w14:paraId="0E9553EC" w14:textId="77777777" w:rsidR="001104C6" w:rsidRDefault="0066651E" w:rsidP="00982EF0">
            <w:pPr>
              <w:pStyle w:val="BodyText"/>
              <w:spacing w:before="59"/>
              <w:ind w:right="100"/>
              <w:rPr>
                <w:bCs/>
              </w:rPr>
            </w:pPr>
            <w:r>
              <w:rPr>
                <w:bCs/>
              </w:rPr>
              <w:t xml:space="preserve">The works are to be carried out over a single phase. </w:t>
            </w:r>
          </w:p>
          <w:p w14:paraId="3E1A4FD5" w14:textId="77777777" w:rsidR="0066651E" w:rsidRDefault="0066651E" w:rsidP="00982EF0">
            <w:pPr>
              <w:pStyle w:val="BodyText"/>
              <w:spacing w:before="59"/>
              <w:ind w:right="100"/>
              <w:rPr>
                <w:bCs/>
              </w:rPr>
            </w:pPr>
          </w:p>
          <w:p w14:paraId="667F9806" w14:textId="77777777" w:rsidR="0066651E" w:rsidRDefault="0066651E" w:rsidP="00982EF0">
            <w:pPr>
              <w:pStyle w:val="BodyText"/>
              <w:spacing w:before="59"/>
              <w:ind w:right="100"/>
              <w:rPr>
                <w:bCs/>
              </w:rPr>
            </w:pPr>
            <w:r>
              <w:rPr>
                <w:bCs/>
              </w:rPr>
              <w:t>The Principal Contractor will be expected to provide a programme of works indicating the proposed sequencing of the works for discussion and agreement at the pre contr</w:t>
            </w:r>
            <w:r w:rsidR="00AA5FAE">
              <w:rPr>
                <w:bCs/>
              </w:rPr>
              <w:t xml:space="preserve">act meeting. </w:t>
            </w:r>
          </w:p>
          <w:p w14:paraId="1070F84B" w14:textId="77777777" w:rsidR="00AA5FAE" w:rsidRDefault="00AA5FAE" w:rsidP="00982EF0">
            <w:pPr>
              <w:pStyle w:val="BodyText"/>
              <w:spacing w:before="59"/>
              <w:ind w:right="100"/>
              <w:rPr>
                <w:bCs/>
              </w:rPr>
            </w:pPr>
          </w:p>
          <w:p w14:paraId="33B9B3D1" w14:textId="49E5133E" w:rsidR="00AA5FAE" w:rsidRPr="007C7636" w:rsidRDefault="00AA5FAE" w:rsidP="00982EF0">
            <w:pPr>
              <w:pStyle w:val="BodyText"/>
              <w:spacing w:before="59"/>
              <w:ind w:right="100"/>
              <w:rPr>
                <w:bCs/>
              </w:rPr>
            </w:pPr>
            <w:r>
              <w:rPr>
                <w:bCs/>
              </w:rPr>
              <w:t xml:space="preserve">Exact dates are to be agreed with NML at the pre contract meeting. </w:t>
            </w:r>
          </w:p>
        </w:tc>
      </w:tr>
      <w:tr w:rsidR="001104C6" w:rsidRPr="007C7636" w14:paraId="5E9477B2" w14:textId="77777777" w:rsidTr="7F4C1FD5">
        <w:tc>
          <w:tcPr>
            <w:tcW w:w="3574" w:type="dxa"/>
          </w:tcPr>
          <w:p w14:paraId="4C5871B1" w14:textId="4F59AE09" w:rsidR="001104C6" w:rsidRDefault="0044389F" w:rsidP="00982EF0">
            <w:pPr>
              <w:pStyle w:val="BodyText"/>
              <w:rPr>
                <w:bCs/>
              </w:rPr>
            </w:pPr>
            <w:r>
              <w:rPr>
                <w:bCs/>
              </w:rPr>
              <w:t>Arrangements for co-ordination of on-going design work and handling design changes</w:t>
            </w:r>
          </w:p>
        </w:tc>
        <w:tc>
          <w:tcPr>
            <w:tcW w:w="6326" w:type="dxa"/>
            <w:shd w:val="clear" w:color="auto" w:fill="F2F2F2" w:themeFill="background1" w:themeFillShade="F2"/>
          </w:tcPr>
          <w:p w14:paraId="486B5917" w14:textId="77777777" w:rsidR="007600E9" w:rsidRPr="007600E9" w:rsidRDefault="007600E9" w:rsidP="007600E9">
            <w:pPr>
              <w:pStyle w:val="BodyText"/>
              <w:spacing w:before="59"/>
              <w:ind w:right="100"/>
              <w:rPr>
                <w:bCs/>
              </w:rPr>
            </w:pPr>
            <w:r w:rsidRPr="007600E9">
              <w:rPr>
                <w:bCs/>
              </w:rPr>
              <w:t>The principal designer will be notified of any design changes and will review the changes. The principle designer will provide the Principal Contractor with any information relating to health &amp; safety risks associated with the design change.</w:t>
            </w:r>
          </w:p>
          <w:p w14:paraId="5945913C" w14:textId="77777777" w:rsidR="007600E9" w:rsidRPr="007600E9" w:rsidRDefault="007600E9" w:rsidP="007600E9">
            <w:pPr>
              <w:pStyle w:val="BodyText"/>
              <w:spacing w:before="59"/>
              <w:ind w:right="100"/>
              <w:rPr>
                <w:bCs/>
              </w:rPr>
            </w:pPr>
          </w:p>
          <w:p w14:paraId="780E7B13" w14:textId="5CE18862" w:rsidR="001104C6" w:rsidRPr="007C7636" w:rsidRDefault="007600E9" w:rsidP="007600E9">
            <w:pPr>
              <w:pStyle w:val="BodyText"/>
              <w:spacing w:before="59"/>
              <w:ind w:right="100"/>
              <w:rPr>
                <w:bCs/>
              </w:rPr>
            </w:pPr>
            <w:r w:rsidRPr="007600E9">
              <w:rPr>
                <w:bCs/>
              </w:rPr>
              <w:t>The Principal contractor shall notify the principal designer of any changes in design or other material changes proposed by contractors during construction.</w:t>
            </w:r>
          </w:p>
        </w:tc>
      </w:tr>
      <w:tr w:rsidR="0044389F" w:rsidRPr="007C7636" w14:paraId="5D9D7289" w14:textId="77777777" w:rsidTr="7F4C1FD5">
        <w:tc>
          <w:tcPr>
            <w:tcW w:w="3574" w:type="dxa"/>
          </w:tcPr>
          <w:p w14:paraId="5B711572" w14:textId="083F2615" w:rsidR="0044389F" w:rsidRDefault="0044389F" w:rsidP="00982EF0">
            <w:pPr>
              <w:pStyle w:val="BodyText"/>
              <w:rPr>
                <w:bCs/>
              </w:rPr>
            </w:pPr>
            <w:r>
              <w:rPr>
                <w:bCs/>
              </w:rPr>
              <w:t>Risks identified during design</w:t>
            </w:r>
          </w:p>
        </w:tc>
        <w:tc>
          <w:tcPr>
            <w:tcW w:w="6326" w:type="dxa"/>
            <w:shd w:val="clear" w:color="auto" w:fill="F2F2F2" w:themeFill="background1" w:themeFillShade="F2"/>
          </w:tcPr>
          <w:p w14:paraId="49C0189D" w14:textId="77777777" w:rsidR="00D07325" w:rsidRPr="00D07325" w:rsidRDefault="00D07325" w:rsidP="00D07325">
            <w:pPr>
              <w:pStyle w:val="BodyText"/>
              <w:spacing w:before="59"/>
              <w:ind w:right="100"/>
              <w:rPr>
                <w:bCs/>
              </w:rPr>
            </w:pPr>
            <w:r w:rsidRPr="00D07325">
              <w:rPr>
                <w:bCs/>
              </w:rPr>
              <w:t>Measures to prevent members of the public coming into</w:t>
            </w:r>
          </w:p>
          <w:p w14:paraId="33297046" w14:textId="77777777" w:rsidR="0044389F" w:rsidRDefault="00D07325" w:rsidP="00D07325">
            <w:pPr>
              <w:pStyle w:val="BodyText"/>
              <w:spacing w:before="59"/>
              <w:ind w:right="100"/>
              <w:rPr>
                <w:bCs/>
              </w:rPr>
            </w:pPr>
            <w:r w:rsidRPr="00D07325">
              <w:rPr>
                <w:bCs/>
              </w:rPr>
              <w:t>contact with construction activities shall be implemented by the principal contractor. It is essential that all site operatives are informed of the proposals to protect the public and that the safety plans are reviewed as the works and progress.</w:t>
            </w:r>
          </w:p>
          <w:p w14:paraId="1C50AA2E" w14:textId="57C4FD14" w:rsidR="00BC5253" w:rsidRPr="007C7636" w:rsidRDefault="00BC5253" w:rsidP="00601C87">
            <w:pPr>
              <w:pStyle w:val="TableParagraph"/>
              <w:ind w:right="371"/>
              <w:rPr>
                <w:bCs/>
              </w:rPr>
            </w:pPr>
          </w:p>
        </w:tc>
      </w:tr>
      <w:tr w:rsidR="0044389F" w:rsidRPr="007C7636" w14:paraId="5E275096" w14:textId="77777777" w:rsidTr="7F4C1FD5">
        <w:tc>
          <w:tcPr>
            <w:tcW w:w="3574" w:type="dxa"/>
          </w:tcPr>
          <w:p w14:paraId="7C3FEB13" w14:textId="255657C3" w:rsidR="0044389F" w:rsidRDefault="0044389F" w:rsidP="00982EF0">
            <w:pPr>
              <w:pStyle w:val="BodyText"/>
              <w:rPr>
                <w:bCs/>
              </w:rPr>
            </w:pPr>
            <w:r>
              <w:rPr>
                <w:bCs/>
              </w:rPr>
              <w:t xml:space="preserve">Materials requiring particular precautions </w:t>
            </w:r>
          </w:p>
        </w:tc>
        <w:tc>
          <w:tcPr>
            <w:tcW w:w="6326" w:type="dxa"/>
            <w:shd w:val="clear" w:color="auto" w:fill="F2F2F2" w:themeFill="background1" w:themeFillShade="F2"/>
          </w:tcPr>
          <w:p w14:paraId="3B2A3B07" w14:textId="00F49D08" w:rsidR="0044389F" w:rsidRPr="00717342" w:rsidRDefault="003425F3" w:rsidP="003425F3">
            <w:pPr>
              <w:pStyle w:val="TableParagraph"/>
              <w:tabs>
                <w:tab w:val="left" w:pos="4403"/>
              </w:tabs>
              <w:spacing w:before="1"/>
              <w:rPr>
                <w:sz w:val="20"/>
              </w:rPr>
            </w:pPr>
            <w:r>
              <w:rPr>
                <w:sz w:val="20"/>
              </w:rPr>
              <w:t>Working with adhesives, COSHH details</w:t>
            </w:r>
            <w:r>
              <w:rPr>
                <w:spacing w:val="-5"/>
                <w:sz w:val="20"/>
              </w:rPr>
              <w:t xml:space="preserve"> </w:t>
            </w:r>
            <w:r>
              <w:rPr>
                <w:sz w:val="20"/>
              </w:rPr>
              <w:t xml:space="preserve">from </w:t>
            </w:r>
          </w:p>
        </w:tc>
      </w:tr>
    </w:tbl>
    <w:p w14:paraId="70F1A62C" w14:textId="62B23083" w:rsidR="007C7636" w:rsidRDefault="007C7636">
      <w:pPr>
        <w:pStyle w:val="BodyText"/>
        <w:rPr>
          <w:b/>
        </w:rPr>
      </w:pPr>
    </w:p>
    <w:p w14:paraId="68FBF1B8" w14:textId="77777777" w:rsidR="00B039AA" w:rsidRDefault="00B039AA">
      <w:pPr>
        <w:pStyle w:val="BodyText"/>
        <w:rPr>
          <w:b/>
        </w:rPr>
      </w:pPr>
    </w:p>
    <w:tbl>
      <w:tblPr>
        <w:tblStyle w:val="TableGrid"/>
        <w:tblW w:w="0" w:type="auto"/>
        <w:tblLook w:val="04A0" w:firstRow="1" w:lastRow="0" w:firstColumn="1" w:lastColumn="0" w:noHBand="0" w:noVBand="1"/>
      </w:tblPr>
      <w:tblGrid>
        <w:gridCol w:w="9900"/>
      </w:tblGrid>
      <w:tr w:rsidR="00B039AA" w14:paraId="641AFD9A" w14:textId="77777777" w:rsidTr="00B039AA">
        <w:tc>
          <w:tcPr>
            <w:tcW w:w="10126" w:type="dxa"/>
          </w:tcPr>
          <w:p w14:paraId="5F4A2F35" w14:textId="77777777" w:rsidR="00B039AA" w:rsidRDefault="00B039AA" w:rsidP="00B039AA">
            <w:pPr>
              <w:ind w:left="103" w:right="44"/>
              <w:rPr>
                <w:b/>
                <w:sz w:val="20"/>
              </w:rPr>
            </w:pPr>
          </w:p>
          <w:p w14:paraId="38EF8592" w14:textId="2FEE422B" w:rsidR="00B039AA" w:rsidRDefault="00B039AA" w:rsidP="00B039AA">
            <w:pPr>
              <w:ind w:left="103" w:right="44"/>
              <w:rPr>
                <w:b/>
                <w:sz w:val="20"/>
              </w:rPr>
            </w:pPr>
            <w:r>
              <w:rPr>
                <w:b/>
                <w:sz w:val="20"/>
              </w:rPr>
              <w:t xml:space="preserve">The Principal Contractors Construction Phase Plan must set out the arrangements for securing health &amp; safety during the period construction work is carried out. The plan must be drawn up before the pre-construction phase and before the construction site set up. The plan must </w:t>
            </w:r>
            <w:proofErr w:type="gramStart"/>
            <w:r>
              <w:rPr>
                <w:b/>
                <w:sz w:val="20"/>
              </w:rPr>
              <w:t xml:space="preserve">take into </w:t>
            </w:r>
            <w:r>
              <w:rPr>
                <w:b/>
                <w:sz w:val="20"/>
              </w:rPr>
              <w:lastRenderedPageBreak/>
              <w:t>account</w:t>
            </w:r>
            <w:proofErr w:type="gramEnd"/>
            <w:r>
              <w:rPr>
                <w:b/>
                <w:sz w:val="20"/>
              </w:rPr>
              <w:t xml:space="preserve"> the pre-construction information issued at tender stage and any further preconstruction information issued through the course of the project. During the construction phase, the principal contractor must ensure the plan is appropriately reviewed, updated and revised, so it remains effective.</w:t>
            </w:r>
          </w:p>
          <w:p w14:paraId="57549D14" w14:textId="1C3F06AB" w:rsidR="00B039AA" w:rsidRPr="00B039AA" w:rsidRDefault="00B039AA" w:rsidP="00B039AA">
            <w:pPr>
              <w:ind w:left="103" w:right="44"/>
              <w:rPr>
                <w:b/>
                <w:sz w:val="20"/>
              </w:rPr>
            </w:pPr>
          </w:p>
        </w:tc>
      </w:tr>
    </w:tbl>
    <w:p w14:paraId="46B5AC15" w14:textId="42978F2D" w:rsidR="007C7636" w:rsidRDefault="007C7636">
      <w:pPr>
        <w:pStyle w:val="BodyText"/>
        <w:rPr>
          <w:b/>
        </w:rPr>
      </w:pPr>
    </w:p>
    <w:p w14:paraId="4B5C85B7" w14:textId="3782AB8D" w:rsidR="007C7636" w:rsidRDefault="007C7636">
      <w:pPr>
        <w:pStyle w:val="BodyText"/>
        <w:rPr>
          <w:b/>
        </w:rPr>
      </w:pPr>
    </w:p>
    <w:p w14:paraId="2AFC138B" w14:textId="238694BD" w:rsidR="007C7636" w:rsidRDefault="007C7636">
      <w:pPr>
        <w:pStyle w:val="BodyText"/>
        <w:rPr>
          <w:b/>
        </w:rPr>
      </w:pPr>
    </w:p>
    <w:p w14:paraId="7D04D6F2" w14:textId="5E5DF832" w:rsidR="007C7636" w:rsidRDefault="007C7636">
      <w:pPr>
        <w:pStyle w:val="BodyText"/>
        <w:rPr>
          <w:b/>
        </w:rPr>
      </w:pPr>
    </w:p>
    <w:p w14:paraId="56076C7B" w14:textId="75D98E1C" w:rsidR="003626F9" w:rsidRDefault="003626F9">
      <w:pPr>
        <w:pStyle w:val="BodyText"/>
        <w:rPr>
          <w:b/>
        </w:rPr>
      </w:pPr>
    </w:p>
    <w:p w14:paraId="362DC9CC" w14:textId="15A37A3E" w:rsidR="003626F9" w:rsidRDefault="003626F9">
      <w:pPr>
        <w:pStyle w:val="BodyText"/>
        <w:rPr>
          <w:b/>
        </w:rPr>
      </w:pPr>
    </w:p>
    <w:p w14:paraId="3B955BEA" w14:textId="6BF3ED1B" w:rsidR="003626F9" w:rsidRDefault="003626F9">
      <w:pPr>
        <w:pStyle w:val="BodyText"/>
        <w:rPr>
          <w:b/>
        </w:rPr>
      </w:pPr>
    </w:p>
    <w:p w14:paraId="07DC217E" w14:textId="22FD9BD8" w:rsidR="003626F9" w:rsidRDefault="003626F9">
      <w:pPr>
        <w:pStyle w:val="BodyText"/>
        <w:rPr>
          <w:b/>
        </w:rPr>
      </w:pPr>
    </w:p>
    <w:p w14:paraId="7650625D" w14:textId="04DA9322" w:rsidR="003626F9" w:rsidRDefault="003626F9">
      <w:pPr>
        <w:pStyle w:val="BodyText"/>
        <w:rPr>
          <w:b/>
        </w:rPr>
      </w:pPr>
    </w:p>
    <w:sectPr w:rsidR="003626F9">
      <w:pgSz w:w="11910" w:h="16840"/>
      <w:pgMar w:top="1380" w:right="1000" w:bottom="280" w:left="100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F2489" w14:textId="77777777" w:rsidR="001D768B" w:rsidRDefault="001D768B">
      <w:r>
        <w:separator/>
      </w:r>
    </w:p>
  </w:endnote>
  <w:endnote w:type="continuationSeparator" w:id="0">
    <w:p w14:paraId="776F13C9" w14:textId="77777777" w:rsidR="001D768B" w:rsidRDefault="001D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6EB7E" w14:textId="77777777" w:rsidR="001D768B" w:rsidRDefault="001D768B">
      <w:r>
        <w:separator/>
      </w:r>
    </w:p>
  </w:footnote>
  <w:footnote w:type="continuationSeparator" w:id="0">
    <w:p w14:paraId="2264F62A" w14:textId="77777777" w:rsidR="001D768B" w:rsidRDefault="001D7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12DF2" w14:textId="0C7F82F1" w:rsidR="000A5AFD" w:rsidRDefault="7F4C1FD5">
    <w:pPr>
      <w:pStyle w:val="Header"/>
    </w:pPr>
    <w:r>
      <w:rPr>
        <w:noProof/>
      </w:rPr>
      <w:drawing>
        <wp:inline distT="0" distB="0" distL="0" distR="0" wp14:anchorId="12CF1273" wp14:editId="1943EC4C">
          <wp:extent cx="757736" cy="1014825"/>
          <wp:effectExtent l="0" t="0" r="4445" b="0"/>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736" cy="101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C55"/>
    <w:multiLevelType w:val="hybridMultilevel"/>
    <w:tmpl w:val="D280F6F8"/>
    <w:lvl w:ilvl="0" w:tplc="23E4428C">
      <w:numFmt w:val="bullet"/>
      <w:lvlText w:val=""/>
      <w:lvlJc w:val="left"/>
      <w:pPr>
        <w:ind w:left="391" w:hanging="284"/>
      </w:pPr>
      <w:rPr>
        <w:rFonts w:ascii="Symbol" w:eastAsia="Symbol" w:hAnsi="Symbol" w:cs="Symbol" w:hint="default"/>
        <w:w w:val="99"/>
        <w:sz w:val="20"/>
        <w:szCs w:val="20"/>
        <w:lang w:val="en-GB" w:eastAsia="en-GB" w:bidi="en-GB"/>
      </w:rPr>
    </w:lvl>
    <w:lvl w:ilvl="1" w:tplc="5AC82C24">
      <w:numFmt w:val="bullet"/>
      <w:lvlText w:val="•"/>
      <w:lvlJc w:val="left"/>
      <w:pPr>
        <w:ind w:left="788" w:hanging="284"/>
      </w:pPr>
      <w:rPr>
        <w:rFonts w:hint="default"/>
        <w:lang w:val="en-GB" w:eastAsia="en-GB" w:bidi="en-GB"/>
      </w:rPr>
    </w:lvl>
    <w:lvl w:ilvl="2" w:tplc="BB9845AE">
      <w:numFmt w:val="bullet"/>
      <w:lvlText w:val="•"/>
      <w:lvlJc w:val="left"/>
      <w:pPr>
        <w:ind w:left="1176" w:hanging="284"/>
      </w:pPr>
      <w:rPr>
        <w:rFonts w:hint="default"/>
        <w:lang w:val="en-GB" w:eastAsia="en-GB" w:bidi="en-GB"/>
      </w:rPr>
    </w:lvl>
    <w:lvl w:ilvl="3" w:tplc="9C8C4B4E">
      <w:numFmt w:val="bullet"/>
      <w:lvlText w:val="•"/>
      <w:lvlJc w:val="left"/>
      <w:pPr>
        <w:ind w:left="1564" w:hanging="284"/>
      </w:pPr>
      <w:rPr>
        <w:rFonts w:hint="default"/>
        <w:lang w:val="en-GB" w:eastAsia="en-GB" w:bidi="en-GB"/>
      </w:rPr>
    </w:lvl>
    <w:lvl w:ilvl="4" w:tplc="737A8A6C">
      <w:numFmt w:val="bullet"/>
      <w:lvlText w:val="•"/>
      <w:lvlJc w:val="left"/>
      <w:pPr>
        <w:ind w:left="1952" w:hanging="284"/>
      </w:pPr>
      <w:rPr>
        <w:rFonts w:hint="default"/>
        <w:lang w:val="en-GB" w:eastAsia="en-GB" w:bidi="en-GB"/>
      </w:rPr>
    </w:lvl>
    <w:lvl w:ilvl="5" w:tplc="BE72A864">
      <w:numFmt w:val="bullet"/>
      <w:lvlText w:val="•"/>
      <w:lvlJc w:val="left"/>
      <w:pPr>
        <w:ind w:left="2340" w:hanging="284"/>
      </w:pPr>
      <w:rPr>
        <w:rFonts w:hint="default"/>
        <w:lang w:val="en-GB" w:eastAsia="en-GB" w:bidi="en-GB"/>
      </w:rPr>
    </w:lvl>
    <w:lvl w:ilvl="6" w:tplc="7C9A80BA">
      <w:numFmt w:val="bullet"/>
      <w:lvlText w:val="•"/>
      <w:lvlJc w:val="left"/>
      <w:pPr>
        <w:ind w:left="2728" w:hanging="284"/>
      </w:pPr>
      <w:rPr>
        <w:rFonts w:hint="default"/>
        <w:lang w:val="en-GB" w:eastAsia="en-GB" w:bidi="en-GB"/>
      </w:rPr>
    </w:lvl>
    <w:lvl w:ilvl="7" w:tplc="C37E72CC">
      <w:numFmt w:val="bullet"/>
      <w:lvlText w:val="•"/>
      <w:lvlJc w:val="left"/>
      <w:pPr>
        <w:ind w:left="3116" w:hanging="284"/>
      </w:pPr>
      <w:rPr>
        <w:rFonts w:hint="default"/>
        <w:lang w:val="en-GB" w:eastAsia="en-GB" w:bidi="en-GB"/>
      </w:rPr>
    </w:lvl>
    <w:lvl w:ilvl="8" w:tplc="5CFED83A">
      <w:numFmt w:val="bullet"/>
      <w:lvlText w:val="•"/>
      <w:lvlJc w:val="left"/>
      <w:pPr>
        <w:ind w:left="3504" w:hanging="284"/>
      </w:pPr>
      <w:rPr>
        <w:rFonts w:hint="default"/>
        <w:lang w:val="en-GB" w:eastAsia="en-GB" w:bidi="en-GB"/>
      </w:rPr>
    </w:lvl>
  </w:abstractNum>
  <w:abstractNum w:abstractNumId="1" w15:restartNumberingAfterBreak="0">
    <w:nsid w:val="15742FB3"/>
    <w:multiLevelType w:val="hybridMultilevel"/>
    <w:tmpl w:val="4B3A3DCE"/>
    <w:lvl w:ilvl="0" w:tplc="75525F56">
      <w:numFmt w:val="bullet"/>
      <w:lvlText w:val=""/>
      <w:lvlJc w:val="left"/>
      <w:pPr>
        <w:ind w:left="391" w:hanging="284"/>
      </w:pPr>
      <w:rPr>
        <w:rFonts w:ascii="Symbol" w:eastAsia="Symbol" w:hAnsi="Symbol" w:cs="Symbol" w:hint="default"/>
        <w:w w:val="99"/>
        <w:sz w:val="20"/>
        <w:szCs w:val="20"/>
        <w:lang w:val="en-GB" w:eastAsia="en-GB" w:bidi="en-GB"/>
      </w:rPr>
    </w:lvl>
    <w:lvl w:ilvl="1" w:tplc="C5303C8E">
      <w:numFmt w:val="bullet"/>
      <w:lvlText w:val="•"/>
      <w:lvlJc w:val="left"/>
      <w:pPr>
        <w:ind w:left="788" w:hanging="284"/>
      </w:pPr>
      <w:rPr>
        <w:rFonts w:hint="default"/>
        <w:lang w:val="en-GB" w:eastAsia="en-GB" w:bidi="en-GB"/>
      </w:rPr>
    </w:lvl>
    <w:lvl w:ilvl="2" w:tplc="92E4B3DE">
      <w:numFmt w:val="bullet"/>
      <w:lvlText w:val="•"/>
      <w:lvlJc w:val="left"/>
      <w:pPr>
        <w:ind w:left="1176" w:hanging="284"/>
      </w:pPr>
      <w:rPr>
        <w:rFonts w:hint="default"/>
        <w:lang w:val="en-GB" w:eastAsia="en-GB" w:bidi="en-GB"/>
      </w:rPr>
    </w:lvl>
    <w:lvl w:ilvl="3" w:tplc="F66C2A96">
      <w:numFmt w:val="bullet"/>
      <w:lvlText w:val="•"/>
      <w:lvlJc w:val="left"/>
      <w:pPr>
        <w:ind w:left="1564" w:hanging="284"/>
      </w:pPr>
      <w:rPr>
        <w:rFonts w:hint="default"/>
        <w:lang w:val="en-GB" w:eastAsia="en-GB" w:bidi="en-GB"/>
      </w:rPr>
    </w:lvl>
    <w:lvl w:ilvl="4" w:tplc="4AE6D296">
      <w:numFmt w:val="bullet"/>
      <w:lvlText w:val="•"/>
      <w:lvlJc w:val="left"/>
      <w:pPr>
        <w:ind w:left="1952" w:hanging="284"/>
      </w:pPr>
      <w:rPr>
        <w:rFonts w:hint="default"/>
        <w:lang w:val="en-GB" w:eastAsia="en-GB" w:bidi="en-GB"/>
      </w:rPr>
    </w:lvl>
    <w:lvl w:ilvl="5" w:tplc="7BA28A8C">
      <w:numFmt w:val="bullet"/>
      <w:lvlText w:val="•"/>
      <w:lvlJc w:val="left"/>
      <w:pPr>
        <w:ind w:left="2340" w:hanging="284"/>
      </w:pPr>
      <w:rPr>
        <w:rFonts w:hint="default"/>
        <w:lang w:val="en-GB" w:eastAsia="en-GB" w:bidi="en-GB"/>
      </w:rPr>
    </w:lvl>
    <w:lvl w:ilvl="6" w:tplc="C3BE00D4">
      <w:numFmt w:val="bullet"/>
      <w:lvlText w:val="•"/>
      <w:lvlJc w:val="left"/>
      <w:pPr>
        <w:ind w:left="2728" w:hanging="284"/>
      </w:pPr>
      <w:rPr>
        <w:rFonts w:hint="default"/>
        <w:lang w:val="en-GB" w:eastAsia="en-GB" w:bidi="en-GB"/>
      </w:rPr>
    </w:lvl>
    <w:lvl w:ilvl="7" w:tplc="1896BC66">
      <w:numFmt w:val="bullet"/>
      <w:lvlText w:val="•"/>
      <w:lvlJc w:val="left"/>
      <w:pPr>
        <w:ind w:left="3116" w:hanging="284"/>
      </w:pPr>
      <w:rPr>
        <w:rFonts w:hint="default"/>
        <w:lang w:val="en-GB" w:eastAsia="en-GB" w:bidi="en-GB"/>
      </w:rPr>
    </w:lvl>
    <w:lvl w:ilvl="8" w:tplc="19A89FA6">
      <w:numFmt w:val="bullet"/>
      <w:lvlText w:val="•"/>
      <w:lvlJc w:val="left"/>
      <w:pPr>
        <w:ind w:left="3504" w:hanging="284"/>
      </w:pPr>
      <w:rPr>
        <w:rFonts w:hint="default"/>
        <w:lang w:val="en-GB" w:eastAsia="en-GB" w:bidi="en-GB"/>
      </w:rPr>
    </w:lvl>
  </w:abstractNum>
  <w:abstractNum w:abstractNumId="2" w15:restartNumberingAfterBreak="0">
    <w:nsid w:val="337A0EE0"/>
    <w:multiLevelType w:val="hybridMultilevel"/>
    <w:tmpl w:val="9C9CAE56"/>
    <w:lvl w:ilvl="0" w:tplc="8DF8F54A">
      <w:numFmt w:val="bullet"/>
      <w:lvlText w:val=""/>
      <w:lvlJc w:val="left"/>
      <w:pPr>
        <w:ind w:left="391" w:hanging="284"/>
      </w:pPr>
      <w:rPr>
        <w:rFonts w:ascii="Symbol" w:eastAsia="Symbol" w:hAnsi="Symbol" w:cs="Symbol" w:hint="default"/>
        <w:w w:val="99"/>
        <w:sz w:val="20"/>
        <w:szCs w:val="20"/>
        <w:lang w:val="en-GB" w:eastAsia="en-GB" w:bidi="en-GB"/>
      </w:rPr>
    </w:lvl>
    <w:lvl w:ilvl="1" w:tplc="A16C2B74">
      <w:numFmt w:val="bullet"/>
      <w:lvlText w:val="•"/>
      <w:lvlJc w:val="left"/>
      <w:pPr>
        <w:ind w:left="788" w:hanging="284"/>
      </w:pPr>
      <w:rPr>
        <w:rFonts w:hint="default"/>
        <w:lang w:val="en-GB" w:eastAsia="en-GB" w:bidi="en-GB"/>
      </w:rPr>
    </w:lvl>
    <w:lvl w:ilvl="2" w:tplc="4796ADD6">
      <w:numFmt w:val="bullet"/>
      <w:lvlText w:val="•"/>
      <w:lvlJc w:val="left"/>
      <w:pPr>
        <w:ind w:left="1177" w:hanging="284"/>
      </w:pPr>
      <w:rPr>
        <w:rFonts w:hint="default"/>
        <w:lang w:val="en-GB" w:eastAsia="en-GB" w:bidi="en-GB"/>
      </w:rPr>
    </w:lvl>
    <w:lvl w:ilvl="3" w:tplc="86840818">
      <w:numFmt w:val="bullet"/>
      <w:lvlText w:val="•"/>
      <w:lvlJc w:val="left"/>
      <w:pPr>
        <w:ind w:left="1565" w:hanging="284"/>
      </w:pPr>
      <w:rPr>
        <w:rFonts w:hint="default"/>
        <w:lang w:val="en-GB" w:eastAsia="en-GB" w:bidi="en-GB"/>
      </w:rPr>
    </w:lvl>
    <w:lvl w:ilvl="4" w:tplc="F5488808">
      <w:numFmt w:val="bullet"/>
      <w:lvlText w:val="•"/>
      <w:lvlJc w:val="left"/>
      <w:pPr>
        <w:ind w:left="1954" w:hanging="284"/>
      </w:pPr>
      <w:rPr>
        <w:rFonts w:hint="default"/>
        <w:lang w:val="en-GB" w:eastAsia="en-GB" w:bidi="en-GB"/>
      </w:rPr>
    </w:lvl>
    <w:lvl w:ilvl="5" w:tplc="3A60C5A4">
      <w:numFmt w:val="bullet"/>
      <w:lvlText w:val="•"/>
      <w:lvlJc w:val="left"/>
      <w:pPr>
        <w:ind w:left="2343" w:hanging="284"/>
      </w:pPr>
      <w:rPr>
        <w:rFonts w:hint="default"/>
        <w:lang w:val="en-GB" w:eastAsia="en-GB" w:bidi="en-GB"/>
      </w:rPr>
    </w:lvl>
    <w:lvl w:ilvl="6" w:tplc="BBA89DA4">
      <w:numFmt w:val="bullet"/>
      <w:lvlText w:val="•"/>
      <w:lvlJc w:val="left"/>
      <w:pPr>
        <w:ind w:left="2731" w:hanging="284"/>
      </w:pPr>
      <w:rPr>
        <w:rFonts w:hint="default"/>
        <w:lang w:val="en-GB" w:eastAsia="en-GB" w:bidi="en-GB"/>
      </w:rPr>
    </w:lvl>
    <w:lvl w:ilvl="7" w:tplc="0358C1FC">
      <w:numFmt w:val="bullet"/>
      <w:lvlText w:val="•"/>
      <w:lvlJc w:val="left"/>
      <w:pPr>
        <w:ind w:left="3120" w:hanging="284"/>
      </w:pPr>
      <w:rPr>
        <w:rFonts w:hint="default"/>
        <w:lang w:val="en-GB" w:eastAsia="en-GB" w:bidi="en-GB"/>
      </w:rPr>
    </w:lvl>
    <w:lvl w:ilvl="8" w:tplc="6A187F4E">
      <w:numFmt w:val="bullet"/>
      <w:lvlText w:val="•"/>
      <w:lvlJc w:val="left"/>
      <w:pPr>
        <w:ind w:left="3508" w:hanging="284"/>
      </w:pPr>
      <w:rPr>
        <w:rFonts w:hint="default"/>
        <w:lang w:val="en-GB" w:eastAsia="en-GB" w:bidi="en-GB"/>
      </w:rPr>
    </w:lvl>
  </w:abstractNum>
  <w:abstractNum w:abstractNumId="3" w15:restartNumberingAfterBreak="0">
    <w:nsid w:val="369F3114"/>
    <w:multiLevelType w:val="hybridMultilevel"/>
    <w:tmpl w:val="2FC271A0"/>
    <w:lvl w:ilvl="0" w:tplc="96D4F2F6">
      <w:numFmt w:val="bullet"/>
      <w:lvlText w:val=""/>
      <w:lvlJc w:val="left"/>
      <w:pPr>
        <w:ind w:left="391" w:hanging="284"/>
      </w:pPr>
      <w:rPr>
        <w:rFonts w:ascii="Symbol" w:eastAsia="Symbol" w:hAnsi="Symbol" w:cs="Symbol" w:hint="default"/>
        <w:w w:val="99"/>
        <w:sz w:val="20"/>
        <w:szCs w:val="20"/>
        <w:lang w:val="en-GB" w:eastAsia="en-GB" w:bidi="en-GB"/>
      </w:rPr>
    </w:lvl>
    <w:lvl w:ilvl="1" w:tplc="880E2076">
      <w:numFmt w:val="bullet"/>
      <w:lvlText w:val="•"/>
      <w:lvlJc w:val="left"/>
      <w:pPr>
        <w:ind w:left="788" w:hanging="284"/>
      </w:pPr>
      <w:rPr>
        <w:rFonts w:hint="default"/>
        <w:lang w:val="en-GB" w:eastAsia="en-GB" w:bidi="en-GB"/>
      </w:rPr>
    </w:lvl>
    <w:lvl w:ilvl="2" w:tplc="CD06F1B8">
      <w:numFmt w:val="bullet"/>
      <w:lvlText w:val="•"/>
      <w:lvlJc w:val="left"/>
      <w:pPr>
        <w:ind w:left="1176" w:hanging="284"/>
      </w:pPr>
      <w:rPr>
        <w:rFonts w:hint="default"/>
        <w:lang w:val="en-GB" w:eastAsia="en-GB" w:bidi="en-GB"/>
      </w:rPr>
    </w:lvl>
    <w:lvl w:ilvl="3" w:tplc="B9F20638">
      <w:numFmt w:val="bullet"/>
      <w:lvlText w:val="•"/>
      <w:lvlJc w:val="left"/>
      <w:pPr>
        <w:ind w:left="1564" w:hanging="284"/>
      </w:pPr>
      <w:rPr>
        <w:rFonts w:hint="default"/>
        <w:lang w:val="en-GB" w:eastAsia="en-GB" w:bidi="en-GB"/>
      </w:rPr>
    </w:lvl>
    <w:lvl w:ilvl="4" w:tplc="DE6429B4">
      <w:numFmt w:val="bullet"/>
      <w:lvlText w:val="•"/>
      <w:lvlJc w:val="left"/>
      <w:pPr>
        <w:ind w:left="1952" w:hanging="284"/>
      </w:pPr>
      <w:rPr>
        <w:rFonts w:hint="default"/>
        <w:lang w:val="en-GB" w:eastAsia="en-GB" w:bidi="en-GB"/>
      </w:rPr>
    </w:lvl>
    <w:lvl w:ilvl="5" w:tplc="41A81F64">
      <w:numFmt w:val="bullet"/>
      <w:lvlText w:val="•"/>
      <w:lvlJc w:val="left"/>
      <w:pPr>
        <w:ind w:left="2340" w:hanging="284"/>
      </w:pPr>
      <w:rPr>
        <w:rFonts w:hint="default"/>
        <w:lang w:val="en-GB" w:eastAsia="en-GB" w:bidi="en-GB"/>
      </w:rPr>
    </w:lvl>
    <w:lvl w:ilvl="6" w:tplc="96781274">
      <w:numFmt w:val="bullet"/>
      <w:lvlText w:val="•"/>
      <w:lvlJc w:val="left"/>
      <w:pPr>
        <w:ind w:left="2728" w:hanging="284"/>
      </w:pPr>
      <w:rPr>
        <w:rFonts w:hint="default"/>
        <w:lang w:val="en-GB" w:eastAsia="en-GB" w:bidi="en-GB"/>
      </w:rPr>
    </w:lvl>
    <w:lvl w:ilvl="7" w:tplc="4178F368">
      <w:numFmt w:val="bullet"/>
      <w:lvlText w:val="•"/>
      <w:lvlJc w:val="left"/>
      <w:pPr>
        <w:ind w:left="3116" w:hanging="284"/>
      </w:pPr>
      <w:rPr>
        <w:rFonts w:hint="default"/>
        <w:lang w:val="en-GB" w:eastAsia="en-GB" w:bidi="en-GB"/>
      </w:rPr>
    </w:lvl>
    <w:lvl w:ilvl="8" w:tplc="5E58DF8E">
      <w:numFmt w:val="bullet"/>
      <w:lvlText w:val="•"/>
      <w:lvlJc w:val="left"/>
      <w:pPr>
        <w:ind w:left="3504" w:hanging="284"/>
      </w:pPr>
      <w:rPr>
        <w:rFonts w:hint="default"/>
        <w:lang w:val="en-GB" w:eastAsia="en-GB" w:bidi="en-GB"/>
      </w:rPr>
    </w:lvl>
  </w:abstractNum>
  <w:abstractNum w:abstractNumId="4" w15:restartNumberingAfterBreak="0">
    <w:nsid w:val="4F343585"/>
    <w:multiLevelType w:val="hybridMultilevel"/>
    <w:tmpl w:val="B9BE6298"/>
    <w:lvl w:ilvl="0" w:tplc="C5944DDC">
      <w:numFmt w:val="bullet"/>
      <w:lvlText w:val=""/>
      <w:lvlJc w:val="left"/>
      <w:pPr>
        <w:ind w:left="391" w:hanging="284"/>
      </w:pPr>
      <w:rPr>
        <w:rFonts w:ascii="Symbol" w:eastAsia="Symbol" w:hAnsi="Symbol" w:cs="Symbol" w:hint="default"/>
        <w:w w:val="99"/>
        <w:sz w:val="20"/>
        <w:szCs w:val="20"/>
        <w:lang w:val="en-GB" w:eastAsia="en-GB" w:bidi="en-GB"/>
      </w:rPr>
    </w:lvl>
    <w:lvl w:ilvl="1" w:tplc="56682F08">
      <w:numFmt w:val="bullet"/>
      <w:lvlText w:val="•"/>
      <w:lvlJc w:val="left"/>
      <w:pPr>
        <w:ind w:left="788" w:hanging="284"/>
      </w:pPr>
      <w:rPr>
        <w:rFonts w:hint="default"/>
        <w:lang w:val="en-GB" w:eastAsia="en-GB" w:bidi="en-GB"/>
      </w:rPr>
    </w:lvl>
    <w:lvl w:ilvl="2" w:tplc="C7FEF4C6">
      <w:numFmt w:val="bullet"/>
      <w:lvlText w:val="•"/>
      <w:lvlJc w:val="left"/>
      <w:pPr>
        <w:ind w:left="1176" w:hanging="284"/>
      </w:pPr>
      <w:rPr>
        <w:rFonts w:hint="default"/>
        <w:lang w:val="en-GB" w:eastAsia="en-GB" w:bidi="en-GB"/>
      </w:rPr>
    </w:lvl>
    <w:lvl w:ilvl="3" w:tplc="F6E67D9A">
      <w:numFmt w:val="bullet"/>
      <w:lvlText w:val="•"/>
      <w:lvlJc w:val="left"/>
      <w:pPr>
        <w:ind w:left="1564" w:hanging="284"/>
      </w:pPr>
      <w:rPr>
        <w:rFonts w:hint="default"/>
        <w:lang w:val="en-GB" w:eastAsia="en-GB" w:bidi="en-GB"/>
      </w:rPr>
    </w:lvl>
    <w:lvl w:ilvl="4" w:tplc="23D62028">
      <w:numFmt w:val="bullet"/>
      <w:lvlText w:val="•"/>
      <w:lvlJc w:val="left"/>
      <w:pPr>
        <w:ind w:left="1952" w:hanging="284"/>
      </w:pPr>
      <w:rPr>
        <w:rFonts w:hint="default"/>
        <w:lang w:val="en-GB" w:eastAsia="en-GB" w:bidi="en-GB"/>
      </w:rPr>
    </w:lvl>
    <w:lvl w:ilvl="5" w:tplc="E1984494">
      <w:numFmt w:val="bullet"/>
      <w:lvlText w:val="•"/>
      <w:lvlJc w:val="left"/>
      <w:pPr>
        <w:ind w:left="2340" w:hanging="284"/>
      </w:pPr>
      <w:rPr>
        <w:rFonts w:hint="default"/>
        <w:lang w:val="en-GB" w:eastAsia="en-GB" w:bidi="en-GB"/>
      </w:rPr>
    </w:lvl>
    <w:lvl w:ilvl="6" w:tplc="30E8B5FA">
      <w:numFmt w:val="bullet"/>
      <w:lvlText w:val="•"/>
      <w:lvlJc w:val="left"/>
      <w:pPr>
        <w:ind w:left="2728" w:hanging="284"/>
      </w:pPr>
      <w:rPr>
        <w:rFonts w:hint="default"/>
        <w:lang w:val="en-GB" w:eastAsia="en-GB" w:bidi="en-GB"/>
      </w:rPr>
    </w:lvl>
    <w:lvl w:ilvl="7" w:tplc="C218C49A">
      <w:numFmt w:val="bullet"/>
      <w:lvlText w:val="•"/>
      <w:lvlJc w:val="left"/>
      <w:pPr>
        <w:ind w:left="3116" w:hanging="284"/>
      </w:pPr>
      <w:rPr>
        <w:rFonts w:hint="default"/>
        <w:lang w:val="en-GB" w:eastAsia="en-GB" w:bidi="en-GB"/>
      </w:rPr>
    </w:lvl>
    <w:lvl w:ilvl="8" w:tplc="00D417F8">
      <w:numFmt w:val="bullet"/>
      <w:lvlText w:val="•"/>
      <w:lvlJc w:val="left"/>
      <w:pPr>
        <w:ind w:left="3504" w:hanging="284"/>
      </w:pPr>
      <w:rPr>
        <w:rFonts w:hint="default"/>
        <w:lang w:val="en-GB" w:eastAsia="en-GB" w:bidi="en-GB"/>
      </w:rPr>
    </w:lvl>
  </w:abstractNum>
  <w:abstractNum w:abstractNumId="5" w15:restartNumberingAfterBreak="0">
    <w:nsid w:val="55FE3AC5"/>
    <w:multiLevelType w:val="hybridMultilevel"/>
    <w:tmpl w:val="9E86197A"/>
    <w:lvl w:ilvl="0" w:tplc="CF904FA0">
      <w:numFmt w:val="bullet"/>
      <w:lvlText w:val=""/>
      <w:lvlJc w:val="left"/>
      <w:pPr>
        <w:ind w:left="391" w:hanging="284"/>
      </w:pPr>
      <w:rPr>
        <w:rFonts w:ascii="Symbol" w:eastAsia="Symbol" w:hAnsi="Symbol" w:cs="Symbol" w:hint="default"/>
        <w:w w:val="99"/>
        <w:sz w:val="20"/>
        <w:szCs w:val="20"/>
        <w:lang w:val="en-GB" w:eastAsia="en-GB" w:bidi="en-GB"/>
      </w:rPr>
    </w:lvl>
    <w:lvl w:ilvl="1" w:tplc="33E42358">
      <w:numFmt w:val="bullet"/>
      <w:lvlText w:val="•"/>
      <w:lvlJc w:val="left"/>
      <w:pPr>
        <w:ind w:left="788" w:hanging="284"/>
      </w:pPr>
      <w:rPr>
        <w:rFonts w:hint="default"/>
        <w:lang w:val="en-GB" w:eastAsia="en-GB" w:bidi="en-GB"/>
      </w:rPr>
    </w:lvl>
    <w:lvl w:ilvl="2" w:tplc="73586E7C">
      <w:numFmt w:val="bullet"/>
      <w:lvlText w:val="•"/>
      <w:lvlJc w:val="left"/>
      <w:pPr>
        <w:ind w:left="1176" w:hanging="284"/>
      </w:pPr>
      <w:rPr>
        <w:rFonts w:hint="default"/>
        <w:lang w:val="en-GB" w:eastAsia="en-GB" w:bidi="en-GB"/>
      </w:rPr>
    </w:lvl>
    <w:lvl w:ilvl="3" w:tplc="E5963A88">
      <w:numFmt w:val="bullet"/>
      <w:lvlText w:val="•"/>
      <w:lvlJc w:val="left"/>
      <w:pPr>
        <w:ind w:left="1564" w:hanging="284"/>
      </w:pPr>
      <w:rPr>
        <w:rFonts w:hint="default"/>
        <w:lang w:val="en-GB" w:eastAsia="en-GB" w:bidi="en-GB"/>
      </w:rPr>
    </w:lvl>
    <w:lvl w:ilvl="4" w:tplc="E8687AD8">
      <w:numFmt w:val="bullet"/>
      <w:lvlText w:val="•"/>
      <w:lvlJc w:val="left"/>
      <w:pPr>
        <w:ind w:left="1952" w:hanging="284"/>
      </w:pPr>
      <w:rPr>
        <w:rFonts w:hint="default"/>
        <w:lang w:val="en-GB" w:eastAsia="en-GB" w:bidi="en-GB"/>
      </w:rPr>
    </w:lvl>
    <w:lvl w:ilvl="5" w:tplc="4AF062C6">
      <w:numFmt w:val="bullet"/>
      <w:lvlText w:val="•"/>
      <w:lvlJc w:val="left"/>
      <w:pPr>
        <w:ind w:left="2340" w:hanging="284"/>
      </w:pPr>
      <w:rPr>
        <w:rFonts w:hint="default"/>
        <w:lang w:val="en-GB" w:eastAsia="en-GB" w:bidi="en-GB"/>
      </w:rPr>
    </w:lvl>
    <w:lvl w:ilvl="6" w:tplc="E55A4DDE">
      <w:numFmt w:val="bullet"/>
      <w:lvlText w:val="•"/>
      <w:lvlJc w:val="left"/>
      <w:pPr>
        <w:ind w:left="2728" w:hanging="284"/>
      </w:pPr>
      <w:rPr>
        <w:rFonts w:hint="default"/>
        <w:lang w:val="en-GB" w:eastAsia="en-GB" w:bidi="en-GB"/>
      </w:rPr>
    </w:lvl>
    <w:lvl w:ilvl="7" w:tplc="8D5C8ADC">
      <w:numFmt w:val="bullet"/>
      <w:lvlText w:val="•"/>
      <w:lvlJc w:val="left"/>
      <w:pPr>
        <w:ind w:left="3116" w:hanging="284"/>
      </w:pPr>
      <w:rPr>
        <w:rFonts w:hint="default"/>
        <w:lang w:val="en-GB" w:eastAsia="en-GB" w:bidi="en-GB"/>
      </w:rPr>
    </w:lvl>
    <w:lvl w:ilvl="8" w:tplc="98BE4DB8">
      <w:numFmt w:val="bullet"/>
      <w:lvlText w:val="•"/>
      <w:lvlJc w:val="left"/>
      <w:pPr>
        <w:ind w:left="3504" w:hanging="284"/>
      </w:pPr>
      <w:rPr>
        <w:rFonts w:hint="default"/>
        <w:lang w:val="en-GB" w:eastAsia="en-GB" w:bidi="en-GB"/>
      </w:rPr>
    </w:lvl>
  </w:abstractNum>
  <w:abstractNum w:abstractNumId="6" w15:restartNumberingAfterBreak="0">
    <w:nsid w:val="5FCE2F3C"/>
    <w:multiLevelType w:val="hybridMultilevel"/>
    <w:tmpl w:val="B2BEC934"/>
    <w:lvl w:ilvl="0" w:tplc="635C60AC">
      <w:numFmt w:val="bullet"/>
      <w:lvlText w:val=""/>
      <w:lvlJc w:val="left"/>
      <w:pPr>
        <w:ind w:left="391" w:hanging="284"/>
      </w:pPr>
      <w:rPr>
        <w:rFonts w:ascii="Symbol" w:eastAsia="Symbol" w:hAnsi="Symbol" w:cs="Symbol" w:hint="default"/>
        <w:w w:val="99"/>
        <w:sz w:val="20"/>
        <w:szCs w:val="20"/>
        <w:lang w:val="en-GB" w:eastAsia="en-GB" w:bidi="en-GB"/>
      </w:rPr>
    </w:lvl>
    <w:lvl w:ilvl="1" w:tplc="01684A58">
      <w:numFmt w:val="bullet"/>
      <w:lvlText w:val="•"/>
      <w:lvlJc w:val="left"/>
      <w:pPr>
        <w:ind w:left="788" w:hanging="284"/>
      </w:pPr>
      <w:rPr>
        <w:rFonts w:hint="default"/>
        <w:lang w:val="en-GB" w:eastAsia="en-GB" w:bidi="en-GB"/>
      </w:rPr>
    </w:lvl>
    <w:lvl w:ilvl="2" w:tplc="779280A8">
      <w:numFmt w:val="bullet"/>
      <w:lvlText w:val="•"/>
      <w:lvlJc w:val="left"/>
      <w:pPr>
        <w:ind w:left="1176" w:hanging="284"/>
      </w:pPr>
      <w:rPr>
        <w:rFonts w:hint="default"/>
        <w:lang w:val="en-GB" w:eastAsia="en-GB" w:bidi="en-GB"/>
      </w:rPr>
    </w:lvl>
    <w:lvl w:ilvl="3" w:tplc="17AC779C">
      <w:numFmt w:val="bullet"/>
      <w:lvlText w:val="•"/>
      <w:lvlJc w:val="left"/>
      <w:pPr>
        <w:ind w:left="1564" w:hanging="284"/>
      </w:pPr>
      <w:rPr>
        <w:rFonts w:hint="default"/>
        <w:lang w:val="en-GB" w:eastAsia="en-GB" w:bidi="en-GB"/>
      </w:rPr>
    </w:lvl>
    <w:lvl w:ilvl="4" w:tplc="1A92B8BC">
      <w:numFmt w:val="bullet"/>
      <w:lvlText w:val="•"/>
      <w:lvlJc w:val="left"/>
      <w:pPr>
        <w:ind w:left="1952" w:hanging="284"/>
      </w:pPr>
      <w:rPr>
        <w:rFonts w:hint="default"/>
        <w:lang w:val="en-GB" w:eastAsia="en-GB" w:bidi="en-GB"/>
      </w:rPr>
    </w:lvl>
    <w:lvl w:ilvl="5" w:tplc="7B0E2FA8">
      <w:numFmt w:val="bullet"/>
      <w:lvlText w:val="•"/>
      <w:lvlJc w:val="left"/>
      <w:pPr>
        <w:ind w:left="2340" w:hanging="284"/>
      </w:pPr>
      <w:rPr>
        <w:rFonts w:hint="default"/>
        <w:lang w:val="en-GB" w:eastAsia="en-GB" w:bidi="en-GB"/>
      </w:rPr>
    </w:lvl>
    <w:lvl w:ilvl="6" w:tplc="C5BE7F00">
      <w:numFmt w:val="bullet"/>
      <w:lvlText w:val="•"/>
      <w:lvlJc w:val="left"/>
      <w:pPr>
        <w:ind w:left="2728" w:hanging="284"/>
      </w:pPr>
      <w:rPr>
        <w:rFonts w:hint="default"/>
        <w:lang w:val="en-GB" w:eastAsia="en-GB" w:bidi="en-GB"/>
      </w:rPr>
    </w:lvl>
    <w:lvl w:ilvl="7" w:tplc="A088000E">
      <w:numFmt w:val="bullet"/>
      <w:lvlText w:val="•"/>
      <w:lvlJc w:val="left"/>
      <w:pPr>
        <w:ind w:left="3116" w:hanging="284"/>
      </w:pPr>
      <w:rPr>
        <w:rFonts w:hint="default"/>
        <w:lang w:val="en-GB" w:eastAsia="en-GB" w:bidi="en-GB"/>
      </w:rPr>
    </w:lvl>
    <w:lvl w:ilvl="8" w:tplc="7BBC3926">
      <w:numFmt w:val="bullet"/>
      <w:lvlText w:val="•"/>
      <w:lvlJc w:val="left"/>
      <w:pPr>
        <w:ind w:left="3504" w:hanging="284"/>
      </w:pPr>
      <w:rPr>
        <w:rFonts w:hint="default"/>
        <w:lang w:val="en-GB" w:eastAsia="en-GB" w:bidi="en-GB"/>
      </w:rPr>
    </w:lvl>
  </w:abstractNum>
  <w:abstractNum w:abstractNumId="7" w15:restartNumberingAfterBreak="0">
    <w:nsid w:val="672C5150"/>
    <w:multiLevelType w:val="hybridMultilevel"/>
    <w:tmpl w:val="457C039A"/>
    <w:lvl w:ilvl="0" w:tplc="8B4C8CA0">
      <w:numFmt w:val="bullet"/>
      <w:lvlText w:val=""/>
      <w:lvlJc w:val="left"/>
      <w:pPr>
        <w:ind w:left="391" w:hanging="284"/>
      </w:pPr>
      <w:rPr>
        <w:rFonts w:ascii="Symbol" w:eastAsia="Symbol" w:hAnsi="Symbol" w:cs="Symbol" w:hint="default"/>
        <w:w w:val="99"/>
        <w:sz w:val="20"/>
        <w:szCs w:val="20"/>
        <w:lang w:val="en-GB" w:eastAsia="en-GB" w:bidi="en-GB"/>
      </w:rPr>
    </w:lvl>
    <w:lvl w:ilvl="1" w:tplc="5E822E56">
      <w:numFmt w:val="bullet"/>
      <w:lvlText w:val="•"/>
      <w:lvlJc w:val="left"/>
      <w:pPr>
        <w:ind w:left="788" w:hanging="284"/>
      </w:pPr>
      <w:rPr>
        <w:rFonts w:hint="default"/>
        <w:lang w:val="en-GB" w:eastAsia="en-GB" w:bidi="en-GB"/>
      </w:rPr>
    </w:lvl>
    <w:lvl w:ilvl="2" w:tplc="2390D29C">
      <w:numFmt w:val="bullet"/>
      <w:lvlText w:val="•"/>
      <w:lvlJc w:val="left"/>
      <w:pPr>
        <w:ind w:left="1176" w:hanging="284"/>
      </w:pPr>
      <w:rPr>
        <w:rFonts w:hint="default"/>
        <w:lang w:val="en-GB" w:eastAsia="en-GB" w:bidi="en-GB"/>
      </w:rPr>
    </w:lvl>
    <w:lvl w:ilvl="3" w:tplc="2842B422">
      <w:numFmt w:val="bullet"/>
      <w:lvlText w:val="•"/>
      <w:lvlJc w:val="left"/>
      <w:pPr>
        <w:ind w:left="1564" w:hanging="284"/>
      </w:pPr>
      <w:rPr>
        <w:rFonts w:hint="default"/>
        <w:lang w:val="en-GB" w:eastAsia="en-GB" w:bidi="en-GB"/>
      </w:rPr>
    </w:lvl>
    <w:lvl w:ilvl="4" w:tplc="2392F7CA">
      <w:numFmt w:val="bullet"/>
      <w:lvlText w:val="•"/>
      <w:lvlJc w:val="left"/>
      <w:pPr>
        <w:ind w:left="1952" w:hanging="284"/>
      </w:pPr>
      <w:rPr>
        <w:rFonts w:hint="default"/>
        <w:lang w:val="en-GB" w:eastAsia="en-GB" w:bidi="en-GB"/>
      </w:rPr>
    </w:lvl>
    <w:lvl w:ilvl="5" w:tplc="C5887DF4">
      <w:numFmt w:val="bullet"/>
      <w:lvlText w:val="•"/>
      <w:lvlJc w:val="left"/>
      <w:pPr>
        <w:ind w:left="2340" w:hanging="284"/>
      </w:pPr>
      <w:rPr>
        <w:rFonts w:hint="default"/>
        <w:lang w:val="en-GB" w:eastAsia="en-GB" w:bidi="en-GB"/>
      </w:rPr>
    </w:lvl>
    <w:lvl w:ilvl="6" w:tplc="96B08DBA">
      <w:numFmt w:val="bullet"/>
      <w:lvlText w:val="•"/>
      <w:lvlJc w:val="left"/>
      <w:pPr>
        <w:ind w:left="2728" w:hanging="284"/>
      </w:pPr>
      <w:rPr>
        <w:rFonts w:hint="default"/>
        <w:lang w:val="en-GB" w:eastAsia="en-GB" w:bidi="en-GB"/>
      </w:rPr>
    </w:lvl>
    <w:lvl w:ilvl="7" w:tplc="79A4FB86">
      <w:numFmt w:val="bullet"/>
      <w:lvlText w:val="•"/>
      <w:lvlJc w:val="left"/>
      <w:pPr>
        <w:ind w:left="3116" w:hanging="284"/>
      </w:pPr>
      <w:rPr>
        <w:rFonts w:hint="default"/>
        <w:lang w:val="en-GB" w:eastAsia="en-GB" w:bidi="en-GB"/>
      </w:rPr>
    </w:lvl>
    <w:lvl w:ilvl="8" w:tplc="D19AB0B0">
      <w:numFmt w:val="bullet"/>
      <w:lvlText w:val="•"/>
      <w:lvlJc w:val="left"/>
      <w:pPr>
        <w:ind w:left="3504" w:hanging="284"/>
      </w:pPr>
      <w:rPr>
        <w:rFonts w:hint="default"/>
        <w:lang w:val="en-GB" w:eastAsia="en-GB" w:bidi="en-GB"/>
      </w:rPr>
    </w:lvl>
  </w:abstractNum>
  <w:abstractNum w:abstractNumId="8" w15:restartNumberingAfterBreak="0">
    <w:nsid w:val="69301C48"/>
    <w:multiLevelType w:val="hybridMultilevel"/>
    <w:tmpl w:val="6BA05252"/>
    <w:lvl w:ilvl="0" w:tplc="6A9A07D2">
      <w:numFmt w:val="bullet"/>
      <w:lvlText w:val=""/>
      <w:lvlJc w:val="left"/>
      <w:pPr>
        <w:ind w:left="391" w:hanging="284"/>
      </w:pPr>
      <w:rPr>
        <w:rFonts w:ascii="Symbol" w:eastAsia="Symbol" w:hAnsi="Symbol" w:cs="Symbol" w:hint="default"/>
        <w:w w:val="99"/>
        <w:sz w:val="20"/>
        <w:szCs w:val="20"/>
        <w:lang w:val="en-GB" w:eastAsia="en-GB" w:bidi="en-GB"/>
      </w:rPr>
    </w:lvl>
    <w:lvl w:ilvl="1" w:tplc="7E7E2826">
      <w:numFmt w:val="bullet"/>
      <w:lvlText w:val="•"/>
      <w:lvlJc w:val="left"/>
      <w:pPr>
        <w:ind w:left="788" w:hanging="284"/>
      </w:pPr>
      <w:rPr>
        <w:rFonts w:hint="default"/>
        <w:lang w:val="en-GB" w:eastAsia="en-GB" w:bidi="en-GB"/>
      </w:rPr>
    </w:lvl>
    <w:lvl w:ilvl="2" w:tplc="A0E26BB6">
      <w:numFmt w:val="bullet"/>
      <w:lvlText w:val="•"/>
      <w:lvlJc w:val="left"/>
      <w:pPr>
        <w:ind w:left="1176" w:hanging="284"/>
      </w:pPr>
      <w:rPr>
        <w:rFonts w:hint="default"/>
        <w:lang w:val="en-GB" w:eastAsia="en-GB" w:bidi="en-GB"/>
      </w:rPr>
    </w:lvl>
    <w:lvl w:ilvl="3" w:tplc="A5FAD642">
      <w:numFmt w:val="bullet"/>
      <w:lvlText w:val="•"/>
      <w:lvlJc w:val="left"/>
      <w:pPr>
        <w:ind w:left="1564" w:hanging="284"/>
      </w:pPr>
      <w:rPr>
        <w:rFonts w:hint="default"/>
        <w:lang w:val="en-GB" w:eastAsia="en-GB" w:bidi="en-GB"/>
      </w:rPr>
    </w:lvl>
    <w:lvl w:ilvl="4" w:tplc="1EC25E30">
      <w:numFmt w:val="bullet"/>
      <w:lvlText w:val="•"/>
      <w:lvlJc w:val="left"/>
      <w:pPr>
        <w:ind w:left="1952" w:hanging="284"/>
      </w:pPr>
      <w:rPr>
        <w:rFonts w:hint="default"/>
        <w:lang w:val="en-GB" w:eastAsia="en-GB" w:bidi="en-GB"/>
      </w:rPr>
    </w:lvl>
    <w:lvl w:ilvl="5" w:tplc="CDC23106">
      <w:numFmt w:val="bullet"/>
      <w:lvlText w:val="•"/>
      <w:lvlJc w:val="left"/>
      <w:pPr>
        <w:ind w:left="2340" w:hanging="284"/>
      </w:pPr>
      <w:rPr>
        <w:rFonts w:hint="default"/>
        <w:lang w:val="en-GB" w:eastAsia="en-GB" w:bidi="en-GB"/>
      </w:rPr>
    </w:lvl>
    <w:lvl w:ilvl="6" w:tplc="136C79B8">
      <w:numFmt w:val="bullet"/>
      <w:lvlText w:val="•"/>
      <w:lvlJc w:val="left"/>
      <w:pPr>
        <w:ind w:left="2728" w:hanging="284"/>
      </w:pPr>
      <w:rPr>
        <w:rFonts w:hint="default"/>
        <w:lang w:val="en-GB" w:eastAsia="en-GB" w:bidi="en-GB"/>
      </w:rPr>
    </w:lvl>
    <w:lvl w:ilvl="7" w:tplc="2D0A4CA2">
      <w:numFmt w:val="bullet"/>
      <w:lvlText w:val="•"/>
      <w:lvlJc w:val="left"/>
      <w:pPr>
        <w:ind w:left="3116" w:hanging="284"/>
      </w:pPr>
      <w:rPr>
        <w:rFonts w:hint="default"/>
        <w:lang w:val="en-GB" w:eastAsia="en-GB" w:bidi="en-GB"/>
      </w:rPr>
    </w:lvl>
    <w:lvl w:ilvl="8" w:tplc="7464B5F0">
      <w:numFmt w:val="bullet"/>
      <w:lvlText w:val="•"/>
      <w:lvlJc w:val="left"/>
      <w:pPr>
        <w:ind w:left="3504" w:hanging="284"/>
      </w:pPr>
      <w:rPr>
        <w:rFonts w:hint="default"/>
        <w:lang w:val="en-GB" w:eastAsia="en-GB" w:bidi="en-GB"/>
      </w:rPr>
    </w:lvl>
  </w:abstractNum>
  <w:abstractNum w:abstractNumId="9" w15:restartNumberingAfterBreak="0">
    <w:nsid w:val="6A656585"/>
    <w:multiLevelType w:val="hybridMultilevel"/>
    <w:tmpl w:val="E3DCF2AC"/>
    <w:lvl w:ilvl="0" w:tplc="7AEC4E12">
      <w:numFmt w:val="bullet"/>
      <w:lvlText w:val=""/>
      <w:lvlJc w:val="left"/>
      <w:pPr>
        <w:ind w:left="391" w:hanging="284"/>
      </w:pPr>
      <w:rPr>
        <w:rFonts w:ascii="Symbol" w:eastAsia="Symbol" w:hAnsi="Symbol" w:cs="Symbol" w:hint="default"/>
        <w:w w:val="99"/>
        <w:sz w:val="20"/>
        <w:szCs w:val="20"/>
        <w:lang w:val="en-GB" w:eastAsia="en-GB" w:bidi="en-GB"/>
      </w:rPr>
    </w:lvl>
    <w:lvl w:ilvl="1" w:tplc="8ED2AA64">
      <w:numFmt w:val="bullet"/>
      <w:lvlText w:val="•"/>
      <w:lvlJc w:val="left"/>
      <w:pPr>
        <w:ind w:left="788" w:hanging="284"/>
      </w:pPr>
      <w:rPr>
        <w:rFonts w:hint="default"/>
        <w:lang w:val="en-GB" w:eastAsia="en-GB" w:bidi="en-GB"/>
      </w:rPr>
    </w:lvl>
    <w:lvl w:ilvl="2" w:tplc="320ED000">
      <w:numFmt w:val="bullet"/>
      <w:lvlText w:val="•"/>
      <w:lvlJc w:val="left"/>
      <w:pPr>
        <w:ind w:left="1177" w:hanging="284"/>
      </w:pPr>
      <w:rPr>
        <w:rFonts w:hint="default"/>
        <w:lang w:val="en-GB" w:eastAsia="en-GB" w:bidi="en-GB"/>
      </w:rPr>
    </w:lvl>
    <w:lvl w:ilvl="3" w:tplc="1D163CA8">
      <w:numFmt w:val="bullet"/>
      <w:lvlText w:val="•"/>
      <w:lvlJc w:val="left"/>
      <w:pPr>
        <w:ind w:left="1565" w:hanging="284"/>
      </w:pPr>
      <w:rPr>
        <w:rFonts w:hint="default"/>
        <w:lang w:val="en-GB" w:eastAsia="en-GB" w:bidi="en-GB"/>
      </w:rPr>
    </w:lvl>
    <w:lvl w:ilvl="4" w:tplc="86AAA528">
      <w:numFmt w:val="bullet"/>
      <w:lvlText w:val="•"/>
      <w:lvlJc w:val="left"/>
      <w:pPr>
        <w:ind w:left="1954" w:hanging="284"/>
      </w:pPr>
      <w:rPr>
        <w:rFonts w:hint="default"/>
        <w:lang w:val="en-GB" w:eastAsia="en-GB" w:bidi="en-GB"/>
      </w:rPr>
    </w:lvl>
    <w:lvl w:ilvl="5" w:tplc="9F063B40">
      <w:numFmt w:val="bullet"/>
      <w:lvlText w:val="•"/>
      <w:lvlJc w:val="left"/>
      <w:pPr>
        <w:ind w:left="2343" w:hanging="284"/>
      </w:pPr>
      <w:rPr>
        <w:rFonts w:hint="default"/>
        <w:lang w:val="en-GB" w:eastAsia="en-GB" w:bidi="en-GB"/>
      </w:rPr>
    </w:lvl>
    <w:lvl w:ilvl="6" w:tplc="5B52DB8C">
      <w:numFmt w:val="bullet"/>
      <w:lvlText w:val="•"/>
      <w:lvlJc w:val="left"/>
      <w:pPr>
        <w:ind w:left="2731" w:hanging="284"/>
      </w:pPr>
      <w:rPr>
        <w:rFonts w:hint="default"/>
        <w:lang w:val="en-GB" w:eastAsia="en-GB" w:bidi="en-GB"/>
      </w:rPr>
    </w:lvl>
    <w:lvl w:ilvl="7" w:tplc="1990FCA6">
      <w:numFmt w:val="bullet"/>
      <w:lvlText w:val="•"/>
      <w:lvlJc w:val="left"/>
      <w:pPr>
        <w:ind w:left="3120" w:hanging="284"/>
      </w:pPr>
      <w:rPr>
        <w:rFonts w:hint="default"/>
        <w:lang w:val="en-GB" w:eastAsia="en-GB" w:bidi="en-GB"/>
      </w:rPr>
    </w:lvl>
    <w:lvl w:ilvl="8" w:tplc="0D084B6A">
      <w:numFmt w:val="bullet"/>
      <w:lvlText w:val="•"/>
      <w:lvlJc w:val="left"/>
      <w:pPr>
        <w:ind w:left="3508" w:hanging="284"/>
      </w:pPr>
      <w:rPr>
        <w:rFonts w:hint="default"/>
        <w:lang w:val="en-GB" w:eastAsia="en-GB" w:bidi="en-GB"/>
      </w:rPr>
    </w:lvl>
  </w:abstractNum>
  <w:abstractNum w:abstractNumId="10" w15:restartNumberingAfterBreak="0">
    <w:nsid w:val="7601626F"/>
    <w:multiLevelType w:val="hybridMultilevel"/>
    <w:tmpl w:val="1E5E67FE"/>
    <w:lvl w:ilvl="0" w:tplc="06703C54">
      <w:numFmt w:val="bullet"/>
      <w:lvlText w:val=""/>
      <w:lvlJc w:val="left"/>
      <w:pPr>
        <w:ind w:left="391" w:hanging="284"/>
      </w:pPr>
      <w:rPr>
        <w:rFonts w:ascii="Symbol" w:eastAsia="Symbol" w:hAnsi="Symbol" w:cs="Symbol" w:hint="default"/>
        <w:w w:val="99"/>
        <w:sz w:val="20"/>
        <w:szCs w:val="20"/>
        <w:lang w:val="en-GB" w:eastAsia="en-GB" w:bidi="en-GB"/>
      </w:rPr>
    </w:lvl>
    <w:lvl w:ilvl="1" w:tplc="B57AA5C0">
      <w:numFmt w:val="bullet"/>
      <w:lvlText w:val="•"/>
      <w:lvlJc w:val="left"/>
      <w:pPr>
        <w:ind w:left="788" w:hanging="284"/>
      </w:pPr>
      <w:rPr>
        <w:rFonts w:hint="default"/>
        <w:lang w:val="en-GB" w:eastAsia="en-GB" w:bidi="en-GB"/>
      </w:rPr>
    </w:lvl>
    <w:lvl w:ilvl="2" w:tplc="3F40D0C4">
      <w:numFmt w:val="bullet"/>
      <w:lvlText w:val="•"/>
      <w:lvlJc w:val="left"/>
      <w:pPr>
        <w:ind w:left="1176" w:hanging="284"/>
      </w:pPr>
      <w:rPr>
        <w:rFonts w:hint="default"/>
        <w:lang w:val="en-GB" w:eastAsia="en-GB" w:bidi="en-GB"/>
      </w:rPr>
    </w:lvl>
    <w:lvl w:ilvl="3" w:tplc="804A12EA">
      <w:numFmt w:val="bullet"/>
      <w:lvlText w:val="•"/>
      <w:lvlJc w:val="left"/>
      <w:pPr>
        <w:ind w:left="1564" w:hanging="284"/>
      </w:pPr>
      <w:rPr>
        <w:rFonts w:hint="default"/>
        <w:lang w:val="en-GB" w:eastAsia="en-GB" w:bidi="en-GB"/>
      </w:rPr>
    </w:lvl>
    <w:lvl w:ilvl="4" w:tplc="E23CA1C8">
      <w:numFmt w:val="bullet"/>
      <w:lvlText w:val="•"/>
      <w:lvlJc w:val="left"/>
      <w:pPr>
        <w:ind w:left="1952" w:hanging="284"/>
      </w:pPr>
      <w:rPr>
        <w:rFonts w:hint="default"/>
        <w:lang w:val="en-GB" w:eastAsia="en-GB" w:bidi="en-GB"/>
      </w:rPr>
    </w:lvl>
    <w:lvl w:ilvl="5" w:tplc="09486B6C">
      <w:numFmt w:val="bullet"/>
      <w:lvlText w:val="•"/>
      <w:lvlJc w:val="left"/>
      <w:pPr>
        <w:ind w:left="2340" w:hanging="284"/>
      </w:pPr>
      <w:rPr>
        <w:rFonts w:hint="default"/>
        <w:lang w:val="en-GB" w:eastAsia="en-GB" w:bidi="en-GB"/>
      </w:rPr>
    </w:lvl>
    <w:lvl w:ilvl="6" w:tplc="AD0053DA">
      <w:numFmt w:val="bullet"/>
      <w:lvlText w:val="•"/>
      <w:lvlJc w:val="left"/>
      <w:pPr>
        <w:ind w:left="2728" w:hanging="284"/>
      </w:pPr>
      <w:rPr>
        <w:rFonts w:hint="default"/>
        <w:lang w:val="en-GB" w:eastAsia="en-GB" w:bidi="en-GB"/>
      </w:rPr>
    </w:lvl>
    <w:lvl w:ilvl="7" w:tplc="610EC45E">
      <w:numFmt w:val="bullet"/>
      <w:lvlText w:val="•"/>
      <w:lvlJc w:val="left"/>
      <w:pPr>
        <w:ind w:left="3116" w:hanging="284"/>
      </w:pPr>
      <w:rPr>
        <w:rFonts w:hint="default"/>
        <w:lang w:val="en-GB" w:eastAsia="en-GB" w:bidi="en-GB"/>
      </w:rPr>
    </w:lvl>
    <w:lvl w:ilvl="8" w:tplc="E53831CC">
      <w:numFmt w:val="bullet"/>
      <w:lvlText w:val="•"/>
      <w:lvlJc w:val="left"/>
      <w:pPr>
        <w:ind w:left="3504" w:hanging="284"/>
      </w:pPr>
      <w:rPr>
        <w:rFonts w:hint="default"/>
        <w:lang w:val="en-GB" w:eastAsia="en-GB" w:bidi="en-GB"/>
      </w:rPr>
    </w:lvl>
  </w:abstractNum>
  <w:abstractNum w:abstractNumId="11" w15:restartNumberingAfterBreak="0">
    <w:nsid w:val="7D2E338B"/>
    <w:multiLevelType w:val="hybridMultilevel"/>
    <w:tmpl w:val="3B243C48"/>
    <w:lvl w:ilvl="0" w:tplc="F5E027E2">
      <w:numFmt w:val="bullet"/>
      <w:lvlText w:val=""/>
      <w:lvlJc w:val="left"/>
      <w:pPr>
        <w:ind w:left="391" w:hanging="284"/>
      </w:pPr>
      <w:rPr>
        <w:rFonts w:ascii="Symbol" w:eastAsia="Symbol" w:hAnsi="Symbol" w:cs="Symbol" w:hint="default"/>
        <w:w w:val="99"/>
        <w:sz w:val="20"/>
        <w:szCs w:val="20"/>
        <w:lang w:val="en-GB" w:eastAsia="en-GB" w:bidi="en-GB"/>
      </w:rPr>
    </w:lvl>
    <w:lvl w:ilvl="1" w:tplc="6C6E3084">
      <w:numFmt w:val="bullet"/>
      <w:lvlText w:val="•"/>
      <w:lvlJc w:val="left"/>
      <w:pPr>
        <w:ind w:left="788" w:hanging="284"/>
      </w:pPr>
      <w:rPr>
        <w:rFonts w:hint="default"/>
        <w:lang w:val="en-GB" w:eastAsia="en-GB" w:bidi="en-GB"/>
      </w:rPr>
    </w:lvl>
    <w:lvl w:ilvl="2" w:tplc="8772BE1C">
      <w:numFmt w:val="bullet"/>
      <w:lvlText w:val="•"/>
      <w:lvlJc w:val="left"/>
      <w:pPr>
        <w:ind w:left="1176" w:hanging="284"/>
      </w:pPr>
      <w:rPr>
        <w:rFonts w:hint="default"/>
        <w:lang w:val="en-GB" w:eastAsia="en-GB" w:bidi="en-GB"/>
      </w:rPr>
    </w:lvl>
    <w:lvl w:ilvl="3" w:tplc="E4FE9698">
      <w:numFmt w:val="bullet"/>
      <w:lvlText w:val="•"/>
      <w:lvlJc w:val="left"/>
      <w:pPr>
        <w:ind w:left="1564" w:hanging="284"/>
      </w:pPr>
      <w:rPr>
        <w:rFonts w:hint="default"/>
        <w:lang w:val="en-GB" w:eastAsia="en-GB" w:bidi="en-GB"/>
      </w:rPr>
    </w:lvl>
    <w:lvl w:ilvl="4" w:tplc="CF36F5C2">
      <w:numFmt w:val="bullet"/>
      <w:lvlText w:val="•"/>
      <w:lvlJc w:val="left"/>
      <w:pPr>
        <w:ind w:left="1952" w:hanging="284"/>
      </w:pPr>
      <w:rPr>
        <w:rFonts w:hint="default"/>
        <w:lang w:val="en-GB" w:eastAsia="en-GB" w:bidi="en-GB"/>
      </w:rPr>
    </w:lvl>
    <w:lvl w:ilvl="5" w:tplc="A8E018FC">
      <w:numFmt w:val="bullet"/>
      <w:lvlText w:val="•"/>
      <w:lvlJc w:val="left"/>
      <w:pPr>
        <w:ind w:left="2340" w:hanging="284"/>
      </w:pPr>
      <w:rPr>
        <w:rFonts w:hint="default"/>
        <w:lang w:val="en-GB" w:eastAsia="en-GB" w:bidi="en-GB"/>
      </w:rPr>
    </w:lvl>
    <w:lvl w:ilvl="6" w:tplc="FFCA7BB2">
      <w:numFmt w:val="bullet"/>
      <w:lvlText w:val="•"/>
      <w:lvlJc w:val="left"/>
      <w:pPr>
        <w:ind w:left="2728" w:hanging="284"/>
      </w:pPr>
      <w:rPr>
        <w:rFonts w:hint="default"/>
        <w:lang w:val="en-GB" w:eastAsia="en-GB" w:bidi="en-GB"/>
      </w:rPr>
    </w:lvl>
    <w:lvl w:ilvl="7" w:tplc="DD64CCE0">
      <w:numFmt w:val="bullet"/>
      <w:lvlText w:val="•"/>
      <w:lvlJc w:val="left"/>
      <w:pPr>
        <w:ind w:left="3116" w:hanging="284"/>
      </w:pPr>
      <w:rPr>
        <w:rFonts w:hint="default"/>
        <w:lang w:val="en-GB" w:eastAsia="en-GB" w:bidi="en-GB"/>
      </w:rPr>
    </w:lvl>
    <w:lvl w:ilvl="8" w:tplc="61C05748">
      <w:numFmt w:val="bullet"/>
      <w:lvlText w:val="•"/>
      <w:lvlJc w:val="left"/>
      <w:pPr>
        <w:ind w:left="3504" w:hanging="284"/>
      </w:pPr>
      <w:rPr>
        <w:rFonts w:hint="default"/>
        <w:lang w:val="en-GB" w:eastAsia="en-GB" w:bidi="en-GB"/>
      </w:rPr>
    </w:lvl>
  </w:abstractNum>
  <w:abstractNum w:abstractNumId="12" w15:restartNumberingAfterBreak="0">
    <w:nsid w:val="7FD3066D"/>
    <w:multiLevelType w:val="hybridMultilevel"/>
    <w:tmpl w:val="6BCE4738"/>
    <w:lvl w:ilvl="0" w:tplc="A9A8425C">
      <w:numFmt w:val="bullet"/>
      <w:lvlText w:val=""/>
      <w:lvlJc w:val="left"/>
      <w:pPr>
        <w:ind w:left="507" w:hanging="284"/>
      </w:pPr>
      <w:rPr>
        <w:rFonts w:ascii="Symbol" w:eastAsia="Symbol" w:hAnsi="Symbol" w:cs="Symbol" w:hint="default"/>
        <w:w w:val="99"/>
        <w:sz w:val="20"/>
        <w:szCs w:val="20"/>
        <w:lang w:val="en-GB" w:eastAsia="en-GB" w:bidi="en-GB"/>
      </w:rPr>
    </w:lvl>
    <w:lvl w:ilvl="1" w:tplc="42426CAC">
      <w:numFmt w:val="bullet"/>
      <w:lvlText w:val="•"/>
      <w:lvlJc w:val="left"/>
      <w:pPr>
        <w:ind w:left="1440" w:hanging="284"/>
      </w:pPr>
      <w:rPr>
        <w:rFonts w:hint="default"/>
        <w:lang w:val="en-GB" w:eastAsia="en-GB" w:bidi="en-GB"/>
      </w:rPr>
    </w:lvl>
    <w:lvl w:ilvl="2" w:tplc="8D3CBD32">
      <w:numFmt w:val="bullet"/>
      <w:lvlText w:val="•"/>
      <w:lvlJc w:val="left"/>
      <w:pPr>
        <w:ind w:left="2381" w:hanging="284"/>
      </w:pPr>
      <w:rPr>
        <w:rFonts w:hint="default"/>
        <w:lang w:val="en-GB" w:eastAsia="en-GB" w:bidi="en-GB"/>
      </w:rPr>
    </w:lvl>
    <w:lvl w:ilvl="3" w:tplc="A21801C8">
      <w:numFmt w:val="bullet"/>
      <w:lvlText w:val="•"/>
      <w:lvlJc w:val="left"/>
      <w:pPr>
        <w:ind w:left="3321" w:hanging="284"/>
      </w:pPr>
      <w:rPr>
        <w:rFonts w:hint="default"/>
        <w:lang w:val="en-GB" w:eastAsia="en-GB" w:bidi="en-GB"/>
      </w:rPr>
    </w:lvl>
    <w:lvl w:ilvl="4" w:tplc="B93CCD18">
      <w:numFmt w:val="bullet"/>
      <w:lvlText w:val="•"/>
      <w:lvlJc w:val="left"/>
      <w:pPr>
        <w:ind w:left="4262" w:hanging="284"/>
      </w:pPr>
      <w:rPr>
        <w:rFonts w:hint="default"/>
        <w:lang w:val="en-GB" w:eastAsia="en-GB" w:bidi="en-GB"/>
      </w:rPr>
    </w:lvl>
    <w:lvl w:ilvl="5" w:tplc="9B72FB48">
      <w:numFmt w:val="bullet"/>
      <w:lvlText w:val="•"/>
      <w:lvlJc w:val="left"/>
      <w:pPr>
        <w:ind w:left="5203" w:hanging="284"/>
      </w:pPr>
      <w:rPr>
        <w:rFonts w:hint="default"/>
        <w:lang w:val="en-GB" w:eastAsia="en-GB" w:bidi="en-GB"/>
      </w:rPr>
    </w:lvl>
    <w:lvl w:ilvl="6" w:tplc="B60EB26C">
      <w:numFmt w:val="bullet"/>
      <w:lvlText w:val="•"/>
      <w:lvlJc w:val="left"/>
      <w:pPr>
        <w:ind w:left="6143" w:hanging="284"/>
      </w:pPr>
      <w:rPr>
        <w:rFonts w:hint="default"/>
        <w:lang w:val="en-GB" w:eastAsia="en-GB" w:bidi="en-GB"/>
      </w:rPr>
    </w:lvl>
    <w:lvl w:ilvl="7" w:tplc="512423F4">
      <w:numFmt w:val="bullet"/>
      <w:lvlText w:val="•"/>
      <w:lvlJc w:val="left"/>
      <w:pPr>
        <w:ind w:left="7084" w:hanging="284"/>
      </w:pPr>
      <w:rPr>
        <w:rFonts w:hint="default"/>
        <w:lang w:val="en-GB" w:eastAsia="en-GB" w:bidi="en-GB"/>
      </w:rPr>
    </w:lvl>
    <w:lvl w:ilvl="8" w:tplc="A8462E0A">
      <w:numFmt w:val="bullet"/>
      <w:lvlText w:val="•"/>
      <w:lvlJc w:val="left"/>
      <w:pPr>
        <w:ind w:left="8025" w:hanging="284"/>
      </w:pPr>
      <w:rPr>
        <w:rFonts w:hint="default"/>
        <w:lang w:val="en-GB" w:eastAsia="en-GB" w:bidi="en-GB"/>
      </w:rPr>
    </w:lvl>
  </w:abstractNum>
  <w:abstractNum w:abstractNumId="13" w15:restartNumberingAfterBreak="0">
    <w:nsid w:val="7FF40CFF"/>
    <w:multiLevelType w:val="hybridMultilevel"/>
    <w:tmpl w:val="65A27B34"/>
    <w:lvl w:ilvl="0" w:tplc="1ADE3502">
      <w:numFmt w:val="bullet"/>
      <w:lvlText w:val=""/>
      <w:lvlJc w:val="left"/>
      <w:pPr>
        <w:ind w:left="391" w:hanging="284"/>
      </w:pPr>
      <w:rPr>
        <w:rFonts w:ascii="Symbol" w:eastAsia="Symbol" w:hAnsi="Symbol" w:cs="Symbol" w:hint="default"/>
        <w:w w:val="99"/>
        <w:sz w:val="20"/>
        <w:szCs w:val="20"/>
        <w:lang w:val="en-GB" w:eastAsia="en-GB" w:bidi="en-GB"/>
      </w:rPr>
    </w:lvl>
    <w:lvl w:ilvl="1" w:tplc="06AE9DEC">
      <w:numFmt w:val="bullet"/>
      <w:lvlText w:val="•"/>
      <w:lvlJc w:val="left"/>
      <w:pPr>
        <w:ind w:left="788" w:hanging="284"/>
      </w:pPr>
      <w:rPr>
        <w:rFonts w:hint="default"/>
        <w:lang w:val="en-GB" w:eastAsia="en-GB" w:bidi="en-GB"/>
      </w:rPr>
    </w:lvl>
    <w:lvl w:ilvl="2" w:tplc="CEE01008">
      <w:numFmt w:val="bullet"/>
      <w:lvlText w:val="•"/>
      <w:lvlJc w:val="left"/>
      <w:pPr>
        <w:ind w:left="1176" w:hanging="284"/>
      </w:pPr>
      <w:rPr>
        <w:rFonts w:hint="default"/>
        <w:lang w:val="en-GB" w:eastAsia="en-GB" w:bidi="en-GB"/>
      </w:rPr>
    </w:lvl>
    <w:lvl w:ilvl="3" w:tplc="8878F44A">
      <w:numFmt w:val="bullet"/>
      <w:lvlText w:val="•"/>
      <w:lvlJc w:val="left"/>
      <w:pPr>
        <w:ind w:left="1564" w:hanging="284"/>
      </w:pPr>
      <w:rPr>
        <w:rFonts w:hint="default"/>
        <w:lang w:val="en-GB" w:eastAsia="en-GB" w:bidi="en-GB"/>
      </w:rPr>
    </w:lvl>
    <w:lvl w:ilvl="4" w:tplc="4F12F9F6">
      <w:numFmt w:val="bullet"/>
      <w:lvlText w:val="•"/>
      <w:lvlJc w:val="left"/>
      <w:pPr>
        <w:ind w:left="1952" w:hanging="284"/>
      </w:pPr>
      <w:rPr>
        <w:rFonts w:hint="default"/>
        <w:lang w:val="en-GB" w:eastAsia="en-GB" w:bidi="en-GB"/>
      </w:rPr>
    </w:lvl>
    <w:lvl w:ilvl="5" w:tplc="14D6B340">
      <w:numFmt w:val="bullet"/>
      <w:lvlText w:val="•"/>
      <w:lvlJc w:val="left"/>
      <w:pPr>
        <w:ind w:left="2340" w:hanging="284"/>
      </w:pPr>
      <w:rPr>
        <w:rFonts w:hint="default"/>
        <w:lang w:val="en-GB" w:eastAsia="en-GB" w:bidi="en-GB"/>
      </w:rPr>
    </w:lvl>
    <w:lvl w:ilvl="6" w:tplc="3F4CB90E">
      <w:numFmt w:val="bullet"/>
      <w:lvlText w:val="•"/>
      <w:lvlJc w:val="left"/>
      <w:pPr>
        <w:ind w:left="2728" w:hanging="284"/>
      </w:pPr>
      <w:rPr>
        <w:rFonts w:hint="default"/>
        <w:lang w:val="en-GB" w:eastAsia="en-GB" w:bidi="en-GB"/>
      </w:rPr>
    </w:lvl>
    <w:lvl w:ilvl="7" w:tplc="E294D636">
      <w:numFmt w:val="bullet"/>
      <w:lvlText w:val="•"/>
      <w:lvlJc w:val="left"/>
      <w:pPr>
        <w:ind w:left="3116" w:hanging="284"/>
      </w:pPr>
      <w:rPr>
        <w:rFonts w:hint="default"/>
        <w:lang w:val="en-GB" w:eastAsia="en-GB" w:bidi="en-GB"/>
      </w:rPr>
    </w:lvl>
    <w:lvl w:ilvl="8" w:tplc="5A5AC7B0">
      <w:numFmt w:val="bullet"/>
      <w:lvlText w:val="•"/>
      <w:lvlJc w:val="left"/>
      <w:pPr>
        <w:ind w:left="3504" w:hanging="284"/>
      </w:pPr>
      <w:rPr>
        <w:rFonts w:hint="default"/>
        <w:lang w:val="en-GB" w:eastAsia="en-GB" w:bidi="en-GB"/>
      </w:rPr>
    </w:lvl>
  </w:abstractNum>
  <w:num w:numId="1">
    <w:abstractNumId w:val="12"/>
  </w:num>
  <w:num w:numId="2">
    <w:abstractNumId w:val="6"/>
  </w:num>
  <w:num w:numId="3">
    <w:abstractNumId w:val="11"/>
  </w:num>
  <w:num w:numId="4">
    <w:abstractNumId w:val="7"/>
  </w:num>
  <w:num w:numId="5">
    <w:abstractNumId w:val="13"/>
  </w:num>
  <w:num w:numId="6">
    <w:abstractNumId w:val="2"/>
  </w:num>
  <w:num w:numId="7">
    <w:abstractNumId w:val="3"/>
  </w:num>
  <w:num w:numId="8">
    <w:abstractNumId w:val="9"/>
  </w:num>
  <w:num w:numId="9">
    <w:abstractNumId w:val="4"/>
  </w:num>
  <w:num w:numId="10">
    <w:abstractNumId w:val="8"/>
  </w:num>
  <w:num w:numId="11">
    <w:abstractNumId w:val="1"/>
  </w:num>
  <w:num w:numId="12">
    <w:abstractNumId w:val="0"/>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A7"/>
    <w:rsid w:val="00002056"/>
    <w:rsid w:val="00024030"/>
    <w:rsid w:val="00037044"/>
    <w:rsid w:val="000439F2"/>
    <w:rsid w:val="000852AA"/>
    <w:rsid w:val="00096456"/>
    <w:rsid w:val="000A2D3C"/>
    <w:rsid w:val="000A5AFD"/>
    <w:rsid w:val="00107308"/>
    <w:rsid w:val="001104C6"/>
    <w:rsid w:val="001374E9"/>
    <w:rsid w:val="00197EA2"/>
    <w:rsid w:val="001D2017"/>
    <w:rsid w:val="001D7053"/>
    <w:rsid w:val="001D768B"/>
    <w:rsid w:val="001E01FF"/>
    <w:rsid w:val="00226B81"/>
    <w:rsid w:val="002639F8"/>
    <w:rsid w:val="00265730"/>
    <w:rsid w:val="00294640"/>
    <w:rsid w:val="002B2226"/>
    <w:rsid w:val="002F2F5D"/>
    <w:rsid w:val="002F3CBD"/>
    <w:rsid w:val="0032017D"/>
    <w:rsid w:val="003217D8"/>
    <w:rsid w:val="00330D62"/>
    <w:rsid w:val="003404D5"/>
    <w:rsid w:val="003425F3"/>
    <w:rsid w:val="003626F9"/>
    <w:rsid w:val="003735EB"/>
    <w:rsid w:val="003D0806"/>
    <w:rsid w:val="00425F91"/>
    <w:rsid w:val="0044389F"/>
    <w:rsid w:val="00460ED4"/>
    <w:rsid w:val="004B6132"/>
    <w:rsid w:val="005C3A5E"/>
    <w:rsid w:val="005D23C5"/>
    <w:rsid w:val="005E7D26"/>
    <w:rsid w:val="00601C87"/>
    <w:rsid w:val="006278F4"/>
    <w:rsid w:val="00632D35"/>
    <w:rsid w:val="0064161E"/>
    <w:rsid w:val="006505D2"/>
    <w:rsid w:val="0066651E"/>
    <w:rsid w:val="00666A7E"/>
    <w:rsid w:val="006C5D09"/>
    <w:rsid w:val="00717342"/>
    <w:rsid w:val="00732640"/>
    <w:rsid w:val="007600E9"/>
    <w:rsid w:val="00776DCB"/>
    <w:rsid w:val="007943F3"/>
    <w:rsid w:val="007B3709"/>
    <w:rsid w:val="007B6EDF"/>
    <w:rsid w:val="007C7636"/>
    <w:rsid w:val="007E1984"/>
    <w:rsid w:val="00832DD0"/>
    <w:rsid w:val="00853D28"/>
    <w:rsid w:val="00863CA4"/>
    <w:rsid w:val="00865FBE"/>
    <w:rsid w:val="008742F0"/>
    <w:rsid w:val="00883E0D"/>
    <w:rsid w:val="00904FCC"/>
    <w:rsid w:val="009655EA"/>
    <w:rsid w:val="009D2888"/>
    <w:rsid w:val="009D4203"/>
    <w:rsid w:val="009D4DBC"/>
    <w:rsid w:val="00A12602"/>
    <w:rsid w:val="00A14932"/>
    <w:rsid w:val="00A26197"/>
    <w:rsid w:val="00A513BA"/>
    <w:rsid w:val="00A82CAD"/>
    <w:rsid w:val="00A97B29"/>
    <w:rsid w:val="00AA5FAE"/>
    <w:rsid w:val="00AB7F9D"/>
    <w:rsid w:val="00AD6B8C"/>
    <w:rsid w:val="00B039AA"/>
    <w:rsid w:val="00B0682F"/>
    <w:rsid w:val="00B37706"/>
    <w:rsid w:val="00B73096"/>
    <w:rsid w:val="00B76CA4"/>
    <w:rsid w:val="00BC0EC7"/>
    <w:rsid w:val="00BC5253"/>
    <w:rsid w:val="00BC65FA"/>
    <w:rsid w:val="00BE42D5"/>
    <w:rsid w:val="00C47E20"/>
    <w:rsid w:val="00C7123D"/>
    <w:rsid w:val="00C935A7"/>
    <w:rsid w:val="00CA3B79"/>
    <w:rsid w:val="00CA7005"/>
    <w:rsid w:val="00CD6FED"/>
    <w:rsid w:val="00D02743"/>
    <w:rsid w:val="00D07325"/>
    <w:rsid w:val="00D07DA1"/>
    <w:rsid w:val="00D10549"/>
    <w:rsid w:val="00D357B5"/>
    <w:rsid w:val="00D5057C"/>
    <w:rsid w:val="00D50CAC"/>
    <w:rsid w:val="00D65DA0"/>
    <w:rsid w:val="00D92FEA"/>
    <w:rsid w:val="00E03863"/>
    <w:rsid w:val="00E10EC1"/>
    <w:rsid w:val="00E719CA"/>
    <w:rsid w:val="00E87D9D"/>
    <w:rsid w:val="00EA1875"/>
    <w:rsid w:val="00EA5D38"/>
    <w:rsid w:val="00EC5781"/>
    <w:rsid w:val="00ED735B"/>
    <w:rsid w:val="00F94F8C"/>
    <w:rsid w:val="00FA3A5D"/>
    <w:rsid w:val="00FB2871"/>
    <w:rsid w:val="08B39AD3"/>
    <w:rsid w:val="08CBF8E7"/>
    <w:rsid w:val="1DF30029"/>
    <w:rsid w:val="1EEA36A4"/>
    <w:rsid w:val="2116B170"/>
    <w:rsid w:val="26A97B23"/>
    <w:rsid w:val="3C3CB7B6"/>
    <w:rsid w:val="3D7B97BB"/>
    <w:rsid w:val="3FCDBC04"/>
    <w:rsid w:val="4307DE2B"/>
    <w:rsid w:val="498763B3"/>
    <w:rsid w:val="49B20D55"/>
    <w:rsid w:val="49CECC42"/>
    <w:rsid w:val="4BDAB29B"/>
    <w:rsid w:val="4CE9AE17"/>
    <w:rsid w:val="4EDEE204"/>
    <w:rsid w:val="5090F638"/>
    <w:rsid w:val="514AB4FA"/>
    <w:rsid w:val="552029E7"/>
    <w:rsid w:val="56BE5092"/>
    <w:rsid w:val="5D8F1BD5"/>
    <w:rsid w:val="60A0F844"/>
    <w:rsid w:val="78C90DA4"/>
    <w:rsid w:val="7CF6702F"/>
    <w:rsid w:val="7F4C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AFD6E7"/>
  <w15:docId w15:val="{3D7C43F1-5506-48E2-87DF-74FA5B3D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3"/>
      <w:ind w:left="22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7"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3CBD"/>
    <w:pPr>
      <w:tabs>
        <w:tab w:val="center" w:pos="4513"/>
        <w:tab w:val="right" w:pos="9026"/>
      </w:tabs>
    </w:pPr>
  </w:style>
  <w:style w:type="character" w:customStyle="1" w:styleId="HeaderChar">
    <w:name w:val="Header Char"/>
    <w:basedOn w:val="DefaultParagraphFont"/>
    <w:link w:val="Header"/>
    <w:uiPriority w:val="99"/>
    <w:rsid w:val="002F3CBD"/>
    <w:rPr>
      <w:rFonts w:ascii="Arial" w:eastAsia="Arial" w:hAnsi="Arial" w:cs="Arial"/>
      <w:lang w:val="en-GB" w:eastAsia="en-GB" w:bidi="en-GB"/>
    </w:rPr>
  </w:style>
  <w:style w:type="paragraph" w:styleId="Footer">
    <w:name w:val="footer"/>
    <w:basedOn w:val="Normal"/>
    <w:link w:val="FooterChar"/>
    <w:uiPriority w:val="99"/>
    <w:unhideWhenUsed/>
    <w:rsid w:val="002F3CBD"/>
    <w:pPr>
      <w:tabs>
        <w:tab w:val="center" w:pos="4513"/>
        <w:tab w:val="right" w:pos="9026"/>
      </w:tabs>
    </w:pPr>
  </w:style>
  <w:style w:type="character" w:customStyle="1" w:styleId="FooterChar">
    <w:name w:val="Footer Char"/>
    <w:basedOn w:val="DefaultParagraphFont"/>
    <w:link w:val="Footer"/>
    <w:uiPriority w:val="99"/>
    <w:rsid w:val="002F3CBD"/>
    <w:rPr>
      <w:rFonts w:ascii="Arial" w:eastAsia="Arial" w:hAnsi="Arial" w:cs="Arial"/>
      <w:lang w:val="en-GB" w:eastAsia="en-GB" w:bidi="en-GB"/>
    </w:rPr>
  </w:style>
  <w:style w:type="table" w:styleId="TableGrid">
    <w:name w:val="Table Grid"/>
    <w:basedOn w:val="TableNormal"/>
    <w:uiPriority w:val="39"/>
    <w:rsid w:val="007C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13BA"/>
    <w:rPr>
      <w:sz w:val="16"/>
      <w:szCs w:val="16"/>
    </w:rPr>
  </w:style>
  <w:style w:type="paragraph" w:styleId="CommentText">
    <w:name w:val="annotation text"/>
    <w:basedOn w:val="Normal"/>
    <w:link w:val="CommentTextChar"/>
    <w:uiPriority w:val="99"/>
    <w:unhideWhenUsed/>
    <w:rsid w:val="00A513BA"/>
    <w:rPr>
      <w:sz w:val="20"/>
      <w:szCs w:val="20"/>
    </w:rPr>
  </w:style>
  <w:style w:type="character" w:customStyle="1" w:styleId="CommentTextChar">
    <w:name w:val="Comment Text Char"/>
    <w:basedOn w:val="DefaultParagraphFont"/>
    <w:link w:val="CommentText"/>
    <w:uiPriority w:val="99"/>
    <w:rsid w:val="00A513B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513BA"/>
    <w:rPr>
      <w:b/>
      <w:bCs/>
    </w:rPr>
  </w:style>
  <w:style w:type="character" w:customStyle="1" w:styleId="CommentSubjectChar">
    <w:name w:val="Comment Subject Char"/>
    <w:basedOn w:val="CommentTextChar"/>
    <w:link w:val="CommentSubject"/>
    <w:uiPriority w:val="99"/>
    <w:semiHidden/>
    <w:rsid w:val="00A513BA"/>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A51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BA"/>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0D9AA-0CEB-465C-9A5C-343BAF52E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CE31D-DD9D-4156-B2E9-1CC20FB3F328}">
  <ds:schemaRefs>
    <ds:schemaRef ds:uri="http://schemas.microsoft.com/office/2006/metadata/properties"/>
    <ds:schemaRef ds:uri="http://www.w3.org/XML/1998/namespace"/>
    <ds:schemaRef ds:uri="http://purl.org/dc/terms/"/>
    <ds:schemaRef ds:uri="http://schemas.microsoft.com/office/infopath/2007/PartnerControls"/>
    <ds:schemaRef ds:uri="9089c014-f3ed-4238-bb51-5162c886ea69"/>
    <ds:schemaRef ds:uri="http://schemas.microsoft.com/office/2006/documentManagement/types"/>
    <ds:schemaRef ds:uri="http://purl.org/dc/dcmitype/"/>
    <ds:schemaRef ds:uri="http://schemas.openxmlformats.org/package/2006/metadata/core-properties"/>
    <ds:schemaRef ds:uri="f155614b-6519-44af-ac36-5057f07afddf"/>
    <ds:schemaRef ds:uri="http://purl.org/dc/elements/1.1/"/>
  </ds:schemaRefs>
</ds:datastoreItem>
</file>

<file path=customXml/itemProps3.xml><?xml version="1.0" encoding="utf-8"?>
<ds:datastoreItem xmlns:ds="http://schemas.openxmlformats.org/officeDocument/2006/customXml" ds:itemID="{DDE2E18A-E5B7-4132-AE8D-A00D70864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Pre-construction Information - Basic Form</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Information - Basic Form</dc:title>
  <dc:creator>RicksM</dc:creator>
  <cp:lastModifiedBy>Ian</cp:lastModifiedBy>
  <cp:revision>2</cp:revision>
  <dcterms:created xsi:type="dcterms:W3CDTF">2020-12-21T12:40:00Z</dcterms:created>
  <dcterms:modified xsi:type="dcterms:W3CDTF">2020-12-21T12:40:00Z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Acrobat PDFMaker 19 for Word</vt:lpwstr>
  </property>
  <property fmtid="{D5CDD505-2E9C-101B-9397-08002B2CF9AE}" pid="4" name="LastSaved">
    <vt:filetime>2020-12-09T00:00:00Z</vt:filetime>
  </property>
  <property fmtid="{D5CDD505-2E9C-101B-9397-08002B2CF9AE}" pid="5" name="ContentTypeId">
    <vt:lpwstr>0x010100A1845E3FA3A63C44B0819CB641436C51</vt:lpwstr>
  </property>
</Properties>
</file>