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B6B" w:rsidRDefault="00E84B6B">
      <w:pPr>
        <w:rPr>
          <w:rFonts w:ascii="Arial" w:hAnsi="Arial" w:cs="Arial"/>
          <w:sz w:val="20"/>
          <w:szCs w:val="20"/>
        </w:rPr>
      </w:pPr>
    </w:p>
    <w:p w:rsidR="00E84B6B" w:rsidRDefault="002F3177">
      <w:pPr>
        <w:rPr>
          <w:rFonts w:ascii="Arial" w:hAnsi="Arial" w:cs="Arial"/>
          <w:sz w:val="20"/>
          <w:szCs w:val="20"/>
        </w:rPr>
      </w:pPr>
      <w:r>
        <w:rPr>
          <w:rFonts w:ascii="Arial" w:hAnsi="Arial" w:cs="Arial"/>
          <w:noProof/>
          <w:sz w:val="20"/>
          <w:szCs w:val="20"/>
          <w:lang w:eastAsia="en-GB"/>
        </w:rPr>
        <w:drawing>
          <wp:anchor distT="0" distB="0" distL="114300" distR="114300" simplePos="0" relativeHeight="251770880" behindDoc="1" locked="0" layoutInCell="1" allowOverlap="1">
            <wp:simplePos x="0" y="0"/>
            <wp:positionH relativeFrom="column">
              <wp:posOffset>-514350</wp:posOffset>
            </wp:positionH>
            <wp:positionV relativeFrom="paragraph">
              <wp:posOffset>257175</wp:posOffset>
            </wp:positionV>
            <wp:extent cx="6753225" cy="5699125"/>
            <wp:effectExtent l="0" t="0" r="9525" b="0"/>
            <wp:wrapTight wrapText="bothSides">
              <wp:wrapPolygon edited="0">
                <wp:start x="0" y="0"/>
                <wp:lineTo x="0" y="21516"/>
                <wp:lineTo x="21570" y="21516"/>
                <wp:lineTo x="21570" y="0"/>
                <wp:lineTo x="0" y="0"/>
              </wp:wrapPolygon>
            </wp:wrapTight>
            <wp:docPr id="21" name="Picture 21" descr="C:\Users\ARabellaroberts\Downloads\p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Rabellaroberts\Downloads\pjimage (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t="9473"/>
                    <a:stretch>
                      <a:fillRect/>
                    </a:stretch>
                  </pic:blipFill>
                  <pic:spPr>
                    <a:xfrm>
                      <a:off x="0" y="0"/>
                      <a:ext cx="6753225" cy="5699125"/>
                    </a:xfrm>
                    <a:prstGeom prst="rect">
                      <a:avLst/>
                    </a:prstGeom>
                    <a:noFill/>
                    <a:ln>
                      <a:noFill/>
                    </a:ln>
                  </pic:spPr>
                </pic:pic>
              </a:graphicData>
            </a:graphic>
          </wp:anchor>
        </w:drawing>
      </w:r>
    </w:p>
    <w:p w:rsidR="00E84B6B" w:rsidRDefault="002F3177">
      <w:pPr>
        <w:widowControl w:val="0"/>
        <w:spacing w:after="120" w:line="276" w:lineRule="auto"/>
        <w:ind w:left="-142"/>
        <w:rPr>
          <w:rFonts w:ascii="Arial" w:hAnsi="Arial" w:cs="Arial"/>
          <w:bCs/>
          <w:color w:val="003366"/>
          <w:sz w:val="36"/>
          <w:szCs w:val="20"/>
        </w:rPr>
      </w:pPr>
      <w:r>
        <w:rPr>
          <w:rFonts w:ascii="Arial" w:hAnsi="Arial" w:cs="Arial"/>
          <w:bCs/>
          <w:color w:val="003366"/>
          <w:sz w:val="36"/>
          <w:szCs w:val="20"/>
        </w:rPr>
        <w:t xml:space="preserve">Invitation to Tender (ITT) </w:t>
      </w:r>
    </w:p>
    <w:p w:rsidR="00E84B6B" w:rsidRDefault="002F3177">
      <w:pPr>
        <w:widowControl w:val="0"/>
        <w:spacing w:after="120" w:line="276" w:lineRule="auto"/>
        <w:ind w:left="-142"/>
        <w:rPr>
          <w:rFonts w:ascii="Arial" w:hAnsi="Arial" w:cs="Arial"/>
          <w:bCs/>
          <w:color w:val="003366"/>
          <w:sz w:val="36"/>
          <w:szCs w:val="20"/>
        </w:rPr>
      </w:pPr>
      <w:r>
        <w:rPr>
          <w:rFonts w:ascii="Arial" w:hAnsi="Arial" w:cs="Arial"/>
          <w:b/>
          <w:bCs/>
          <w:color w:val="003366"/>
          <w:sz w:val="36"/>
          <w:szCs w:val="20"/>
        </w:rPr>
        <w:t>Refurbishment of the Head Platform and Figurehead to HMS Warrior, Portsmouth</w:t>
      </w:r>
      <w:r>
        <w:rPr>
          <w:rFonts w:ascii="Arial" w:hAnsi="Arial" w:cs="Arial"/>
          <w:bCs/>
          <w:color w:val="003366"/>
          <w:sz w:val="36"/>
          <w:szCs w:val="20"/>
        </w:rPr>
        <w:t xml:space="preserve"> </w:t>
      </w:r>
    </w:p>
    <w:p w:rsidR="00E84B6B" w:rsidRDefault="00E84B6B">
      <w:pPr>
        <w:tabs>
          <w:tab w:val="left" w:pos="2311"/>
        </w:tabs>
        <w:rPr>
          <w:rFonts w:ascii="Arial" w:hAnsi="Arial" w:cs="Arial"/>
          <w:szCs w:val="20"/>
        </w:rPr>
      </w:pPr>
    </w:p>
    <w:p w:rsidR="00E84B6B" w:rsidRDefault="00C619D4">
      <w:pPr>
        <w:tabs>
          <w:tab w:val="left" w:pos="2311"/>
        </w:tabs>
        <w:rPr>
          <w:rFonts w:ascii="Arial" w:hAnsi="Arial" w:cs="Arial"/>
          <w:szCs w:val="20"/>
        </w:rPr>
      </w:pPr>
      <w:r>
        <w:rPr>
          <w:rFonts w:ascii="Arial" w:hAnsi="Arial" w:cs="Arial"/>
          <w:szCs w:val="20"/>
        </w:rPr>
        <w:t>First Issued: 12 June 2018</w:t>
      </w:r>
    </w:p>
    <w:p w:rsidR="00E84B6B" w:rsidRDefault="00E84B6B">
      <w:pPr>
        <w:tabs>
          <w:tab w:val="left" w:pos="2311"/>
        </w:tabs>
        <w:rPr>
          <w:rFonts w:ascii="Arial" w:hAnsi="Arial" w:cs="Arial"/>
          <w:sz w:val="20"/>
          <w:szCs w:val="20"/>
        </w:rPr>
      </w:pPr>
      <w:bookmarkStart w:id="0" w:name="_GoBack"/>
      <w:bookmarkEnd w:id="0"/>
    </w:p>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sdt>
      <w:sdtPr>
        <w:rPr>
          <w:rFonts w:ascii="Arial" w:eastAsiaTheme="minorHAnsi" w:hAnsi="Arial" w:cs="Arial"/>
          <w:color w:val="auto"/>
          <w:sz w:val="20"/>
          <w:szCs w:val="20"/>
          <w:lang w:val="en-GB"/>
        </w:rPr>
        <w:id w:val="2056808750"/>
        <w:docPartObj>
          <w:docPartGallery w:val="Table of Contents"/>
          <w:docPartUnique/>
        </w:docPartObj>
      </w:sdtPr>
      <w:sdtEndPr>
        <w:rPr>
          <w:b/>
          <w:bCs/>
        </w:rPr>
      </w:sdtEndPr>
      <w:sdtContent>
        <w:p w:rsidR="00E84B6B" w:rsidRDefault="002F3177">
          <w:pPr>
            <w:pStyle w:val="TOCHeading1"/>
            <w:rPr>
              <w:rFonts w:ascii="Arial" w:hAnsi="Arial" w:cs="Arial"/>
              <w:b/>
              <w:color w:val="1F4E79" w:themeColor="accent1" w:themeShade="80"/>
              <w:sz w:val="24"/>
              <w:szCs w:val="24"/>
            </w:rPr>
          </w:pPr>
          <w:r>
            <w:rPr>
              <w:rFonts w:ascii="Arial" w:hAnsi="Arial" w:cs="Arial"/>
              <w:b/>
              <w:color w:val="1F4E79" w:themeColor="accent1" w:themeShade="80"/>
              <w:sz w:val="24"/>
              <w:szCs w:val="24"/>
            </w:rPr>
            <w:t>Contents</w:t>
          </w:r>
        </w:p>
        <w:p w:rsidR="00E84B6B" w:rsidRDefault="00E84B6B">
          <w:pPr>
            <w:rPr>
              <w:lang w:val="en-US"/>
            </w:rPr>
          </w:pPr>
        </w:p>
        <w:p w:rsidR="00E84B6B" w:rsidRDefault="002F3177">
          <w:pPr>
            <w:pStyle w:val="TOC1"/>
            <w:tabs>
              <w:tab w:val="left" w:pos="440"/>
              <w:tab w:val="right" w:leader="dot" w:pos="9016"/>
            </w:tabs>
            <w:rPr>
              <w:rFonts w:ascii="Arial" w:eastAsiaTheme="minorEastAsia" w:hAnsi="Arial" w:cs="Arial"/>
              <w:lang w:eastAsia="en-GB"/>
            </w:rPr>
          </w:pPr>
          <w:r>
            <w:rPr>
              <w:rFonts w:cs="Arial"/>
              <w:sz w:val="20"/>
              <w:szCs w:val="20"/>
            </w:rPr>
            <w:fldChar w:fldCharType="begin"/>
          </w:r>
          <w:r>
            <w:rPr>
              <w:rFonts w:cs="Arial"/>
              <w:sz w:val="20"/>
              <w:szCs w:val="20"/>
            </w:rPr>
            <w:instrText xml:space="preserve"> TOC \o "1-3" \h \z \u </w:instrText>
          </w:r>
          <w:r>
            <w:rPr>
              <w:rFonts w:cs="Arial"/>
              <w:sz w:val="20"/>
              <w:szCs w:val="20"/>
            </w:rPr>
            <w:fldChar w:fldCharType="separate"/>
          </w:r>
          <w:hyperlink w:anchor="_Toc497208904" w:history="1">
            <w:r>
              <w:rPr>
                <w:rStyle w:val="Hyperlink"/>
                <w:rFonts w:ascii="Arial" w:hAnsi="Arial" w:cs="Arial"/>
                <w:b/>
              </w:rPr>
              <w:t>Summary Instructions and Details of Contract</w:t>
            </w:r>
          </w:hyperlink>
        </w:p>
        <w:p w:rsidR="00E84B6B" w:rsidRDefault="00C619D4">
          <w:pPr>
            <w:pStyle w:val="TOC1"/>
            <w:tabs>
              <w:tab w:val="right" w:leader="dot" w:pos="9016"/>
            </w:tabs>
            <w:rPr>
              <w:rFonts w:ascii="Arial" w:eastAsiaTheme="minorEastAsia" w:hAnsi="Arial" w:cs="Arial"/>
              <w:lang w:eastAsia="en-GB"/>
            </w:rPr>
          </w:pPr>
          <w:hyperlink w:anchor="_Toc497208906" w:history="1">
            <w:r w:rsidR="002F3177">
              <w:rPr>
                <w:rStyle w:val="Hyperlink"/>
                <w:rFonts w:ascii="Arial" w:hAnsi="Arial" w:cs="Arial"/>
                <w:b/>
              </w:rPr>
              <w:t xml:space="preserve">1.     Project Introduction </w:t>
            </w:r>
          </w:hyperlink>
        </w:p>
        <w:p w:rsidR="00E84B6B" w:rsidRDefault="00C619D4">
          <w:pPr>
            <w:pStyle w:val="TOC1"/>
            <w:tabs>
              <w:tab w:val="right" w:leader="dot" w:pos="9016"/>
            </w:tabs>
            <w:rPr>
              <w:rFonts w:ascii="Arial" w:eastAsiaTheme="minorEastAsia" w:hAnsi="Arial" w:cs="Arial"/>
              <w:lang w:eastAsia="en-GB"/>
            </w:rPr>
          </w:pPr>
          <w:hyperlink w:anchor="_Toc497208907" w:history="1">
            <w:r w:rsidR="002F3177">
              <w:rPr>
                <w:rStyle w:val="Hyperlink"/>
                <w:rFonts w:ascii="Arial" w:hAnsi="Arial" w:cs="Arial"/>
                <w:b/>
              </w:rPr>
              <w:t>2.    Scope of Work</w:t>
            </w:r>
          </w:hyperlink>
        </w:p>
        <w:p w:rsidR="00E84B6B" w:rsidRDefault="00C619D4">
          <w:pPr>
            <w:pStyle w:val="TOC1"/>
            <w:tabs>
              <w:tab w:val="left" w:pos="660"/>
              <w:tab w:val="right" w:leader="dot" w:pos="9016"/>
            </w:tabs>
            <w:rPr>
              <w:rFonts w:ascii="Arial" w:eastAsiaTheme="minorEastAsia" w:hAnsi="Arial" w:cs="Arial"/>
              <w:lang w:eastAsia="en-GB"/>
            </w:rPr>
          </w:pPr>
          <w:hyperlink w:anchor="_Toc497208908" w:history="1">
            <w:r w:rsidR="002F3177">
              <w:rPr>
                <w:rStyle w:val="Hyperlink"/>
                <w:rFonts w:ascii="Arial" w:hAnsi="Arial" w:cs="Arial"/>
                <w:b/>
              </w:rPr>
              <w:t>3.    Additional Requirements</w:t>
            </w:r>
          </w:hyperlink>
        </w:p>
        <w:p w:rsidR="00E84B6B" w:rsidRDefault="00C619D4">
          <w:pPr>
            <w:pStyle w:val="TOC1"/>
            <w:tabs>
              <w:tab w:val="left" w:pos="660"/>
              <w:tab w:val="right" w:leader="dot" w:pos="9016"/>
            </w:tabs>
            <w:rPr>
              <w:rFonts w:ascii="Arial" w:eastAsiaTheme="minorEastAsia" w:hAnsi="Arial" w:cs="Arial"/>
              <w:lang w:eastAsia="en-GB"/>
            </w:rPr>
          </w:pPr>
          <w:hyperlink w:anchor="_Toc497208909" w:history="1">
            <w:r w:rsidR="002F3177">
              <w:rPr>
                <w:rStyle w:val="Hyperlink"/>
                <w:rFonts w:ascii="Arial" w:hAnsi="Arial" w:cs="Arial"/>
                <w:b/>
              </w:rPr>
              <w:t>4.</w:t>
            </w:r>
            <w:r w:rsidR="002F3177">
              <w:rPr>
                <w:rFonts w:ascii="Arial" w:eastAsiaTheme="minorEastAsia" w:hAnsi="Arial" w:cs="Arial"/>
                <w:lang w:eastAsia="en-GB"/>
              </w:rPr>
              <w:t xml:space="preserve">    </w:t>
            </w:r>
            <w:r w:rsidR="002F3177">
              <w:rPr>
                <w:rFonts w:ascii="Arial" w:eastAsiaTheme="minorEastAsia" w:hAnsi="Arial" w:cs="Arial"/>
                <w:b/>
                <w:lang w:eastAsia="en-GB"/>
              </w:rPr>
              <w:t>Further Information</w:t>
            </w:r>
          </w:hyperlink>
        </w:p>
        <w:p w:rsidR="00E84B6B" w:rsidRDefault="00C619D4">
          <w:pPr>
            <w:pStyle w:val="TOC1"/>
            <w:tabs>
              <w:tab w:val="left" w:pos="660"/>
              <w:tab w:val="right" w:leader="dot" w:pos="9016"/>
            </w:tabs>
            <w:rPr>
              <w:rFonts w:eastAsiaTheme="minorEastAsia"/>
              <w:lang w:eastAsia="en-GB"/>
            </w:rPr>
          </w:pPr>
          <w:hyperlink w:anchor="_Toc497208910" w:history="1">
            <w:r w:rsidR="002F3177">
              <w:rPr>
                <w:rStyle w:val="Hyperlink"/>
                <w:rFonts w:ascii="Arial" w:hAnsi="Arial" w:cs="Arial"/>
                <w:b/>
              </w:rPr>
              <w:t xml:space="preserve">5.   </w:t>
            </w:r>
            <w:r w:rsidR="002F3177">
              <w:rPr>
                <w:rFonts w:ascii="Arial" w:eastAsiaTheme="minorEastAsia" w:hAnsi="Arial" w:cs="Arial"/>
                <w:b/>
                <w:lang w:eastAsia="en-GB"/>
              </w:rPr>
              <w:t>Supplier Response</w:t>
            </w:r>
          </w:hyperlink>
          <w:hyperlink w:anchor="_Toc497208911" w:history="1"/>
        </w:p>
        <w:p w:rsidR="00E84B6B" w:rsidRDefault="00C619D4">
          <w:pPr>
            <w:pStyle w:val="TOC1"/>
            <w:tabs>
              <w:tab w:val="right" w:leader="dot" w:pos="9016"/>
            </w:tabs>
            <w:rPr>
              <w:rFonts w:eastAsiaTheme="minorEastAsia"/>
              <w:lang w:eastAsia="en-GB"/>
            </w:rPr>
          </w:pPr>
          <w:hyperlink w:anchor="_Toc497208912" w:history="1">
            <w:r w:rsidR="002F3177">
              <w:rPr>
                <w:rStyle w:val="Hyperlink"/>
                <w:rFonts w:ascii="Arial" w:hAnsi="Arial" w:cs="Arial"/>
                <w:b/>
              </w:rPr>
              <w:t>Annex 1 – Evaluation Criteria</w:t>
            </w:r>
          </w:hyperlink>
        </w:p>
        <w:p w:rsidR="00E84B6B" w:rsidRDefault="00C619D4">
          <w:pPr>
            <w:pStyle w:val="TOC1"/>
            <w:tabs>
              <w:tab w:val="right" w:leader="dot" w:pos="9016"/>
            </w:tabs>
            <w:rPr>
              <w:rFonts w:eastAsiaTheme="minorEastAsia"/>
              <w:lang w:eastAsia="en-GB"/>
            </w:rPr>
          </w:pPr>
          <w:hyperlink w:anchor="_Toc497208915" w:history="1">
            <w:r w:rsidR="002F3177">
              <w:rPr>
                <w:rStyle w:val="Hyperlink"/>
                <w:rFonts w:ascii="Arial" w:hAnsi="Arial" w:cs="Arial"/>
                <w:b/>
              </w:rPr>
              <w:t>Annex 2 – Terms and Conditions of Contract</w:t>
            </w:r>
          </w:hyperlink>
        </w:p>
        <w:p w:rsidR="00E84B6B" w:rsidRDefault="00C619D4">
          <w:pPr>
            <w:pStyle w:val="TOC1"/>
            <w:tabs>
              <w:tab w:val="right" w:leader="dot" w:pos="9016"/>
            </w:tabs>
            <w:rPr>
              <w:rFonts w:eastAsiaTheme="minorEastAsia"/>
              <w:lang w:eastAsia="en-GB"/>
            </w:rPr>
          </w:pPr>
          <w:hyperlink w:anchor="_Toc497208916" w:history="1">
            <w:r w:rsidR="002F3177">
              <w:rPr>
                <w:rStyle w:val="Hyperlink"/>
                <w:rFonts w:ascii="Arial" w:hAnsi="Arial" w:cs="Arial"/>
                <w:b/>
              </w:rPr>
              <w:t>Annex 3 – Head Platform drawings (8)</w:t>
            </w:r>
          </w:hyperlink>
          <w:r w:rsidR="002F3177">
            <w:rPr>
              <w:rFonts w:eastAsiaTheme="minorEastAsia"/>
              <w:lang w:eastAsia="en-GB"/>
            </w:rPr>
            <w:t xml:space="preserve"> </w:t>
          </w:r>
        </w:p>
        <w:p w:rsidR="00E84B6B" w:rsidRPr="004417FA" w:rsidRDefault="002F3177">
          <w:pPr>
            <w:rPr>
              <w:rStyle w:val="Hyperlink"/>
              <w:rFonts w:ascii="Arial" w:hAnsi="Arial" w:cs="Arial"/>
              <w:b/>
              <w:color w:val="auto"/>
              <w:u w:val="none"/>
            </w:rPr>
          </w:pPr>
          <w:r w:rsidRPr="004417FA">
            <w:rPr>
              <w:rStyle w:val="Hyperlink"/>
              <w:rFonts w:ascii="Arial" w:hAnsi="Arial" w:cs="Arial"/>
              <w:b/>
              <w:color w:val="auto"/>
              <w:u w:val="none"/>
            </w:rPr>
            <w:t>Annex 4 – Pricing Document</w:t>
          </w:r>
        </w:p>
        <w:p w:rsidR="004417FA" w:rsidRPr="004417FA" w:rsidRDefault="004417FA">
          <w:pPr>
            <w:rPr>
              <w:b/>
              <w:lang w:eastAsia="en-GB"/>
            </w:rPr>
          </w:pPr>
          <w:r w:rsidRPr="004417FA">
            <w:rPr>
              <w:rStyle w:val="Hyperlink"/>
              <w:rFonts w:ascii="Arial" w:hAnsi="Arial" w:cs="Arial"/>
              <w:b/>
              <w:color w:val="auto"/>
              <w:u w:val="none"/>
            </w:rPr>
            <w:t>Annex 5 - NMRN GDPR Notice</w:t>
          </w:r>
        </w:p>
        <w:p w:rsidR="00E84B6B" w:rsidRDefault="00E84B6B">
          <w:pPr>
            <w:pStyle w:val="TOC1"/>
            <w:tabs>
              <w:tab w:val="right" w:leader="dot" w:pos="9016"/>
            </w:tabs>
            <w:rPr>
              <w:rFonts w:eastAsiaTheme="minorEastAsia"/>
              <w:lang w:eastAsia="en-GB"/>
            </w:rPr>
          </w:pPr>
        </w:p>
        <w:p w:rsidR="00E84B6B" w:rsidRDefault="002F3177">
          <w:pPr>
            <w:rPr>
              <w:rFonts w:ascii="Arial" w:hAnsi="Arial" w:cs="Arial"/>
              <w:sz w:val="20"/>
              <w:szCs w:val="20"/>
            </w:rPr>
          </w:pPr>
          <w:r>
            <w:rPr>
              <w:rFonts w:cs="Arial"/>
              <w:bCs/>
              <w:sz w:val="20"/>
              <w:szCs w:val="20"/>
            </w:rPr>
            <w:fldChar w:fldCharType="end"/>
          </w:r>
        </w:p>
      </w:sdtContent>
    </w:sdt>
    <w:p w:rsidR="00E84B6B" w:rsidRDefault="00E84B6B">
      <w:pPr>
        <w:rPr>
          <w:rFonts w:ascii="Arial" w:eastAsiaTheme="majorEastAsia" w:hAnsi="Arial" w:cs="Arial"/>
          <w:b/>
          <w:color w:val="1F4E79" w:themeColor="accent1" w:themeShade="80"/>
          <w:sz w:val="20"/>
          <w:szCs w:val="20"/>
        </w:rPr>
      </w:pPr>
    </w:p>
    <w:p w:rsidR="00E84B6B" w:rsidRDefault="00E84B6B">
      <w:pPr>
        <w:rPr>
          <w:rFonts w:ascii="Arial" w:hAnsi="Arial" w:cs="Arial"/>
          <w:sz w:val="20"/>
          <w:szCs w:val="20"/>
        </w:rPr>
      </w:pPr>
    </w:p>
    <w:p w:rsidR="00E84B6B" w:rsidRDefault="00E84B6B">
      <w:pPr>
        <w:rPr>
          <w:rFonts w:ascii="Arial" w:hAnsi="Arial" w:cs="Arial"/>
          <w:sz w:val="20"/>
          <w:szCs w:val="20"/>
        </w:rPr>
      </w:pPr>
    </w:p>
    <w:p w:rsidR="00E84B6B" w:rsidRDefault="00E84B6B">
      <w:pPr>
        <w:rPr>
          <w:rFonts w:ascii="Arial" w:hAnsi="Arial" w:cs="Arial"/>
          <w:sz w:val="20"/>
          <w:szCs w:val="20"/>
        </w:rPr>
      </w:pPr>
    </w:p>
    <w:p w:rsidR="00E84B6B" w:rsidRDefault="00E84B6B">
      <w:pPr>
        <w:rPr>
          <w:rFonts w:ascii="Arial" w:hAnsi="Arial" w:cs="Arial"/>
          <w:sz w:val="20"/>
          <w:szCs w:val="20"/>
        </w:rPr>
      </w:pPr>
    </w:p>
    <w:p w:rsidR="00E84B6B" w:rsidRDefault="00E84B6B">
      <w:pPr>
        <w:rPr>
          <w:rFonts w:ascii="Arial" w:hAnsi="Arial" w:cs="Arial"/>
          <w:sz w:val="20"/>
          <w:szCs w:val="20"/>
        </w:rPr>
      </w:pPr>
    </w:p>
    <w:p w:rsidR="00E84B6B" w:rsidRDefault="00E84B6B">
      <w:pPr>
        <w:rPr>
          <w:rFonts w:ascii="Arial" w:hAnsi="Arial" w:cs="Arial"/>
          <w:sz w:val="20"/>
          <w:szCs w:val="20"/>
        </w:rPr>
      </w:pPr>
    </w:p>
    <w:p w:rsidR="00E84B6B" w:rsidRDefault="002F3177">
      <w:pPr>
        <w:rPr>
          <w:rFonts w:ascii="Arial" w:eastAsiaTheme="majorEastAsia" w:hAnsi="Arial" w:cs="Arial"/>
          <w:b/>
          <w:color w:val="1F4E79" w:themeColor="accent1" w:themeShade="80"/>
          <w:sz w:val="24"/>
          <w:szCs w:val="20"/>
        </w:rPr>
      </w:pPr>
      <w:bookmarkStart w:id="1" w:name="_Toc497208904"/>
      <w:r>
        <w:rPr>
          <w:rFonts w:ascii="Arial" w:hAnsi="Arial" w:cs="Arial"/>
          <w:b/>
          <w:color w:val="1F4E79" w:themeColor="accent1" w:themeShade="80"/>
          <w:sz w:val="24"/>
          <w:szCs w:val="20"/>
        </w:rPr>
        <w:br w:type="page"/>
      </w:r>
    </w:p>
    <w:p w:rsidR="00E84B6B" w:rsidRDefault="002F3177">
      <w:pPr>
        <w:pStyle w:val="Heading1"/>
        <w:rPr>
          <w:rFonts w:ascii="Arial" w:hAnsi="Arial" w:cs="Arial"/>
          <w:b/>
          <w:color w:val="1F4E79" w:themeColor="accent1" w:themeShade="80"/>
          <w:sz w:val="24"/>
          <w:szCs w:val="20"/>
        </w:rPr>
      </w:pPr>
      <w:r>
        <w:rPr>
          <w:rFonts w:ascii="Arial" w:hAnsi="Arial" w:cs="Arial"/>
          <w:b/>
          <w:color w:val="1F4E79" w:themeColor="accent1" w:themeShade="80"/>
          <w:sz w:val="24"/>
          <w:szCs w:val="20"/>
        </w:rPr>
        <w:lastRenderedPageBreak/>
        <w:t>Summary Instructions and Details of Contract</w:t>
      </w:r>
      <w:bookmarkEnd w:id="1"/>
    </w:p>
    <w:p w:rsidR="00E84B6B" w:rsidRDefault="00E84B6B">
      <w:pPr>
        <w:rPr>
          <w:rFonts w:ascii="Arial" w:hAnsi="Arial" w:cs="Arial"/>
          <w:b/>
          <w:sz w:val="20"/>
          <w:szCs w:val="20"/>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8"/>
        <w:gridCol w:w="6536"/>
      </w:tblGrid>
      <w:tr w:rsidR="00E84B6B">
        <w:trPr>
          <w:trHeight w:val="624"/>
        </w:trPr>
        <w:tc>
          <w:tcPr>
            <w:tcW w:w="2778" w:type="dxa"/>
            <w:shd w:val="clear" w:color="auto" w:fill="2E74B5" w:themeFill="accent1" w:themeFillShade="BF"/>
            <w:vAlign w:val="center"/>
          </w:tcPr>
          <w:p w:rsidR="00E84B6B" w:rsidRDefault="002F3177">
            <w:pPr>
              <w:tabs>
                <w:tab w:val="left" w:pos="2311"/>
              </w:tabs>
              <w:rPr>
                <w:rFonts w:ascii="Arial" w:hAnsi="Arial" w:cs="Arial"/>
                <w:b/>
                <w:color w:val="FFFFFF" w:themeColor="background1"/>
                <w:sz w:val="20"/>
                <w:szCs w:val="20"/>
              </w:rPr>
            </w:pPr>
            <w:r>
              <w:rPr>
                <w:rFonts w:ascii="Arial" w:hAnsi="Arial" w:cs="Arial"/>
                <w:b/>
                <w:color w:val="FFFFFF" w:themeColor="background1"/>
                <w:sz w:val="20"/>
                <w:szCs w:val="20"/>
              </w:rPr>
              <w:t>SUBJECT</w:t>
            </w:r>
          </w:p>
        </w:tc>
        <w:tc>
          <w:tcPr>
            <w:tcW w:w="6536" w:type="dxa"/>
            <w:shd w:val="clear" w:color="auto" w:fill="2E74B5" w:themeFill="accent1" w:themeFillShade="BF"/>
            <w:vAlign w:val="center"/>
          </w:tcPr>
          <w:p w:rsidR="00E84B6B" w:rsidRDefault="002F3177">
            <w:pPr>
              <w:tabs>
                <w:tab w:val="left" w:pos="2311"/>
              </w:tabs>
              <w:rPr>
                <w:rFonts w:ascii="Arial" w:hAnsi="Arial" w:cs="Arial"/>
                <w:b/>
                <w:color w:val="FFFFFF" w:themeColor="background1"/>
                <w:sz w:val="20"/>
                <w:szCs w:val="20"/>
              </w:rPr>
            </w:pPr>
            <w:r>
              <w:rPr>
                <w:rFonts w:ascii="Arial" w:hAnsi="Arial" w:cs="Arial"/>
                <w:b/>
                <w:color w:val="FFFFFF" w:themeColor="background1"/>
                <w:sz w:val="20"/>
                <w:szCs w:val="20"/>
              </w:rPr>
              <w:t>DETAILS</w:t>
            </w:r>
          </w:p>
        </w:tc>
      </w:tr>
      <w:tr w:rsidR="00E84B6B">
        <w:trPr>
          <w:trHeight w:val="289"/>
        </w:trPr>
        <w:tc>
          <w:tcPr>
            <w:tcW w:w="2778" w:type="dxa"/>
          </w:tcPr>
          <w:p w:rsidR="00E84B6B" w:rsidRDefault="00E84B6B">
            <w:pPr>
              <w:tabs>
                <w:tab w:val="left" w:pos="2311"/>
              </w:tabs>
              <w:rPr>
                <w:rFonts w:ascii="Arial" w:hAnsi="Arial" w:cs="Arial"/>
                <w:b/>
                <w:sz w:val="20"/>
                <w:szCs w:val="20"/>
              </w:rPr>
            </w:pPr>
          </w:p>
        </w:tc>
        <w:tc>
          <w:tcPr>
            <w:tcW w:w="6536" w:type="dxa"/>
          </w:tcPr>
          <w:p w:rsidR="00E84B6B" w:rsidRDefault="00E84B6B">
            <w:pPr>
              <w:tabs>
                <w:tab w:val="left" w:pos="2311"/>
              </w:tabs>
              <w:rPr>
                <w:rFonts w:ascii="Arial" w:hAnsi="Arial" w:cs="Arial"/>
                <w:sz w:val="20"/>
                <w:szCs w:val="20"/>
              </w:rPr>
            </w:pPr>
          </w:p>
        </w:tc>
      </w:tr>
      <w:tr w:rsidR="00E84B6B">
        <w:trPr>
          <w:trHeight w:val="1271"/>
        </w:trPr>
        <w:tc>
          <w:tcPr>
            <w:tcW w:w="2778" w:type="dxa"/>
          </w:tcPr>
          <w:p w:rsidR="00E84B6B" w:rsidRDefault="002F3177">
            <w:pPr>
              <w:tabs>
                <w:tab w:val="left" w:pos="2311"/>
              </w:tabs>
              <w:rPr>
                <w:rFonts w:ascii="Arial" w:hAnsi="Arial" w:cs="Arial"/>
                <w:sz w:val="20"/>
                <w:szCs w:val="20"/>
              </w:rPr>
            </w:pPr>
            <w:r>
              <w:rPr>
                <w:rFonts w:ascii="Arial" w:hAnsi="Arial" w:cs="Arial"/>
                <w:b/>
                <w:sz w:val="20"/>
                <w:szCs w:val="20"/>
              </w:rPr>
              <w:t>Contract Description</w:t>
            </w:r>
          </w:p>
        </w:tc>
        <w:tc>
          <w:tcPr>
            <w:tcW w:w="6536" w:type="dxa"/>
          </w:tcPr>
          <w:p w:rsidR="00E84B6B" w:rsidRDefault="002F3177">
            <w:pPr>
              <w:tabs>
                <w:tab w:val="left" w:pos="2311"/>
              </w:tabs>
              <w:rPr>
                <w:rFonts w:ascii="Arial" w:hAnsi="Arial" w:cs="Arial"/>
                <w:sz w:val="20"/>
                <w:szCs w:val="20"/>
              </w:rPr>
            </w:pPr>
            <w:r>
              <w:rPr>
                <w:rFonts w:ascii="Arial" w:hAnsi="Arial" w:cs="Arial"/>
                <w:sz w:val="20"/>
                <w:szCs w:val="20"/>
              </w:rPr>
              <w:t xml:space="preserve">The National Museum of the Royal Navy (NMRN) wishes to appoint an experienced contractor to work under the guidance of the Museum’s Historic Ships Team for the purposes of carrying out </w:t>
            </w:r>
            <w:r>
              <w:t>Refurbishment works to the Head Platform and Figurehead of HMS Warrior</w:t>
            </w:r>
            <w:r>
              <w:rPr>
                <w:rFonts w:ascii="Arial" w:hAnsi="Arial" w:cs="Arial"/>
                <w:sz w:val="20"/>
                <w:szCs w:val="20"/>
              </w:rPr>
              <w:t xml:space="preserve">.  </w:t>
            </w:r>
          </w:p>
        </w:tc>
      </w:tr>
      <w:tr w:rsidR="00E84B6B">
        <w:trPr>
          <w:trHeight w:val="967"/>
        </w:trPr>
        <w:tc>
          <w:tcPr>
            <w:tcW w:w="2778" w:type="dxa"/>
          </w:tcPr>
          <w:p w:rsidR="00E84B6B" w:rsidRDefault="002F3177">
            <w:pPr>
              <w:tabs>
                <w:tab w:val="left" w:pos="2311"/>
              </w:tabs>
              <w:rPr>
                <w:rFonts w:ascii="Arial" w:hAnsi="Arial" w:cs="Arial"/>
                <w:b/>
                <w:sz w:val="20"/>
                <w:szCs w:val="20"/>
              </w:rPr>
            </w:pPr>
            <w:r>
              <w:rPr>
                <w:rFonts w:ascii="Arial" w:hAnsi="Arial" w:cs="Arial"/>
                <w:b/>
                <w:sz w:val="20"/>
                <w:szCs w:val="20"/>
              </w:rPr>
              <w:t>Programme</w:t>
            </w:r>
          </w:p>
        </w:tc>
        <w:tc>
          <w:tcPr>
            <w:tcW w:w="6536" w:type="dxa"/>
          </w:tcPr>
          <w:p w:rsidR="00E84B6B" w:rsidRDefault="002F3177">
            <w:pPr>
              <w:tabs>
                <w:tab w:val="left" w:pos="2311"/>
              </w:tabs>
              <w:rPr>
                <w:rFonts w:ascii="Arial" w:hAnsi="Arial" w:cs="Arial"/>
                <w:sz w:val="20"/>
                <w:szCs w:val="20"/>
              </w:rPr>
            </w:pPr>
            <w:r>
              <w:rPr>
                <w:rFonts w:ascii="Arial" w:hAnsi="Arial" w:cs="Arial"/>
                <w:sz w:val="20"/>
                <w:szCs w:val="20"/>
              </w:rPr>
              <w:t>From September 2018</w:t>
            </w:r>
          </w:p>
        </w:tc>
      </w:tr>
      <w:tr w:rsidR="00E84B6B">
        <w:trPr>
          <w:trHeight w:val="995"/>
        </w:trPr>
        <w:tc>
          <w:tcPr>
            <w:tcW w:w="2778" w:type="dxa"/>
          </w:tcPr>
          <w:p w:rsidR="00E84B6B" w:rsidRDefault="002F3177">
            <w:pPr>
              <w:tabs>
                <w:tab w:val="left" w:pos="2311"/>
              </w:tabs>
              <w:rPr>
                <w:rFonts w:ascii="Arial" w:hAnsi="Arial" w:cs="Arial"/>
                <w:b/>
                <w:sz w:val="20"/>
                <w:szCs w:val="20"/>
              </w:rPr>
            </w:pPr>
            <w:r>
              <w:rPr>
                <w:rFonts w:ascii="Arial" w:hAnsi="Arial" w:cs="Arial"/>
                <w:b/>
                <w:sz w:val="20"/>
                <w:szCs w:val="20"/>
              </w:rPr>
              <w:t>NMRN Contact during tender period</w:t>
            </w:r>
          </w:p>
        </w:tc>
        <w:tc>
          <w:tcPr>
            <w:tcW w:w="6536" w:type="dxa"/>
          </w:tcPr>
          <w:p w:rsidR="00E84B6B" w:rsidRDefault="002F3177">
            <w:pPr>
              <w:tabs>
                <w:tab w:val="left" w:pos="2311"/>
              </w:tabs>
              <w:rPr>
                <w:rStyle w:val="Hyperlink"/>
                <w:rFonts w:ascii="Arial" w:hAnsi="Arial" w:cs="Arial"/>
                <w:b/>
                <w:color w:val="auto"/>
                <w:sz w:val="20"/>
                <w:szCs w:val="20"/>
                <w:u w:val="none"/>
              </w:rPr>
            </w:pPr>
            <w:r>
              <w:rPr>
                <w:rFonts w:ascii="Arial" w:hAnsi="Arial" w:cs="Arial"/>
                <w:sz w:val="20"/>
                <w:szCs w:val="20"/>
              </w:rPr>
              <w:t xml:space="preserve">Clarifications and enquiries during the tender process can be sent to </w:t>
            </w:r>
            <w:hyperlink r:id="rId11" w:history="1">
              <w:r>
                <w:rPr>
                  <w:rStyle w:val="Hyperlink"/>
                  <w:rFonts w:ascii="Arial" w:hAnsi="Arial" w:cs="Arial"/>
                  <w:sz w:val="20"/>
                  <w:szCs w:val="20"/>
                </w:rPr>
                <w:t>HST.procurement@nmrn.org.uk</w:t>
              </w:r>
            </w:hyperlink>
            <w:r>
              <w:rPr>
                <w:rStyle w:val="Hyperlink"/>
                <w:rFonts w:ascii="Arial" w:hAnsi="Arial" w:cs="Arial"/>
                <w:sz w:val="20"/>
                <w:szCs w:val="20"/>
              </w:rPr>
              <w:t xml:space="preserve">. </w:t>
            </w:r>
            <w:r>
              <w:rPr>
                <w:rStyle w:val="Hyperlink"/>
                <w:rFonts w:ascii="Arial" w:hAnsi="Arial" w:cs="Arial"/>
                <w:b/>
                <w:color w:val="auto"/>
                <w:sz w:val="20"/>
                <w:szCs w:val="20"/>
                <w:u w:val="none"/>
              </w:rPr>
              <w:t>Please note that this email address is different to the submission email.</w:t>
            </w:r>
          </w:p>
          <w:p w:rsidR="00E84B6B" w:rsidRDefault="00E84B6B">
            <w:pPr>
              <w:tabs>
                <w:tab w:val="left" w:pos="2311"/>
              </w:tabs>
              <w:rPr>
                <w:rFonts w:ascii="Arial" w:hAnsi="Arial" w:cs="Arial"/>
                <w:sz w:val="20"/>
                <w:szCs w:val="20"/>
              </w:rPr>
            </w:pPr>
          </w:p>
        </w:tc>
      </w:tr>
      <w:tr w:rsidR="00E84B6B">
        <w:trPr>
          <w:trHeight w:val="1012"/>
        </w:trPr>
        <w:tc>
          <w:tcPr>
            <w:tcW w:w="2778" w:type="dxa"/>
          </w:tcPr>
          <w:p w:rsidR="00E84B6B" w:rsidRDefault="002F3177">
            <w:pPr>
              <w:tabs>
                <w:tab w:val="left" w:pos="2311"/>
              </w:tabs>
              <w:rPr>
                <w:rFonts w:ascii="Arial" w:hAnsi="Arial" w:cs="Arial"/>
                <w:b/>
                <w:sz w:val="20"/>
                <w:szCs w:val="20"/>
              </w:rPr>
            </w:pPr>
            <w:r>
              <w:rPr>
                <w:rFonts w:ascii="Arial" w:hAnsi="Arial" w:cs="Arial"/>
                <w:b/>
                <w:sz w:val="20"/>
                <w:szCs w:val="20"/>
              </w:rPr>
              <w:t>Date of Tender Return</w:t>
            </w:r>
          </w:p>
        </w:tc>
        <w:tc>
          <w:tcPr>
            <w:tcW w:w="6536" w:type="dxa"/>
          </w:tcPr>
          <w:p w:rsidR="00E84B6B" w:rsidRDefault="002F3177">
            <w:pPr>
              <w:tabs>
                <w:tab w:val="left" w:pos="2311"/>
              </w:tabs>
              <w:rPr>
                <w:rFonts w:ascii="Arial" w:hAnsi="Arial" w:cs="Arial"/>
                <w:sz w:val="20"/>
                <w:szCs w:val="20"/>
              </w:rPr>
            </w:pPr>
            <w:r>
              <w:rPr>
                <w:rFonts w:ascii="Arial" w:hAnsi="Arial" w:cs="Arial"/>
                <w:sz w:val="20"/>
                <w:szCs w:val="20"/>
              </w:rPr>
              <w:t xml:space="preserve">Friday </w:t>
            </w:r>
            <w:r w:rsidR="00732679">
              <w:rPr>
                <w:rFonts w:ascii="Arial" w:hAnsi="Arial" w:cs="Arial"/>
                <w:sz w:val="20"/>
                <w:szCs w:val="20"/>
              </w:rPr>
              <w:t>13</w:t>
            </w:r>
            <w:r w:rsidR="00732679" w:rsidRPr="00732679">
              <w:rPr>
                <w:rFonts w:ascii="Arial" w:hAnsi="Arial" w:cs="Arial"/>
                <w:sz w:val="20"/>
                <w:szCs w:val="20"/>
                <w:vertAlign w:val="superscript"/>
              </w:rPr>
              <w:t>th</w:t>
            </w:r>
            <w:r w:rsidR="00732679">
              <w:rPr>
                <w:rFonts w:ascii="Arial" w:hAnsi="Arial" w:cs="Arial"/>
                <w:sz w:val="20"/>
                <w:szCs w:val="20"/>
              </w:rPr>
              <w:t xml:space="preserve"> July</w:t>
            </w:r>
            <w:r>
              <w:rPr>
                <w:rFonts w:ascii="Arial" w:hAnsi="Arial" w:cs="Arial"/>
                <w:sz w:val="20"/>
                <w:szCs w:val="20"/>
              </w:rPr>
              <w:t xml:space="preserve"> 2018,1</w:t>
            </w:r>
            <w:r w:rsidR="00732679">
              <w:rPr>
                <w:rFonts w:ascii="Arial" w:hAnsi="Arial" w:cs="Arial"/>
                <w:sz w:val="20"/>
                <w:szCs w:val="20"/>
              </w:rPr>
              <w:t>2</w:t>
            </w:r>
            <w:r>
              <w:rPr>
                <w:rFonts w:ascii="Arial" w:hAnsi="Arial" w:cs="Arial"/>
                <w:sz w:val="20"/>
                <w:szCs w:val="20"/>
              </w:rPr>
              <w:t>:00</w:t>
            </w:r>
          </w:p>
          <w:p w:rsidR="00E84B6B" w:rsidRDefault="002F3177">
            <w:pPr>
              <w:tabs>
                <w:tab w:val="left" w:pos="2311"/>
              </w:tabs>
              <w:rPr>
                <w:rFonts w:ascii="Arial" w:hAnsi="Arial" w:cs="Arial"/>
                <w:sz w:val="20"/>
                <w:szCs w:val="20"/>
              </w:rPr>
            </w:pPr>
            <w:r>
              <w:rPr>
                <w:rFonts w:ascii="Arial" w:hAnsi="Arial" w:cs="Arial"/>
                <w:b/>
                <w:sz w:val="20"/>
                <w:szCs w:val="20"/>
              </w:rPr>
              <w:t>Tender’s must be submitted to</w:t>
            </w:r>
            <w:r>
              <w:rPr>
                <w:rFonts w:ascii="Arial" w:hAnsi="Arial" w:cs="Arial"/>
                <w:sz w:val="20"/>
                <w:szCs w:val="20"/>
              </w:rPr>
              <w:t xml:space="preserve"> </w:t>
            </w:r>
            <w:hyperlink r:id="rId12" w:history="1">
              <w:r>
                <w:rPr>
                  <w:rStyle w:val="Hyperlink"/>
                  <w:rFonts w:ascii="Arial" w:hAnsi="Arial" w:cs="Arial"/>
                  <w:sz w:val="20"/>
                  <w:szCs w:val="20"/>
                </w:rPr>
                <w:t>tenders@nmrn.org.uk</w:t>
              </w:r>
            </w:hyperlink>
            <w:r>
              <w:rPr>
                <w:rFonts w:ascii="Arial" w:hAnsi="Arial" w:cs="Arial"/>
                <w:sz w:val="20"/>
                <w:szCs w:val="20"/>
              </w:rPr>
              <w:t xml:space="preserve">  </w:t>
            </w:r>
          </w:p>
        </w:tc>
      </w:tr>
      <w:tr w:rsidR="00E84B6B">
        <w:trPr>
          <w:trHeight w:val="1103"/>
        </w:trPr>
        <w:tc>
          <w:tcPr>
            <w:tcW w:w="2778" w:type="dxa"/>
          </w:tcPr>
          <w:p w:rsidR="00E84B6B" w:rsidRDefault="002F3177">
            <w:pPr>
              <w:tabs>
                <w:tab w:val="left" w:pos="2311"/>
              </w:tabs>
              <w:rPr>
                <w:rFonts w:ascii="Arial" w:hAnsi="Arial" w:cs="Arial"/>
                <w:b/>
                <w:sz w:val="20"/>
                <w:szCs w:val="20"/>
              </w:rPr>
            </w:pPr>
            <w:r>
              <w:rPr>
                <w:rFonts w:ascii="Arial" w:hAnsi="Arial" w:cs="Arial"/>
                <w:b/>
                <w:sz w:val="20"/>
                <w:szCs w:val="20"/>
              </w:rPr>
              <w:t>Content for Submission</w:t>
            </w:r>
          </w:p>
        </w:tc>
        <w:tc>
          <w:tcPr>
            <w:tcW w:w="6536" w:type="dxa"/>
          </w:tcPr>
          <w:p w:rsidR="00E84B6B" w:rsidRDefault="002F3177">
            <w:pPr>
              <w:tabs>
                <w:tab w:val="left" w:pos="2311"/>
              </w:tabs>
              <w:rPr>
                <w:rFonts w:ascii="Arial" w:hAnsi="Arial" w:cs="Arial"/>
                <w:sz w:val="20"/>
                <w:szCs w:val="20"/>
              </w:rPr>
            </w:pPr>
            <w:r>
              <w:rPr>
                <w:rFonts w:ascii="Arial" w:hAnsi="Arial" w:cs="Arial"/>
                <w:sz w:val="20"/>
                <w:szCs w:val="20"/>
              </w:rPr>
              <w:t xml:space="preserve">Content requirements for tender returns are listed in Annex 2 of this ITT. </w:t>
            </w:r>
          </w:p>
        </w:tc>
      </w:tr>
      <w:tr w:rsidR="00E84B6B">
        <w:trPr>
          <w:trHeight w:val="916"/>
        </w:trPr>
        <w:tc>
          <w:tcPr>
            <w:tcW w:w="2778" w:type="dxa"/>
          </w:tcPr>
          <w:p w:rsidR="00E84B6B" w:rsidRDefault="002F3177">
            <w:pPr>
              <w:tabs>
                <w:tab w:val="left" w:pos="2311"/>
              </w:tabs>
              <w:rPr>
                <w:rFonts w:ascii="Arial" w:hAnsi="Arial" w:cs="Arial"/>
                <w:b/>
                <w:sz w:val="20"/>
                <w:szCs w:val="20"/>
              </w:rPr>
            </w:pPr>
            <w:r>
              <w:rPr>
                <w:rFonts w:ascii="Arial" w:hAnsi="Arial" w:cs="Arial"/>
                <w:b/>
                <w:sz w:val="20"/>
                <w:szCs w:val="20"/>
              </w:rPr>
              <w:t>Last date for Clarifications</w:t>
            </w:r>
          </w:p>
        </w:tc>
        <w:tc>
          <w:tcPr>
            <w:tcW w:w="6536" w:type="dxa"/>
          </w:tcPr>
          <w:p w:rsidR="00E84B6B" w:rsidRDefault="00732679" w:rsidP="00732679">
            <w:pPr>
              <w:tabs>
                <w:tab w:val="left" w:pos="2311"/>
              </w:tabs>
              <w:rPr>
                <w:rFonts w:ascii="Arial" w:hAnsi="Arial" w:cs="Arial"/>
                <w:sz w:val="20"/>
                <w:szCs w:val="20"/>
              </w:rPr>
            </w:pPr>
            <w:r>
              <w:rPr>
                <w:rFonts w:ascii="Arial" w:hAnsi="Arial" w:cs="Arial"/>
                <w:sz w:val="20"/>
                <w:szCs w:val="20"/>
              </w:rPr>
              <w:t>Tuesday 3</w:t>
            </w:r>
            <w:r w:rsidRPr="00732679">
              <w:rPr>
                <w:rFonts w:ascii="Arial" w:hAnsi="Arial" w:cs="Arial"/>
                <w:sz w:val="20"/>
                <w:szCs w:val="20"/>
                <w:vertAlign w:val="superscript"/>
              </w:rPr>
              <w:t>rd</w:t>
            </w:r>
            <w:r>
              <w:rPr>
                <w:rFonts w:ascii="Arial" w:hAnsi="Arial" w:cs="Arial"/>
                <w:sz w:val="20"/>
                <w:szCs w:val="20"/>
              </w:rPr>
              <w:t xml:space="preserve"> July</w:t>
            </w:r>
            <w:r w:rsidR="002F3177">
              <w:rPr>
                <w:rFonts w:ascii="Arial" w:hAnsi="Arial" w:cs="Arial"/>
                <w:sz w:val="20"/>
                <w:szCs w:val="20"/>
              </w:rPr>
              <w:t xml:space="preserve"> 2018, 12:00</w:t>
            </w:r>
          </w:p>
        </w:tc>
      </w:tr>
      <w:tr w:rsidR="00E84B6B" w:rsidTr="00732679">
        <w:trPr>
          <w:trHeight w:val="327"/>
        </w:trPr>
        <w:tc>
          <w:tcPr>
            <w:tcW w:w="2778" w:type="dxa"/>
          </w:tcPr>
          <w:p w:rsidR="00E84B6B" w:rsidRDefault="00E84B6B">
            <w:pPr>
              <w:tabs>
                <w:tab w:val="left" w:pos="2311"/>
              </w:tabs>
              <w:rPr>
                <w:rFonts w:ascii="Arial" w:hAnsi="Arial" w:cs="Arial"/>
                <w:b/>
                <w:sz w:val="20"/>
                <w:szCs w:val="20"/>
              </w:rPr>
            </w:pPr>
          </w:p>
        </w:tc>
        <w:tc>
          <w:tcPr>
            <w:tcW w:w="6536" w:type="dxa"/>
          </w:tcPr>
          <w:p w:rsidR="00E84B6B" w:rsidRDefault="00E84B6B">
            <w:pPr>
              <w:tabs>
                <w:tab w:val="left" w:pos="2311"/>
              </w:tabs>
              <w:rPr>
                <w:rFonts w:ascii="Arial" w:hAnsi="Arial" w:cs="Arial"/>
                <w:sz w:val="20"/>
                <w:szCs w:val="20"/>
              </w:rPr>
            </w:pPr>
          </w:p>
        </w:tc>
      </w:tr>
    </w:tbl>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p w:rsidR="00E84B6B" w:rsidRDefault="002F3177">
      <w:pPr>
        <w:tabs>
          <w:tab w:val="left" w:pos="2311"/>
        </w:tabs>
        <w:rPr>
          <w:rFonts w:ascii="Arial" w:hAnsi="Arial" w:cs="Arial"/>
          <w:sz w:val="20"/>
          <w:szCs w:val="20"/>
        </w:rPr>
      </w:pPr>
      <w:r>
        <w:rPr>
          <w:rFonts w:ascii="Arial" w:hAnsi="Arial" w:cs="Arial"/>
          <w:sz w:val="20"/>
          <w:szCs w:val="20"/>
        </w:rPr>
        <w:t xml:space="preserve"> </w:t>
      </w:r>
    </w:p>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p w:rsidR="00E84B6B" w:rsidRDefault="00E84B6B">
      <w:pPr>
        <w:tabs>
          <w:tab w:val="left" w:pos="2311"/>
        </w:tabs>
        <w:rPr>
          <w:rFonts w:ascii="Arial" w:hAnsi="Arial" w:cs="Arial"/>
          <w:sz w:val="20"/>
          <w:szCs w:val="20"/>
        </w:rPr>
      </w:pPr>
    </w:p>
    <w:p w:rsidR="00E84B6B" w:rsidRDefault="002F3177">
      <w:pPr>
        <w:keepNext/>
        <w:keepLines/>
        <w:spacing w:before="240" w:after="0"/>
        <w:outlineLvl w:val="0"/>
        <w:rPr>
          <w:rFonts w:ascii="Calibri Light" w:eastAsia="MS Gothic" w:hAnsi="Calibri Light" w:cs="Times New Roman"/>
          <w:b/>
          <w:color w:val="2E74B5"/>
          <w:sz w:val="32"/>
          <w:szCs w:val="32"/>
        </w:rPr>
      </w:pPr>
      <w:r>
        <w:rPr>
          <w:rFonts w:ascii="Calibri Light" w:eastAsia="MS Gothic" w:hAnsi="Calibri Light" w:cs="Times New Roman"/>
          <w:b/>
          <w:color w:val="2E74B5"/>
          <w:sz w:val="32"/>
          <w:szCs w:val="32"/>
        </w:rPr>
        <w:lastRenderedPageBreak/>
        <w:t>Invitation to Tender for the Refurbishment of the Head Platform and Figurehead to HMS Warrior, Portsmouth.</w:t>
      </w:r>
    </w:p>
    <w:p w:rsidR="00E84B6B" w:rsidRDefault="002F3177">
      <w:pPr>
        <w:keepNext/>
        <w:keepLines/>
        <w:spacing w:after="0"/>
        <w:outlineLvl w:val="0"/>
        <w:rPr>
          <w:rFonts w:ascii="Calibri Light" w:eastAsia="MS Gothic" w:hAnsi="Calibri Light" w:cs="Times New Roman"/>
          <w:b/>
          <w:color w:val="2E74B5"/>
          <w:sz w:val="32"/>
          <w:szCs w:val="32"/>
        </w:rPr>
      </w:pPr>
      <w:r>
        <w:rPr>
          <w:rFonts w:ascii="Calibri Light" w:eastAsia="MS Gothic" w:hAnsi="Calibri Light" w:cs="Times New Roman"/>
          <w:b/>
          <w:color w:val="2E74B5"/>
          <w:sz w:val="32"/>
          <w:szCs w:val="32"/>
        </w:rPr>
        <w:t xml:space="preserve"> </w:t>
      </w:r>
    </w:p>
    <w:p w:rsidR="00E84B6B" w:rsidRDefault="00904A02">
      <w:pPr>
        <w:rPr>
          <w:rFonts w:ascii="Calibri" w:eastAsia="Calibri" w:hAnsi="Calibri" w:cs="Times New Roman"/>
        </w:rPr>
      </w:pPr>
      <w:r>
        <w:rPr>
          <w:rFonts w:ascii="Calibri" w:eastAsia="Calibri" w:hAnsi="Calibri" w:cs="Times New Roman"/>
        </w:rPr>
        <w:t xml:space="preserve">June </w:t>
      </w:r>
      <w:r w:rsidR="002F3177">
        <w:rPr>
          <w:rFonts w:ascii="Calibri" w:eastAsia="Calibri" w:hAnsi="Calibri" w:cs="Times New Roman"/>
        </w:rPr>
        <w:t>2018</w:t>
      </w:r>
    </w:p>
    <w:p w:rsidR="00E84B6B" w:rsidRDefault="00E84B6B">
      <w:pPr>
        <w:spacing w:after="0"/>
        <w:rPr>
          <w:rFonts w:ascii="Calibri" w:eastAsia="Calibri" w:hAnsi="Calibri" w:cs="Times New Roman"/>
        </w:rPr>
      </w:pPr>
    </w:p>
    <w:p w:rsidR="00E84B6B" w:rsidRDefault="002F3177">
      <w:pPr>
        <w:keepNext/>
        <w:keepLines/>
        <w:numPr>
          <w:ilvl w:val="0"/>
          <w:numId w:val="3"/>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t>Introduction</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HMS Warrior is based in Portsmouth and is under the ownership of the National Museum of the Royal Navy.</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 xml:space="preserve">Based on high-level visual inspection the Head Platform and Figurehead are in need of refurbishment and repair. </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The extent of the work needs to be confirmed by survey and inspection. However, for the purposes of tender the works are as set out in Section 2 below.</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 xml:space="preserve">As the ship is alongside a tidal jetty, the ship will move fore, aft and in and out from the jetty, this should be taken into account for the purposes of designing scaffolding, working platforms and undertaking the work.    </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 xml:space="preserve">This ITT requests for companies to quote for the work required for completion from September 2018. </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 xml:space="preserve">Contractors should take into account that the ship and jetty will be open to the public and staff throughout the works. </w:t>
      </w:r>
    </w:p>
    <w:p w:rsidR="00E84B6B" w:rsidRDefault="00E84B6B">
      <w:pPr>
        <w:ind w:left="720"/>
        <w:contextualSpacing/>
        <w:rPr>
          <w:rFonts w:ascii="Calibri" w:eastAsia="Calibri" w:hAnsi="Calibri" w:cs="Times New Roman"/>
        </w:rPr>
      </w:pPr>
    </w:p>
    <w:p w:rsidR="00E84B6B" w:rsidRDefault="002F3177">
      <w:pPr>
        <w:keepNext/>
        <w:keepLines/>
        <w:numPr>
          <w:ilvl w:val="0"/>
          <w:numId w:val="3"/>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t>Scope of Work</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 xml:space="preserve">The enclosed drawings show in detail the form of the Head Platform and associated components including guard rail, stanchions and Head Box. </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 xml:space="preserve">In order to tender for this work Contractors are required to attend site and inspect the areas of work for themselves. </w:t>
      </w: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The contractor is required to allow to undertake the following work on HMS Warrior:</w:t>
      </w:r>
    </w:p>
    <w:tbl>
      <w:tblPr>
        <w:tblStyle w:val="TableGrid"/>
        <w:tblW w:w="8302" w:type="dxa"/>
        <w:tblInd w:w="360" w:type="dxa"/>
        <w:tblLayout w:type="fixed"/>
        <w:tblLook w:val="04A0" w:firstRow="1" w:lastRow="0" w:firstColumn="1" w:lastColumn="0" w:noHBand="0" w:noVBand="1"/>
      </w:tblPr>
      <w:tblGrid>
        <w:gridCol w:w="588"/>
        <w:gridCol w:w="1387"/>
        <w:gridCol w:w="6327"/>
      </w:tblGrid>
      <w:tr w:rsidR="00E84B6B">
        <w:tc>
          <w:tcPr>
            <w:tcW w:w="588" w:type="dxa"/>
          </w:tcPr>
          <w:p w:rsidR="00E84B6B" w:rsidRDefault="002F3177">
            <w:pPr>
              <w:rPr>
                <w:rFonts w:ascii="Calibri" w:eastAsia="Calibri" w:hAnsi="Calibri" w:cs="Times New Roman"/>
                <w:b/>
              </w:rPr>
            </w:pPr>
            <w:r>
              <w:rPr>
                <w:rFonts w:ascii="Calibri" w:eastAsia="Calibri" w:hAnsi="Calibri" w:cs="Times New Roman"/>
                <w:b/>
              </w:rPr>
              <w:t>Ref.</w:t>
            </w:r>
          </w:p>
        </w:tc>
        <w:tc>
          <w:tcPr>
            <w:tcW w:w="1387" w:type="dxa"/>
          </w:tcPr>
          <w:p w:rsidR="00E84B6B" w:rsidRDefault="002F3177">
            <w:pPr>
              <w:rPr>
                <w:rFonts w:ascii="Calibri" w:eastAsia="Calibri" w:hAnsi="Calibri" w:cs="Times New Roman"/>
                <w:b/>
              </w:rPr>
            </w:pPr>
            <w:r>
              <w:rPr>
                <w:rFonts w:ascii="Calibri" w:eastAsia="Calibri" w:hAnsi="Calibri" w:cs="Times New Roman"/>
                <w:b/>
              </w:rPr>
              <w:t>Location</w:t>
            </w:r>
          </w:p>
        </w:tc>
        <w:tc>
          <w:tcPr>
            <w:tcW w:w="6327" w:type="dxa"/>
          </w:tcPr>
          <w:p w:rsidR="00E84B6B" w:rsidRDefault="002F3177">
            <w:pPr>
              <w:rPr>
                <w:rFonts w:ascii="Calibri" w:eastAsia="Calibri" w:hAnsi="Calibri" w:cs="Times New Roman"/>
                <w:b/>
              </w:rPr>
            </w:pPr>
            <w:r>
              <w:rPr>
                <w:rFonts w:ascii="Calibri" w:eastAsia="Calibri" w:hAnsi="Calibri" w:cs="Times New Roman"/>
                <w:b/>
              </w:rPr>
              <w:t>Action</w:t>
            </w:r>
          </w:p>
        </w:tc>
      </w:tr>
      <w:tr w:rsidR="00E84B6B">
        <w:tc>
          <w:tcPr>
            <w:tcW w:w="588" w:type="dxa"/>
          </w:tcPr>
          <w:p w:rsidR="00E84B6B" w:rsidRDefault="002F3177">
            <w:pPr>
              <w:rPr>
                <w:rFonts w:ascii="Calibri" w:eastAsia="Calibri" w:hAnsi="Calibri" w:cs="Times New Roman"/>
              </w:rPr>
            </w:pPr>
            <w:r>
              <w:rPr>
                <w:rFonts w:ascii="Calibri" w:eastAsia="Calibri" w:hAnsi="Calibri" w:cs="Times New Roman"/>
              </w:rPr>
              <w:t>1.</w:t>
            </w:r>
          </w:p>
        </w:tc>
        <w:tc>
          <w:tcPr>
            <w:tcW w:w="1387" w:type="dxa"/>
          </w:tcPr>
          <w:p w:rsidR="00E84B6B" w:rsidRDefault="002F3177">
            <w:pPr>
              <w:rPr>
                <w:rFonts w:ascii="Calibri" w:eastAsia="Calibri" w:hAnsi="Calibri" w:cs="Times New Roman"/>
              </w:rPr>
            </w:pPr>
            <w:r>
              <w:rPr>
                <w:rFonts w:ascii="Calibri" w:eastAsia="Calibri" w:hAnsi="Calibri" w:cs="Times New Roman"/>
              </w:rPr>
              <w:t>Head Platform</w:t>
            </w:r>
          </w:p>
        </w:tc>
        <w:tc>
          <w:tcPr>
            <w:tcW w:w="6327" w:type="dxa"/>
          </w:tcPr>
          <w:p w:rsidR="00E84B6B" w:rsidRDefault="002F3177">
            <w:pPr>
              <w:rPr>
                <w:rFonts w:ascii="Calibri" w:eastAsia="Calibri" w:hAnsi="Calibri" w:cs="Times New Roman"/>
              </w:rPr>
            </w:pPr>
            <w:r>
              <w:rPr>
                <w:rFonts w:ascii="Calibri" w:eastAsia="Calibri" w:hAnsi="Calibri" w:cs="Times New Roman"/>
              </w:rPr>
              <w:t>Fully refurbish the Head Platform including:</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Replace side cladding (timber battens) </w:t>
            </w:r>
          </w:p>
          <w:p w:rsidR="00E84B6B" w:rsidRDefault="002F3177">
            <w:pPr>
              <w:numPr>
                <w:ilvl w:val="0"/>
                <w:numId w:val="4"/>
              </w:numPr>
              <w:rPr>
                <w:rFonts w:ascii="Calibri" w:eastAsia="Calibri" w:hAnsi="Calibri" w:cs="Times New Roman"/>
              </w:rPr>
            </w:pPr>
            <w:r>
              <w:rPr>
                <w:rFonts w:ascii="Calibri" w:eastAsia="Calibri" w:hAnsi="Calibri" w:cs="Times New Roman"/>
              </w:rPr>
              <w:t>Assess condition and repair/replace the timber cross beams as the condition merits. Allow for replacement for the purposes of pricing.</w:t>
            </w:r>
          </w:p>
          <w:p w:rsidR="00E84B6B" w:rsidRDefault="002F3177">
            <w:pPr>
              <w:numPr>
                <w:ilvl w:val="0"/>
                <w:numId w:val="4"/>
              </w:numPr>
              <w:rPr>
                <w:rFonts w:ascii="Calibri" w:eastAsia="Calibri" w:hAnsi="Calibri" w:cs="Times New Roman"/>
              </w:rPr>
            </w:pPr>
            <w:r>
              <w:rPr>
                <w:rFonts w:ascii="Calibri" w:eastAsia="Calibri" w:hAnsi="Calibri" w:cs="Times New Roman"/>
              </w:rPr>
              <w:t>Replace main rail and mould</w:t>
            </w:r>
          </w:p>
          <w:p w:rsidR="00E84B6B" w:rsidRDefault="002F3177">
            <w:pPr>
              <w:numPr>
                <w:ilvl w:val="0"/>
                <w:numId w:val="4"/>
              </w:numPr>
              <w:rPr>
                <w:rFonts w:ascii="Calibri" w:eastAsia="Calibri" w:hAnsi="Calibri" w:cs="Times New Roman"/>
              </w:rPr>
            </w:pPr>
            <w:r>
              <w:rPr>
                <w:rFonts w:ascii="Calibri" w:eastAsia="Calibri" w:hAnsi="Calibri" w:cs="Times New Roman"/>
              </w:rPr>
              <w:t>Replace lower rail and mould</w:t>
            </w:r>
          </w:p>
          <w:p w:rsidR="00E84B6B" w:rsidRDefault="002F3177">
            <w:pPr>
              <w:numPr>
                <w:ilvl w:val="0"/>
                <w:numId w:val="4"/>
              </w:numPr>
              <w:rPr>
                <w:rFonts w:ascii="Calibri" w:eastAsia="Calibri" w:hAnsi="Calibri" w:cs="Times New Roman"/>
              </w:rPr>
            </w:pPr>
            <w:r>
              <w:rPr>
                <w:rFonts w:ascii="Calibri" w:eastAsia="Calibri" w:hAnsi="Calibri" w:cs="Times New Roman"/>
              </w:rPr>
              <w:t>Replace centre cladding</w:t>
            </w:r>
          </w:p>
          <w:p w:rsidR="00E84B6B" w:rsidRDefault="002F3177">
            <w:pPr>
              <w:numPr>
                <w:ilvl w:val="0"/>
                <w:numId w:val="4"/>
              </w:numPr>
              <w:rPr>
                <w:rFonts w:ascii="Calibri" w:eastAsia="Calibri" w:hAnsi="Calibri" w:cs="Times New Roman"/>
              </w:rPr>
            </w:pPr>
            <w:r>
              <w:rPr>
                <w:rFonts w:ascii="Calibri" w:eastAsia="Calibri" w:hAnsi="Calibri" w:cs="Times New Roman"/>
              </w:rPr>
              <w:t>Remove, shot blast and paint gratings</w:t>
            </w:r>
          </w:p>
          <w:p w:rsidR="00E84B6B" w:rsidRDefault="002F3177">
            <w:pPr>
              <w:numPr>
                <w:ilvl w:val="0"/>
                <w:numId w:val="4"/>
              </w:numPr>
              <w:rPr>
                <w:rFonts w:ascii="Calibri" w:eastAsia="Calibri" w:hAnsi="Calibri" w:cs="Times New Roman"/>
              </w:rPr>
            </w:pPr>
            <w:r>
              <w:rPr>
                <w:rFonts w:ascii="Calibri" w:eastAsia="Calibri" w:hAnsi="Calibri" w:cs="Times New Roman"/>
              </w:rPr>
              <w:t>Assess condition and repair/replace the aft head timber, mid head timber and fore head timber as condition merits. Allow for replacement for the purposes of pricing.</w:t>
            </w:r>
          </w:p>
          <w:p w:rsidR="00E84B6B" w:rsidRDefault="002F3177">
            <w:pPr>
              <w:numPr>
                <w:ilvl w:val="0"/>
                <w:numId w:val="4"/>
              </w:numPr>
              <w:rPr>
                <w:rFonts w:ascii="Calibri" w:eastAsia="Calibri" w:hAnsi="Calibri" w:cs="Times New Roman"/>
              </w:rPr>
            </w:pPr>
            <w:r>
              <w:rPr>
                <w:rFonts w:ascii="Calibri" w:eastAsia="Calibri" w:hAnsi="Calibri" w:cs="Times New Roman"/>
              </w:rPr>
              <w:t>HP FW wash 3000psi minimum, clean down all areas to be repaired or coated to remove all dirt, grease, oil, salts and other contamination.</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Prepare corroded areas by use of hand or power tools to achieve a minimum St3 standard as per ISO 8501-1:2007. The edges of sound surrounding coatings should be feathered back </w:t>
            </w:r>
            <w:r>
              <w:rPr>
                <w:rFonts w:ascii="Calibri" w:eastAsia="Calibri" w:hAnsi="Calibri" w:cs="Times New Roman"/>
              </w:rPr>
              <w:lastRenderedPageBreak/>
              <w:t xml:space="preserve">by 50mm Spot prime as necessary with International Paints </w:t>
            </w:r>
            <w:proofErr w:type="spellStart"/>
            <w:r>
              <w:rPr>
                <w:rFonts w:ascii="Calibri" w:eastAsia="Calibri" w:hAnsi="Calibri" w:cs="Times New Roman"/>
              </w:rPr>
              <w:t>Interseal</w:t>
            </w:r>
            <w:proofErr w:type="spellEnd"/>
            <w:r>
              <w:rPr>
                <w:rFonts w:ascii="Calibri" w:eastAsia="Calibri" w:hAnsi="Calibri" w:cs="Times New Roman"/>
              </w:rPr>
              <w:t xml:space="preserve"> 670HS aluminium thickness 125um to spot-primed areas.</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Abrade existing paint work to provide a key, remove all dust and debris. </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Apply 1 full coat of International Paints </w:t>
            </w:r>
            <w:proofErr w:type="spellStart"/>
            <w:r>
              <w:rPr>
                <w:rFonts w:ascii="Calibri" w:eastAsia="Calibri" w:hAnsi="Calibri" w:cs="Times New Roman"/>
              </w:rPr>
              <w:t>Interseal</w:t>
            </w:r>
            <w:proofErr w:type="spellEnd"/>
            <w:r>
              <w:rPr>
                <w:rFonts w:ascii="Calibri" w:eastAsia="Calibri" w:hAnsi="Calibri" w:cs="Times New Roman"/>
              </w:rPr>
              <w:t xml:space="preserve"> 670HS colour RAL 9005 Black, thickness 125um.</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Top Coat 1 full coat of International Paints </w:t>
            </w:r>
            <w:proofErr w:type="spellStart"/>
            <w:r>
              <w:rPr>
                <w:rFonts w:ascii="Calibri" w:eastAsia="Calibri" w:hAnsi="Calibri" w:cs="Times New Roman"/>
              </w:rPr>
              <w:t>Interthane</w:t>
            </w:r>
            <w:proofErr w:type="spellEnd"/>
            <w:r>
              <w:rPr>
                <w:rFonts w:ascii="Calibri" w:eastAsia="Calibri" w:hAnsi="Calibri" w:cs="Times New Roman"/>
              </w:rPr>
              <w:t xml:space="preserve"> 870 colour RAL 9005 Black, thickness 75um.</w:t>
            </w:r>
          </w:p>
          <w:p w:rsidR="00E84B6B" w:rsidRDefault="00E84B6B">
            <w:pPr>
              <w:rPr>
                <w:rFonts w:ascii="Calibri" w:eastAsia="Calibri" w:hAnsi="Calibri" w:cs="Times New Roman"/>
              </w:rPr>
            </w:pPr>
          </w:p>
        </w:tc>
      </w:tr>
      <w:tr w:rsidR="00E84B6B">
        <w:tc>
          <w:tcPr>
            <w:tcW w:w="588" w:type="dxa"/>
          </w:tcPr>
          <w:p w:rsidR="00E84B6B" w:rsidRDefault="002F3177">
            <w:pPr>
              <w:rPr>
                <w:rFonts w:ascii="Calibri" w:eastAsia="Calibri" w:hAnsi="Calibri" w:cs="Times New Roman"/>
              </w:rPr>
            </w:pPr>
            <w:r>
              <w:rPr>
                <w:rFonts w:ascii="Calibri" w:eastAsia="Calibri" w:hAnsi="Calibri" w:cs="Times New Roman"/>
              </w:rPr>
              <w:lastRenderedPageBreak/>
              <w:t>2.</w:t>
            </w:r>
          </w:p>
        </w:tc>
        <w:tc>
          <w:tcPr>
            <w:tcW w:w="1387" w:type="dxa"/>
          </w:tcPr>
          <w:p w:rsidR="00E84B6B" w:rsidRDefault="002F3177">
            <w:pPr>
              <w:rPr>
                <w:rFonts w:ascii="Calibri" w:eastAsia="Calibri" w:hAnsi="Calibri" w:cs="Times New Roman"/>
              </w:rPr>
            </w:pPr>
            <w:r>
              <w:rPr>
                <w:rFonts w:ascii="Calibri" w:eastAsia="Calibri" w:hAnsi="Calibri" w:cs="Times New Roman"/>
              </w:rPr>
              <w:t>Head Box</w:t>
            </w:r>
          </w:p>
        </w:tc>
        <w:tc>
          <w:tcPr>
            <w:tcW w:w="6327" w:type="dxa"/>
          </w:tcPr>
          <w:p w:rsidR="00E84B6B" w:rsidRDefault="002F3177">
            <w:pPr>
              <w:numPr>
                <w:ilvl w:val="0"/>
                <w:numId w:val="5"/>
              </w:numPr>
              <w:contextualSpacing/>
              <w:rPr>
                <w:rFonts w:ascii="Calibri" w:eastAsia="Calibri" w:hAnsi="Calibri" w:cs="Times New Roman"/>
              </w:rPr>
            </w:pPr>
            <w:r>
              <w:rPr>
                <w:rFonts w:ascii="Calibri" w:eastAsia="Calibri" w:hAnsi="Calibri" w:cs="Times New Roman"/>
              </w:rPr>
              <w:t>Inspect and assess condition of the steel and timber elements</w:t>
            </w:r>
          </w:p>
          <w:p w:rsidR="00E84B6B" w:rsidRDefault="002F3177">
            <w:pPr>
              <w:numPr>
                <w:ilvl w:val="0"/>
                <w:numId w:val="5"/>
              </w:numPr>
              <w:contextualSpacing/>
              <w:rPr>
                <w:rFonts w:ascii="Calibri" w:eastAsia="Calibri" w:hAnsi="Calibri" w:cs="Times New Roman"/>
              </w:rPr>
            </w:pPr>
            <w:r>
              <w:rPr>
                <w:rFonts w:ascii="Calibri" w:eastAsia="Calibri" w:hAnsi="Calibri" w:cs="Times New Roman"/>
              </w:rPr>
              <w:t>Recommend repair as appropriate</w:t>
            </w:r>
          </w:p>
          <w:p w:rsidR="00E84B6B" w:rsidRDefault="00E84B6B">
            <w:pPr>
              <w:rPr>
                <w:rFonts w:ascii="Calibri" w:eastAsia="Calibri" w:hAnsi="Calibri" w:cs="Times New Roman"/>
              </w:rPr>
            </w:pPr>
          </w:p>
          <w:p w:rsidR="00E84B6B" w:rsidRDefault="002F3177">
            <w:pPr>
              <w:rPr>
                <w:rFonts w:ascii="Calibri" w:eastAsia="Calibri" w:hAnsi="Calibri" w:cs="Times New Roman"/>
              </w:rPr>
            </w:pPr>
            <w:r>
              <w:rPr>
                <w:rFonts w:ascii="Calibri" w:eastAsia="Calibri" w:hAnsi="Calibri" w:cs="Times New Roman"/>
              </w:rPr>
              <w:t xml:space="preserve">For the purposes of pricing at this stage assume the following to be allowed allow for: </w:t>
            </w:r>
          </w:p>
          <w:p w:rsidR="00E84B6B" w:rsidRDefault="002F3177">
            <w:pPr>
              <w:numPr>
                <w:ilvl w:val="0"/>
                <w:numId w:val="6"/>
              </w:numPr>
              <w:contextualSpacing/>
              <w:rPr>
                <w:rFonts w:ascii="Calibri" w:eastAsia="Calibri" w:hAnsi="Calibri" w:cs="Times New Roman"/>
              </w:rPr>
            </w:pPr>
            <w:r>
              <w:rPr>
                <w:rFonts w:ascii="Calibri" w:eastAsia="Calibri" w:hAnsi="Calibri" w:cs="Times New Roman"/>
              </w:rPr>
              <w:t>Steel plate and inserted grating bar: HP Fresh Water wash 3000psi minimum, clean down all areas to be repaired or coated to remove all dirt, grease, oil, salts and other contamination. Prepare corroded areas by use of hand or power tools to achieve a minimum St3 standard as per ISO 8501-1:2007.</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Timber: Abrade existing paint work to provide a key, remove all dust and debris. </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Apply 1 full coat of International Paints </w:t>
            </w:r>
            <w:proofErr w:type="spellStart"/>
            <w:r>
              <w:rPr>
                <w:rFonts w:ascii="Calibri" w:eastAsia="Calibri" w:hAnsi="Calibri" w:cs="Times New Roman"/>
              </w:rPr>
              <w:t>Interseal</w:t>
            </w:r>
            <w:proofErr w:type="spellEnd"/>
            <w:r>
              <w:rPr>
                <w:rFonts w:ascii="Calibri" w:eastAsia="Calibri" w:hAnsi="Calibri" w:cs="Times New Roman"/>
              </w:rPr>
              <w:t xml:space="preserve"> 670HS colour RAL 9005 Black, thickness 125um.</w:t>
            </w:r>
          </w:p>
          <w:p w:rsidR="00E84B6B" w:rsidRDefault="002F3177">
            <w:pPr>
              <w:numPr>
                <w:ilvl w:val="0"/>
                <w:numId w:val="4"/>
              </w:numPr>
              <w:rPr>
                <w:rFonts w:ascii="Calibri" w:eastAsia="Calibri" w:hAnsi="Calibri" w:cs="Times New Roman"/>
              </w:rPr>
            </w:pPr>
            <w:r>
              <w:rPr>
                <w:rFonts w:ascii="Calibri" w:eastAsia="Calibri" w:hAnsi="Calibri" w:cs="Times New Roman"/>
              </w:rPr>
              <w:t xml:space="preserve">Top Coat 1 full coat of International Paints </w:t>
            </w:r>
            <w:proofErr w:type="spellStart"/>
            <w:r>
              <w:rPr>
                <w:rFonts w:ascii="Calibri" w:eastAsia="Calibri" w:hAnsi="Calibri" w:cs="Times New Roman"/>
              </w:rPr>
              <w:t>Interthane</w:t>
            </w:r>
            <w:proofErr w:type="spellEnd"/>
            <w:r>
              <w:rPr>
                <w:rFonts w:ascii="Calibri" w:eastAsia="Calibri" w:hAnsi="Calibri" w:cs="Times New Roman"/>
              </w:rPr>
              <w:t xml:space="preserve"> 870 colour RAL 9005 Black, thickness 75um.</w:t>
            </w:r>
          </w:p>
          <w:p w:rsidR="00E84B6B" w:rsidRDefault="00E84B6B">
            <w:pPr>
              <w:rPr>
                <w:rFonts w:ascii="Calibri" w:eastAsia="Calibri" w:hAnsi="Calibri" w:cs="Times New Roman"/>
              </w:rPr>
            </w:pPr>
          </w:p>
        </w:tc>
      </w:tr>
      <w:tr w:rsidR="00E84B6B">
        <w:tc>
          <w:tcPr>
            <w:tcW w:w="588" w:type="dxa"/>
          </w:tcPr>
          <w:p w:rsidR="00E84B6B" w:rsidRDefault="002F3177">
            <w:pPr>
              <w:rPr>
                <w:rFonts w:ascii="Calibri" w:eastAsia="Calibri" w:hAnsi="Calibri" w:cs="Times New Roman"/>
              </w:rPr>
            </w:pPr>
            <w:r>
              <w:rPr>
                <w:rFonts w:ascii="Calibri" w:eastAsia="Calibri" w:hAnsi="Calibri" w:cs="Times New Roman"/>
              </w:rPr>
              <w:t>3.</w:t>
            </w:r>
          </w:p>
        </w:tc>
        <w:tc>
          <w:tcPr>
            <w:tcW w:w="1387" w:type="dxa"/>
          </w:tcPr>
          <w:p w:rsidR="00E84B6B" w:rsidRDefault="002F3177">
            <w:pPr>
              <w:rPr>
                <w:rFonts w:ascii="Calibri" w:eastAsia="Calibri" w:hAnsi="Calibri" w:cs="Times New Roman"/>
              </w:rPr>
            </w:pPr>
            <w:r>
              <w:rPr>
                <w:rFonts w:ascii="Calibri" w:eastAsia="Calibri" w:hAnsi="Calibri" w:cs="Times New Roman"/>
              </w:rPr>
              <w:t>Guard rail</w:t>
            </w:r>
          </w:p>
        </w:tc>
        <w:tc>
          <w:tcPr>
            <w:tcW w:w="6327" w:type="dxa"/>
          </w:tcPr>
          <w:p w:rsidR="00E84B6B" w:rsidRDefault="002F3177">
            <w:pPr>
              <w:numPr>
                <w:ilvl w:val="0"/>
                <w:numId w:val="4"/>
              </w:numPr>
              <w:autoSpaceDE w:val="0"/>
              <w:autoSpaceDN w:val="0"/>
              <w:adjustRightInd w:val="0"/>
              <w:rPr>
                <w:rFonts w:ascii="Calibri" w:eastAsia="Calibri" w:hAnsi="Calibri" w:cs="Calibri"/>
                <w:color w:val="000000"/>
              </w:rPr>
            </w:pPr>
            <w:r>
              <w:rPr>
                <w:rFonts w:ascii="Calibri" w:eastAsia="Calibri" w:hAnsi="Calibri" w:cs="Calibri"/>
                <w:color w:val="000000"/>
              </w:rPr>
              <w:t>Remove canvas covers and replace with new</w:t>
            </w:r>
          </w:p>
          <w:p w:rsidR="00E84B6B" w:rsidRDefault="002F3177">
            <w:pPr>
              <w:numPr>
                <w:ilvl w:val="0"/>
                <w:numId w:val="4"/>
              </w:numPr>
              <w:autoSpaceDE w:val="0"/>
              <w:autoSpaceDN w:val="0"/>
              <w:adjustRightInd w:val="0"/>
              <w:rPr>
                <w:rFonts w:ascii="Calibri" w:eastAsia="Calibri" w:hAnsi="Calibri" w:cs="Calibri"/>
                <w:color w:val="000000"/>
              </w:rPr>
            </w:pPr>
            <w:r>
              <w:rPr>
                <w:rFonts w:ascii="Calibri" w:eastAsia="Calibri" w:hAnsi="Calibri" w:cs="Calibri"/>
                <w:color w:val="000000"/>
              </w:rPr>
              <w:t>Remove Guard rail (handrail and stanchions), shot blast back to bare metal and a holding coat applied.</w:t>
            </w:r>
          </w:p>
          <w:p w:rsidR="00E84B6B" w:rsidRDefault="002F3177">
            <w:pPr>
              <w:numPr>
                <w:ilvl w:val="0"/>
                <w:numId w:val="4"/>
              </w:numPr>
              <w:rPr>
                <w:rFonts w:ascii="Calibri" w:eastAsia="Calibri" w:hAnsi="Calibri" w:cs="Calibri"/>
              </w:rPr>
            </w:pPr>
            <w:r>
              <w:rPr>
                <w:rFonts w:ascii="Calibri" w:eastAsia="Calibri" w:hAnsi="Calibri" w:cs="Calibri"/>
              </w:rPr>
              <w:t xml:space="preserve">Apply 1 full coat of International Paints </w:t>
            </w:r>
            <w:proofErr w:type="spellStart"/>
            <w:r>
              <w:rPr>
                <w:rFonts w:ascii="Calibri" w:eastAsia="Calibri" w:hAnsi="Calibri" w:cs="Calibri"/>
              </w:rPr>
              <w:t>Interseal</w:t>
            </w:r>
            <w:proofErr w:type="spellEnd"/>
            <w:r>
              <w:rPr>
                <w:rFonts w:ascii="Calibri" w:eastAsia="Calibri" w:hAnsi="Calibri" w:cs="Calibri"/>
              </w:rPr>
              <w:t xml:space="preserve"> 670HS colour RAL 9005 Black, thickness 125um.</w:t>
            </w:r>
          </w:p>
          <w:p w:rsidR="00E84B6B" w:rsidRDefault="002F3177">
            <w:pPr>
              <w:numPr>
                <w:ilvl w:val="0"/>
                <w:numId w:val="4"/>
              </w:numPr>
              <w:rPr>
                <w:rFonts w:ascii="Calibri" w:eastAsia="Calibri" w:hAnsi="Calibri" w:cs="Calibri"/>
              </w:rPr>
            </w:pPr>
            <w:r>
              <w:rPr>
                <w:rFonts w:ascii="Calibri" w:eastAsia="Calibri" w:hAnsi="Calibri" w:cs="Calibri"/>
              </w:rPr>
              <w:t xml:space="preserve">Top Coat 1 full coat of International Paints </w:t>
            </w:r>
            <w:proofErr w:type="spellStart"/>
            <w:r>
              <w:rPr>
                <w:rFonts w:ascii="Calibri" w:eastAsia="Calibri" w:hAnsi="Calibri" w:cs="Calibri"/>
              </w:rPr>
              <w:t>Interthane</w:t>
            </w:r>
            <w:proofErr w:type="spellEnd"/>
            <w:r>
              <w:rPr>
                <w:rFonts w:ascii="Calibri" w:eastAsia="Calibri" w:hAnsi="Calibri" w:cs="Calibri"/>
              </w:rPr>
              <w:t xml:space="preserve"> 870 colour RAL 9005 Black, thickness 75um.</w:t>
            </w:r>
          </w:p>
          <w:p w:rsidR="00E84B6B" w:rsidRDefault="002F3177">
            <w:pPr>
              <w:numPr>
                <w:ilvl w:val="0"/>
                <w:numId w:val="4"/>
              </w:numPr>
              <w:rPr>
                <w:rFonts w:ascii="Calibri" w:eastAsia="Calibri" w:hAnsi="Calibri" w:cs="Calibri"/>
              </w:rPr>
            </w:pPr>
            <w:r>
              <w:rPr>
                <w:rFonts w:ascii="Calibri" w:eastAsia="Calibri" w:hAnsi="Calibri" w:cs="Calibri"/>
              </w:rPr>
              <w:t>Reinstate guard rail and canvas covers</w:t>
            </w:r>
          </w:p>
          <w:p w:rsidR="00E84B6B" w:rsidRDefault="00E84B6B">
            <w:pPr>
              <w:rPr>
                <w:rFonts w:ascii="Calibri" w:eastAsia="Calibri" w:hAnsi="Calibri" w:cs="Calibri"/>
              </w:rPr>
            </w:pPr>
          </w:p>
        </w:tc>
      </w:tr>
      <w:tr w:rsidR="00E84B6B">
        <w:tc>
          <w:tcPr>
            <w:tcW w:w="588" w:type="dxa"/>
          </w:tcPr>
          <w:p w:rsidR="00E84B6B" w:rsidRDefault="002F3177">
            <w:pPr>
              <w:rPr>
                <w:rFonts w:ascii="Calibri" w:eastAsia="Calibri" w:hAnsi="Calibri" w:cs="Times New Roman"/>
              </w:rPr>
            </w:pPr>
            <w:r>
              <w:rPr>
                <w:rFonts w:ascii="Calibri" w:eastAsia="Calibri" w:hAnsi="Calibri" w:cs="Times New Roman"/>
              </w:rPr>
              <w:t>4.</w:t>
            </w:r>
          </w:p>
        </w:tc>
        <w:tc>
          <w:tcPr>
            <w:tcW w:w="1387" w:type="dxa"/>
          </w:tcPr>
          <w:p w:rsidR="00E84B6B" w:rsidRDefault="002F3177">
            <w:pPr>
              <w:rPr>
                <w:rFonts w:ascii="Calibri" w:eastAsia="Calibri" w:hAnsi="Calibri" w:cs="Times New Roman"/>
              </w:rPr>
            </w:pPr>
            <w:r>
              <w:rPr>
                <w:rFonts w:ascii="Calibri" w:eastAsia="Calibri" w:hAnsi="Calibri" w:cs="Times New Roman"/>
              </w:rPr>
              <w:t>Beak Top</w:t>
            </w:r>
          </w:p>
        </w:tc>
        <w:tc>
          <w:tcPr>
            <w:tcW w:w="6327" w:type="dxa"/>
          </w:tcPr>
          <w:p w:rsidR="00E84B6B" w:rsidRDefault="002F3177">
            <w:pPr>
              <w:rPr>
                <w:rFonts w:ascii="Calibri" w:eastAsia="Calibri" w:hAnsi="Calibri" w:cs="Times New Roman"/>
              </w:rPr>
            </w:pPr>
            <w:r>
              <w:rPr>
                <w:rFonts w:ascii="Calibri" w:eastAsia="Calibri" w:hAnsi="Calibri" w:cs="Times New Roman"/>
              </w:rPr>
              <w:t xml:space="preserve">For the purposes of pricing at this stage assume the following to be allowed allow for: </w:t>
            </w:r>
          </w:p>
          <w:p w:rsidR="00E84B6B" w:rsidRDefault="002F3177">
            <w:pPr>
              <w:numPr>
                <w:ilvl w:val="0"/>
                <w:numId w:val="6"/>
              </w:numPr>
              <w:contextualSpacing/>
              <w:rPr>
                <w:rFonts w:ascii="Calibri" w:eastAsia="Calibri" w:hAnsi="Calibri" w:cs="Times New Roman"/>
              </w:rPr>
            </w:pPr>
            <w:r>
              <w:rPr>
                <w:rFonts w:ascii="Calibri" w:eastAsia="Calibri" w:hAnsi="Calibri" w:cs="Times New Roman"/>
              </w:rPr>
              <w:t>HP Fresh Water wash 3000psi minimum, clean down all areas to be repaired or coated to remove all dirt, grease, oil, salts and other contamination. Blast steelwork to achieve a minimum Sa 2.5 standard as per ISO 8501-1:2007.</w:t>
            </w:r>
          </w:p>
          <w:p w:rsidR="00E84B6B" w:rsidRDefault="002F3177">
            <w:pPr>
              <w:numPr>
                <w:ilvl w:val="0"/>
                <w:numId w:val="4"/>
              </w:numPr>
              <w:rPr>
                <w:rFonts w:ascii="Calibri" w:eastAsia="Calibri" w:hAnsi="Calibri" w:cs="Calibri"/>
              </w:rPr>
            </w:pPr>
            <w:r>
              <w:rPr>
                <w:rFonts w:ascii="Calibri" w:eastAsia="Calibri" w:hAnsi="Calibri" w:cs="Calibri"/>
              </w:rPr>
              <w:t xml:space="preserve">Apply 1 full coat of International Paints </w:t>
            </w:r>
            <w:proofErr w:type="spellStart"/>
            <w:r>
              <w:rPr>
                <w:rFonts w:ascii="Calibri" w:eastAsia="Calibri" w:hAnsi="Calibri" w:cs="Calibri"/>
              </w:rPr>
              <w:t>Interseal</w:t>
            </w:r>
            <w:proofErr w:type="spellEnd"/>
            <w:r>
              <w:rPr>
                <w:rFonts w:ascii="Calibri" w:eastAsia="Calibri" w:hAnsi="Calibri" w:cs="Calibri"/>
              </w:rPr>
              <w:t xml:space="preserve"> 670HS colour RAL 9005 Black, thickness 125um.</w:t>
            </w:r>
          </w:p>
          <w:p w:rsidR="00E84B6B" w:rsidRDefault="002F3177">
            <w:pPr>
              <w:numPr>
                <w:ilvl w:val="0"/>
                <w:numId w:val="4"/>
              </w:numPr>
              <w:rPr>
                <w:rFonts w:ascii="Calibri" w:eastAsia="Calibri" w:hAnsi="Calibri" w:cs="Calibri"/>
              </w:rPr>
            </w:pPr>
            <w:r>
              <w:rPr>
                <w:rFonts w:ascii="Calibri" w:eastAsia="Calibri" w:hAnsi="Calibri" w:cs="Calibri"/>
              </w:rPr>
              <w:t xml:space="preserve">Top Coat 1 full coat of International Paints </w:t>
            </w:r>
            <w:proofErr w:type="spellStart"/>
            <w:r>
              <w:rPr>
                <w:rFonts w:ascii="Calibri" w:eastAsia="Calibri" w:hAnsi="Calibri" w:cs="Calibri"/>
              </w:rPr>
              <w:t>Interthane</w:t>
            </w:r>
            <w:proofErr w:type="spellEnd"/>
            <w:r>
              <w:rPr>
                <w:rFonts w:ascii="Calibri" w:eastAsia="Calibri" w:hAnsi="Calibri" w:cs="Calibri"/>
              </w:rPr>
              <w:t xml:space="preserve"> 870 colour RAL 9005 Black, thickness 75um.</w:t>
            </w:r>
          </w:p>
          <w:p w:rsidR="00E84B6B" w:rsidRDefault="00E84B6B">
            <w:pPr>
              <w:autoSpaceDE w:val="0"/>
              <w:autoSpaceDN w:val="0"/>
              <w:adjustRightInd w:val="0"/>
              <w:rPr>
                <w:rFonts w:ascii="Calibri" w:eastAsia="Calibri" w:hAnsi="Calibri" w:cs="Calibri"/>
                <w:color w:val="000000"/>
              </w:rPr>
            </w:pPr>
          </w:p>
        </w:tc>
      </w:tr>
      <w:tr w:rsidR="00E84B6B">
        <w:tc>
          <w:tcPr>
            <w:tcW w:w="588" w:type="dxa"/>
          </w:tcPr>
          <w:p w:rsidR="00E84B6B" w:rsidRDefault="002F3177">
            <w:pPr>
              <w:rPr>
                <w:rFonts w:ascii="Calibri" w:eastAsia="Calibri" w:hAnsi="Calibri" w:cs="Times New Roman"/>
              </w:rPr>
            </w:pPr>
            <w:r>
              <w:rPr>
                <w:rFonts w:ascii="Calibri" w:eastAsia="Calibri" w:hAnsi="Calibri" w:cs="Times New Roman"/>
              </w:rPr>
              <w:t>5.</w:t>
            </w:r>
          </w:p>
        </w:tc>
        <w:tc>
          <w:tcPr>
            <w:tcW w:w="1387" w:type="dxa"/>
          </w:tcPr>
          <w:p w:rsidR="00E84B6B" w:rsidRDefault="002F3177">
            <w:pPr>
              <w:rPr>
                <w:rFonts w:ascii="Calibri" w:eastAsia="Calibri" w:hAnsi="Calibri" w:cs="Times New Roman"/>
              </w:rPr>
            </w:pPr>
            <w:r>
              <w:rPr>
                <w:rFonts w:ascii="Calibri" w:eastAsia="Calibri" w:hAnsi="Calibri" w:cs="Times New Roman"/>
              </w:rPr>
              <w:t>Figurehead</w:t>
            </w:r>
          </w:p>
        </w:tc>
        <w:tc>
          <w:tcPr>
            <w:tcW w:w="6327" w:type="dxa"/>
          </w:tcPr>
          <w:p w:rsidR="00E84B6B" w:rsidRDefault="002F3177">
            <w:pPr>
              <w:rPr>
                <w:rFonts w:ascii="Calibri" w:eastAsia="Calibri" w:hAnsi="Calibri" w:cs="Times New Roman"/>
              </w:rPr>
            </w:pPr>
            <w:r>
              <w:rPr>
                <w:rFonts w:ascii="Calibri" w:eastAsia="Calibri" w:hAnsi="Calibri" w:cs="Times New Roman"/>
              </w:rPr>
              <w:t>The Figurehead is showing signs of d</w:t>
            </w:r>
            <w:r w:rsidR="00904A02">
              <w:rPr>
                <w:rFonts w:ascii="Calibri" w:eastAsia="Calibri" w:hAnsi="Calibri" w:cs="Times New Roman"/>
              </w:rPr>
              <w:t>eterioration</w:t>
            </w:r>
            <w:r>
              <w:rPr>
                <w:rFonts w:ascii="Calibri" w:eastAsia="Calibri" w:hAnsi="Calibri" w:cs="Times New Roman"/>
              </w:rPr>
              <w:t xml:space="preserve"> especially around </w:t>
            </w:r>
            <w:r>
              <w:rPr>
                <w:rFonts w:ascii="Calibri" w:eastAsia="Calibri" w:hAnsi="Calibri" w:cs="Times New Roman"/>
              </w:rPr>
              <w:lastRenderedPageBreak/>
              <w:t xml:space="preserve">the areas where water sits within crevices and folds. The scope of the repair to the Figurehead needs to be agreed with the NMRN once access is secured. The aim of the work will be to consolidate the condition of the structure and make minor amendments to prevent ongoing water damage and penetration.  </w:t>
            </w:r>
            <w:r>
              <w:t>All repairs to be in yellow pine.</w:t>
            </w:r>
          </w:p>
          <w:p w:rsidR="00E84B6B" w:rsidRDefault="002F3177">
            <w:r>
              <w:t xml:space="preserve">For pricing purposes please allow for a full repaint and re-gild. </w:t>
            </w:r>
          </w:p>
          <w:p w:rsidR="00E84B6B" w:rsidRDefault="00E84B6B"/>
          <w:p w:rsidR="00E84B6B" w:rsidRDefault="002F3177">
            <w:r>
              <w:t xml:space="preserve">Please also state the applicable day-rate for a carver or similar to undertake the repairs required. </w:t>
            </w:r>
          </w:p>
          <w:p w:rsidR="00E84B6B" w:rsidRDefault="00E84B6B">
            <w:pPr>
              <w:rPr>
                <w:rFonts w:ascii="Calibri" w:eastAsia="Calibri" w:hAnsi="Calibri" w:cs="Times New Roman"/>
              </w:rPr>
            </w:pPr>
          </w:p>
        </w:tc>
      </w:tr>
      <w:tr w:rsidR="00E84B6B">
        <w:tc>
          <w:tcPr>
            <w:tcW w:w="588" w:type="dxa"/>
          </w:tcPr>
          <w:p w:rsidR="00E84B6B" w:rsidRDefault="002F3177">
            <w:pPr>
              <w:rPr>
                <w:rFonts w:ascii="Calibri" w:eastAsia="Calibri" w:hAnsi="Calibri" w:cs="Times New Roman"/>
              </w:rPr>
            </w:pPr>
            <w:r>
              <w:rPr>
                <w:rFonts w:ascii="Calibri" w:eastAsia="Calibri" w:hAnsi="Calibri" w:cs="Times New Roman"/>
              </w:rPr>
              <w:lastRenderedPageBreak/>
              <w:t>6.</w:t>
            </w:r>
          </w:p>
        </w:tc>
        <w:tc>
          <w:tcPr>
            <w:tcW w:w="1387" w:type="dxa"/>
          </w:tcPr>
          <w:p w:rsidR="00E84B6B" w:rsidRDefault="002F3177">
            <w:pPr>
              <w:rPr>
                <w:rFonts w:ascii="Calibri" w:eastAsia="Calibri" w:hAnsi="Calibri" w:cs="Times New Roman"/>
              </w:rPr>
            </w:pPr>
            <w:r>
              <w:rPr>
                <w:rFonts w:ascii="Calibri" w:eastAsia="Calibri" w:hAnsi="Calibri" w:cs="Times New Roman"/>
              </w:rPr>
              <w:t>Preliminaries</w:t>
            </w:r>
          </w:p>
        </w:tc>
        <w:tc>
          <w:tcPr>
            <w:tcW w:w="6327" w:type="dxa"/>
          </w:tcPr>
          <w:p w:rsidR="00E84B6B" w:rsidRDefault="002F3177">
            <w:pPr>
              <w:rPr>
                <w:rFonts w:ascii="Calibri" w:eastAsia="Calibri" w:hAnsi="Calibri" w:cs="Calibri"/>
              </w:rPr>
            </w:pPr>
            <w:r>
              <w:rPr>
                <w:rFonts w:ascii="Calibri" w:eastAsia="Calibri" w:hAnsi="Calibri" w:cs="Calibri"/>
              </w:rPr>
              <w:t>Within your tender please allow for the following:</w:t>
            </w:r>
          </w:p>
          <w:p w:rsidR="00E84B6B" w:rsidRDefault="00E84B6B">
            <w:pPr>
              <w:rPr>
                <w:rFonts w:ascii="Calibri" w:eastAsia="Calibri" w:hAnsi="Calibri" w:cs="Calibri"/>
              </w:rPr>
            </w:pPr>
          </w:p>
          <w:p w:rsidR="00E84B6B" w:rsidRDefault="002F3177">
            <w:pPr>
              <w:rPr>
                <w:rFonts w:ascii="Calibri" w:eastAsia="Calibri" w:hAnsi="Calibri" w:cs="Calibri"/>
              </w:rPr>
            </w:pPr>
            <w:r>
              <w:rPr>
                <w:rFonts w:ascii="Calibri" w:eastAsia="Calibri" w:hAnsi="Calibri" w:cs="Calibri"/>
              </w:rPr>
              <w:t>6.1 Within 5 days of commencement of works and following completion of all access installations (scaffolding</w:t>
            </w:r>
            <w:proofErr w:type="gramStart"/>
            <w:r>
              <w:rPr>
                <w:rFonts w:ascii="Calibri" w:eastAsia="Calibri" w:hAnsi="Calibri" w:cs="Calibri"/>
              </w:rPr>
              <w:t>)  INSPECT</w:t>
            </w:r>
            <w:proofErr w:type="gramEnd"/>
            <w:r>
              <w:rPr>
                <w:rFonts w:ascii="Calibri" w:eastAsia="Calibri" w:hAnsi="Calibri" w:cs="Calibri"/>
              </w:rPr>
              <w:t xml:space="preserve"> all areas of the works and record the results on an inspection report. </w:t>
            </w:r>
          </w:p>
          <w:p w:rsidR="00E84B6B" w:rsidRDefault="00E84B6B">
            <w:pPr>
              <w:rPr>
                <w:rFonts w:ascii="Calibri" w:eastAsia="Calibri" w:hAnsi="Calibri" w:cs="Calibri"/>
              </w:rPr>
            </w:pPr>
          </w:p>
          <w:p w:rsidR="00E84B6B" w:rsidRDefault="002F3177">
            <w:pPr>
              <w:rPr>
                <w:rFonts w:ascii="Calibri" w:eastAsia="Calibri" w:hAnsi="Calibri" w:cs="Calibri"/>
              </w:rPr>
            </w:pPr>
            <w:r>
              <w:rPr>
                <w:rFonts w:ascii="Calibri" w:eastAsia="Calibri" w:hAnsi="Calibri" w:cs="Calibri"/>
              </w:rPr>
              <w:t>6.2 Inspection report to be shared with the NMRN and any amendments to the scope of works to be priced and agreed accordingly. All works to be priced within 5 days.</w:t>
            </w:r>
          </w:p>
          <w:p w:rsidR="00E84B6B" w:rsidRDefault="00E84B6B">
            <w:pPr>
              <w:rPr>
                <w:rFonts w:ascii="Calibri" w:eastAsia="Calibri" w:hAnsi="Calibri" w:cs="Calibri"/>
              </w:rPr>
            </w:pPr>
          </w:p>
          <w:p w:rsidR="00E84B6B" w:rsidRDefault="002F3177">
            <w:pPr>
              <w:rPr>
                <w:rFonts w:ascii="Calibri" w:eastAsia="Calibri" w:hAnsi="Calibri" w:cs="Calibri"/>
              </w:rPr>
            </w:pPr>
            <w:r>
              <w:rPr>
                <w:rFonts w:ascii="Calibri" w:eastAsia="Calibri" w:hAnsi="Calibri" w:cs="Calibri"/>
              </w:rPr>
              <w:t xml:space="preserve">6.3 </w:t>
            </w:r>
            <w:r>
              <w:rPr>
                <w:rFonts w:ascii="Calibri" w:eastAsia="Calibri" w:hAnsi="Calibri" w:cs="Calibri"/>
                <w:lang w:val="en-US"/>
              </w:rPr>
              <w:t xml:space="preserve">In the interests of Health &amp; Safety compliance it is assumed that a </w:t>
            </w:r>
            <w:proofErr w:type="spellStart"/>
            <w:r>
              <w:rPr>
                <w:rFonts w:ascii="Calibri" w:eastAsia="Calibri" w:hAnsi="Calibri" w:cs="Calibri"/>
                <w:lang w:val="en-US"/>
              </w:rPr>
              <w:t>scaffolded</w:t>
            </w:r>
            <w:proofErr w:type="spellEnd"/>
            <w:r>
              <w:rPr>
                <w:rFonts w:ascii="Calibri" w:eastAsia="Calibri" w:hAnsi="Calibri" w:cs="Calibri"/>
                <w:lang w:val="en-US"/>
              </w:rPr>
              <w:t xml:space="preserve"> and shrink wrapped enclosure is required for the execution of the works. Any blast cleaning and painting process will take place within the enclosure. </w:t>
            </w:r>
          </w:p>
          <w:p w:rsidR="00E84B6B" w:rsidRDefault="00E84B6B">
            <w:pPr>
              <w:rPr>
                <w:rFonts w:ascii="Calibri" w:eastAsia="Calibri" w:hAnsi="Calibri" w:cs="Calibri"/>
              </w:rPr>
            </w:pPr>
          </w:p>
          <w:p w:rsidR="00E84B6B" w:rsidRDefault="002F3177">
            <w:pPr>
              <w:rPr>
                <w:rFonts w:ascii="Calibri" w:eastAsia="Calibri" w:hAnsi="Calibri" w:cs="Calibri"/>
              </w:rPr>
            </w:pPr>
            <w:r>
              <w:rPr>
                <w:rFonts w:ascii="Calibri" w:eastAsia="Calibri" w:hAnsi="Calibri" w:cs="Calibri"/>
              </w:rPr>
              <w:t xml:space="preserve">6.4 </w:t>
            </w:r>
            <w:r>
              <w:rPr>
                <w:rFonts w:ascii="Calibri" w:eastAsia="Calibri" w:hAnsi="Calibri" w:cs="Calibri"/>
                <w:lang w:eastAsia="en-GB"/>
              </w:rPr>
              <w:t>The access structure should be designed and installed in such a way as to avoid any fixings into the historic fabric of the vessel.</w:t>
            </w:r>
          </w:p>
          <w:p w:rsidR="00E84B6B" w:rsidRDefault="00E84B6B">
            <w:pPr>
              <w:rPr>
                <w:rFonts w:ascii="Calibri" w:eastAsia="Calibri" w:hAnsi="Calibri" w:cs="Calibri"/>
                <w:lang w:val="en-US"/>
              </w:rPr>
            </w:pPr>
          </w:p>
          <w:p w:rsidR="00E84B6B" w:rsidRDefault="002F3177">
            <w:pPr>
              <w:rPr>
                <w:rFonts w:ascii="Calibri" w:eastAsia="Calibri" w:hAnsi="Calibri" w:cs="Calibri"/>
                <w:lang w:val="en-US"/>
              </w:rPr>
            </w:pPr>
            <w:r>
              <w:rPr>
                <w:rFonts w:ascii="Calibri" w:eastAsia="Calibri" w:hAnsi="Calibri" w:cs="Calibri"/>
                <w:lang w:val="en-US"/>
              </w:rPr>
              <w:t>6.5 All displaced shrouds and stays need to be temporarily and safely secured as required but the NMRN will provide the in-house expertise to assist with this.</w:t>
            </w:r>
          </w:p>
          <w:p w:rsidR="00E84B6B" w:rsidRDefault="00E84B6B">
            <w:pPr>
              <w:rPr>
                <w:rFonts w:ascii="Calibri" w:eastAsia="Calibri" w:hAnsi="Calibri" w:cs="Calibri"/>
                <w:lang w:val="en-US"/>
              </w:rPr>
            </w:pPr>
          </w:p>
          <w:p w:rsidR="00E84B6B" w:rsidRDefault="002F3177">
            <w:pPr>
              <w:spacing w:after="200"/>
              <w:jc w:val="both"/>
              <w:rPr>
                <w:rFonts w:ascii="Calibri" w:eastAsia="Calibri" w:hAnsi="Calibri" w:cs="Calibri"/>
              </w:rPr>
            </w:pPr>
            <w:r>
              <w:rPr>
                <w:rFonts w:ascii="Calibri" w:eastAsia="Calibri" w:hAnsi="Calibri" w:cs="Calibri"/>
                <w:lang w:val="en-US" w:eastAsia="en-GB"/>
              </w:rPr>
              <w:t xml:space="preserve">6.6 The </w:t>
            </w:r>
            <w:r>
              <w:rPr>
                <w:rFonts w:ascii="Calibri" w:eastAsia="Calibri" w:hAnsi="Calibri" w:cs="Calibri"/>
              </w:rPr>
              <w:t xml:space="preserve">NMRN Historic Ships Team Representative is to be given full access at all times to the work in progress and to all drawings, models, samples, and articles or items of any kind appertaining to the work. </w:t>
            </w:r>
          </w:p>
          <w:p w:rsidR="00E84B6B" w:rsidRDefault="002F3177">
            <w:pPr>
              <w:spacing w:after="200"/>
              <w:jc w:val="both"/>
              <w:rPr>
                <w:rFonts w:ascii="Calibri" w:eastAsia="Calibri" w:hAnsi="Calibri" w:cs="Calibri"/>
              </w:rPr>
            </w:pPr>
            <w:r>
              <w:rPr>
                <w:rFonts w:ascii="Calibri" w:eastAsia="Calibri" w:hAnsi="Calibri" w:cs="Calibri"/>
              </w:rPr>
              <w:t xml:space="preserve">6.7 </w:t>
            </w:r>
            <w:r>
              <w:rPr>
                <w:rFonts w:ascii="Calibri" w:eastAsia="Calibri" w:hAnsi="Calibri" w:cs="Calibri"/>
                <w:lang w:val="en-US" w:eastAsia="en-GB"/>
              </w:rPr>
              <w:t xml:space="preserve">The </w:t>
            </w:r>
            <w:r>
              <w:rPr>
                <w:rFonts w:ascii="Calibri" w:eastAsia="Calibri" w:hAnsi="Calibri" w:cs="Calibri"/>
              </w:rPr>
              <w:t xml:space="preserve">NMRN Historic Ships Team Representative shall have the right to reject any workmanship, article, or material which does not meet the relevant specified standard or is not considered fit for purpose. This includes sub-contracted work. </w:t>
            </w:r>
          </w:p>
          <w:p w:rsidR="00E84B6B" w:rsidRDefault="002F3177">
            <w:pPr>
              <w:spacing w:after="200"/>
              <w:jc w:val="both"/>
              <w:rPr>
                <w:rFonts w:ascii="Calibri" w:eastAsia="Calibri" w:hAnsi="Calibri" w:cs="Calibri"/>
              </w:rPr>
            </w:pPr>
            <w:r>
              <w:rPr>
                <w:rFonts w:ascii="Calibri" w:eastAsia="Calibri" w:hAnsi="Calibri" w:cs="Calibri"/>
              </w:rPr>
              <w:t xml:space="preserve">6.8 </w:t>
            </w:r>
            <w:r>
              <w:rPr>
                <w:rFonts w:ascii="Calibri" w:eastAsia="Calibri" w:hAnsi="Calibri" w:cs="Calibri"/>
                <w:lang w:val="en-US" w:eastAsia="en-GB"/>
              </w:rPr>
              <w:t xml:space="preserve">The </w:t>
            </w:r>
            <w:r>
              <w:rPr>
                <w:rFonts w:ascii="Calibri" w:eastAsia="Calibri" w:hAnsi="Calibri" w:cs="Calibri"/>
              </w:rPr>
              <w:t>NMRN Historic Ships Team Representative has the right to view all subcontracted costs submitted to the main contractor. All subcontract costs / material costs etc. must be made available a minimum of three days prior to completion.</w:t>
            </w:r>
          </w:p>
          <w:p w:rsidR="00E84B6B" w:rsidRDefault="002F3177">
            <w:pPr>
              <w:autoSpaceDE w:val="0"/>
              <w:autoSpaceDN w:val="0"/>
              <w:adjustRightInd w:val="0"/>
              <w:jc w:val="both"/>
              <w:rPr>
                <w:rFonts w:ascii="Calibri" w:eastAsia="Calibri" w:hAnsi="Calibri" w:cs="Calibri"/>
                <w:color w:val="000000"/>
              </w:rPr>
            </w:pPr>
            <w:r>
              <w:rPr>
                <w:rFonts w:ascii="Calibri" w:eastAsia="Calibri" w:hAnsi="Calibri" w:cs="Calibri"/>
                <w:color w:val="000000"/>
              </w:rPr>
              <w:t xml:space="preserve">6.9 The work required by this specification includes the following and all related costs are the contractor’s responsibility : </w:t>
            </w:r>
          </w:p>
          <w:p w:rsidR="00E84B6B" w:rsidRDefault="00E84B6B">
            <w:pPr>
              <w:autoSpaceDE w:val="0"/>
              <w:autoSpaceDN w:val="0"/>
              <w:adjustRightInd w:val="0"/>
              <w:jc w:val="both"/>
              <w:rPr>
                <w:rFonts w:ascii="Calibri" w:eastAsia="Calibri" w:hAnsi="Calibri" w:cs="Calibri"/>
                <w:color w:val="000000"/>
              </w:rPr>
            </w:pPr>
          </w:p>
          <w:p w:rsidR="00E84B6B" w:rsidRDefault="002F3177">
            <w:pPr>
              <w:autoSpaceDE w:val="0"/>
              <w:autoSpaceDN w:val="0"/>
              <w:adjustRightInd w:val="0"/>
              <w:jc w:val="both"/>
              <w:rPr>
                <w:rFonts w:ascii="Calibri" w:eastAsia="Calibri" w:hAnsi="Calibri" w:cs="Calibri"/>
                <w:color w:val="000000"/>
              </w:rPr>
            </w:pPr>
            <w:r>
              <w:rPr>
                <w:rFonts w:ascii="Calibri" w:eastAsia="Calibri" w:hAnsi="Calibri" w:cs="Calibri"/>
                <w:color w:val="000000"/>
              </w:rPr>
              <w:lastRenderedPageBreak/>
              <w:t xml:space="preserve">a) REMOVAL and subsequent RE-INSTATEMENT of any parts, equipment and fittings etc. required to discharge the work. </w:t>
            </w:r>
            <w:proofErr w:type="gramStart"/>
            <w:r>
              <w:rPr>
                <w:rFonts w:ascii="Calibri" w:eastAsia="Calibri" w:hAnsi="Calibri" w:cs="Calibri"/>
                <w:color w:val="000000"/>
              </w:rPr>
              <w:t>i.e</w:t>
            </w:r>
            <w:proofErr w:type="gramEnd"/>
            <w:r>
              <w:rPr>
                <w:rFonts w:ascii="Calibri" w:eastAsia="Calibri" w:hAnsi="Calibri" w:cs="Calibri"/>
                <w:color w:val="000000"/>
              </w:rPr>
              <w:t xml:space="preserve">. all work in way. Where possible work in way has been detailed, however this is only indicative and the contractor must satisfy their self that they include in their costings all work in way to fully discharge the work and the successful setting to work of the equipment / system on completion. </w:t>
            </w:r>
          </w:p>
          <w:p w:rsidR="00E84B6B" w:rsidRDefault="00E84B6B">
            <w:pPr>
              <w:autoSpaceDE w:val="0"/>
              <w:autoSpaceDN w:val="0"/>
              <w:adjustRightInd w:val="0"/>
              <w:jc w:val="both"/>
              <w:rPr>
                <w:rFonts w:ascii="Calibri" w:eastAsia="Calibri" w:hAnsi="Calibri" w:cs="Calibri"/>
                <w:color w:val="000000"/>
              </w:rPr>
            </w:pPr>
          </w:p>
          <w:p w:rsidR="00E84B6B" w:rsidRDefault="002F3177">
            <w:pPr>
              <w:autoSpaceDE w:val="0"/>
              <w:autoSpaceDN w:val="0"/>
              <w:adjustRightInd w:val="0"/>
              <w:jc w:val="both"/>
              <w:rPr>
                <w:rFonts w:ascii="Calibri" w:eastAsia="Calibri" w:hAnsi="Calibri" w:cs="Calibri"/>
                <w:color w:val="000000"/>
              </w:rPr>
            </w:pPr>
            <w:r>
              <w:rPr>
                <w:rFonts w:ascii="Calibri" w:eastAsia="Calibri" w:hAnsi="Calibri" w:cs="Calibri"/>
                <w:color w:val="000000"/>
              </w:rPr>
              <w:t>b) RENEWAL or REPLACEMENT of all missing, damaged, broken or excessively worn nuts, bolts, studs, screws, keys, split pins, washers, shims and parts of a similar nature removed in course of any work or observed during an INSPECTION.</w:t>
            </w:r>
          </w:p>
          <w:p w:rsidR="00E84B6B" w:rsidRDefault="002F3177">
            <w:pPr>
              <w:autoSpaceDE w:val="0"/>
              <w:autoSpaceDN w:val="0"/>
              <w:adjustRightInd w:val="0"/>
              <w:jc w:val="both"/>
              <w:rPr>
                <w:rFonts w:ascii="Calibri" w:eastAsia="Calibri" w:hAnsi="Calibri" w:cs="Calibri"/>
                <w:color w:val="000000"/>
              </w:rPr>
            </w:pPr>
            <w:r>
              <w:rPr>
                <w:rFonts w:ascii="Calibri" w:eastAsia="Calibri" w:hAnsi="Calibri" w:cs="Calibri"/>
                <w:color w:val="000000"/>
              </w:rPr>
              <w:t xml:space="preserve"> </w:t>
            </w:r>
          </w:p>
          <w:p w:rsidR="00E84B6B" w:rsidRDefault="002F3177">
            <w:pPr>
              <w:autoSpaceDE w:val="0"/>
              <w:autoSpaceDN w:val="0"/>
              <w:adjustRightInd w:val="0"/>
              <w:jc w:val="both"/>
              <w:rPr>
                <w:rFonts w:ascii="Calibri" w:eastAsia="Calibri" w:hAnsi="Calibri" w:cs="Calibri"/>
                <w:color w:val="000000"/>
              </w:rPr>
            </w:pPr>
            <w:r>
              <w:rPr>
                <w:rFonts w:ascii="Calibri" w:eastAsia="Calibri" w:hAnsi="Calibri" w:cs="Calibri"/>
                <w:color w:val="000000"/>
              </w:rPr>
              <w:t xml:space="preserve">c) Ensuring that all replacement parts used, conform to the original design specification and that the quality is equal to or greater than that of the original design specification. Certification is to be provided with new equipment, including where appropriate class approval, or test / calibration certificates. </w:t>
            </w:r>
          </w:p>
          <w:p w:rsidR="00E84B6B" w:rsidRDefault="00E84B6B">
            <w:pPr>
              <w:autoSpaceDE w:val="0"/>
              <w:autoSpaceDN w:val="0"/>
              <w:adjustRightInd w:val="0"/>
              <w:jc w:val="both"/>
              <w:rPr>
                <w:rFonts w:ascii="Calibri" w:eastAsia="Calibri" w:hAnsi="Calibri" w:cs="Calibri"/>
                <w:color w:val="000000"/>
              </w:rPr>
            </w:pPr>
          </w:p>
          <w:p w:rsidR="00E84B6B" w:rsidRDefault="002F3177">
            <w:pPr>
              <w:autoSpaceDE w:val="0"/>
              <w:autoSpaceDN w:val="0"/>
              <w:adjustRightInd w:val="0"/>
              <w:jc w:val="both"/>
              <w:rPr>
                <w:rFonts w:ascii="Calibri" w:eastAsia="Calibri" w:hAnsi="Calibri" w:cs="Calibri"/>
                <w:color w:val="000000"/>
              </w:rPr>
            </w:pPr>
            <w:r>
              <w:rPr>
                <w:rFonts w:ascii="Calibri" w:eastAsia="Calibri" w:hAnsi="Calibri" w:cs="Calibri"/>
                <w:color w:val="000000"/>
              </w:rPr>
              <w:t xml:space="preserve">d) REPRESERVATION and painting of all equipment and fittings, machinery systems, all signage etc. and the repair of any damaged paintwork arising from any of the work undertaken. </w:t>
            </w:r>
          </w:p>
          <w:p w:rsidR="00E84B6B" w:rsidRDefault="00E84B6B">
            <w:pPr>
              <w:autoSpaceDE w:val="0"/>
              <w:autoSpaceDN w:val="0"/>
              <w:adjustRightInd w:val="0"/>
              <w:jc w:val="both"/>
              <w:rPr>
                <w:rFonts w:ascii="Calibri" w:eastAsia="Calibri" w:hAnsi="Calibri" w:cs="Calibri"/>
                <w:color w:val="000000"/>
              </w:rPr>
            </w:pPr>
          </w:p>
          <w:p w:rsidR="00E84B6B" w:rsidRDefault="002F3177">
            <w:pPr>
              <w:autoSpaceDE w:val="0"/>
              <w:autoSpaceDN w:val="0"/>
              <w:adjustRightInd w:val="0"/>
              <w:jc w:val="both"/>
              <w:rPr>
                <w:rFonts w:ascii="Calibri" w:eastAsia="Calibri" w:hAnsi="Calibri" w:cs="Calibri"/>
                <w:color w:val="000000"/>
              </w:rPr>
            </w:pPr>
            <w:r>
              <w:rPr>
                <w:rFonts w:ascii="Calibri" w:eastAsia="Calibri" w:hAnsi="Calibri" w:cs="Calibri"/>
                <w:color w:val="000000"/>
              </w:rPr>
              <w:t xml:space="preserve">e) Correct reassembly, alignment and setting to work in accordance with the manufacturers most up to date specification of all equipment and systems fitted, refitted, repaired or opened up for INSPECTION and OVERHAUL and for the subsequent successful operation of complete systems. </w:t>
            </w:r>
          </w:p>
          <w:p w:rsidR="00E84B6B" w:rsidRDefault="00E84B6B">
            <w:pPr>
              <w:autoSpaceDE w:val="0"/>
              <w:autoSpaceDN w:val="0"/>
              <w:adjustRightInd w:val="0"/>
              <w:jc w:val="both"/>
              <w:rPr>
                <w:rFonts w:ascii="Calibri" w:eastAsia="Calibri" w:hAnsi="Calibri" w:cs="Calibri"/>
                <w:color w:val="000000"/>
              </w:rPr>
            </w:pPr>
          </w:p>
          <w:p w:rsidR="00E84B6B" w:rsidRDefault="002F3177">
            <w:pPr>
              <w:spacing w:after="200"/>
              <w:jc w:val="both"/>
              <w:rPr>
                <w:rFonts w:ascii="Calibri" w:eastAsia="Calibri" w:hAnsi="Calibri" w:cs="Calibri"/>
              </w:rPr>
            </w:pPr>
            <w:r>
              <w:rPr>
                <w:rFonts w:ascii="Calibri" w:eastAsia="Calibri" w:hAnsi="Calibri" w:cs="Calibri"/>
              </w:rPr>
              <w:t xml:space="preserve">f) INSTALLATION of any parts, equipment and fittings etc. required to discharge the work. </w:t>
            </w:r>
            <w:proofErr w:type="gramStart"/>
            <w:r>
              <w:rPr>
                <w:rFonts w:ascii="Calibri" w:eastAsia="Calibri" w:hAnsi="Calibri" w:cs="Calibri"/>
              </w:rPr>
              <w:t>i.e</w:t>
            </w:r>
            <w:proofErr w:type="gramEnd"/>
            <w:r>
              <w:rPr>
                <w:rFonts w:ascii="Calibri" w:eastAsia="Calibri" w:hAnsi="Calibri" w:cs="Calibri"/>
              </w:rPr>
              <w:t xml:space="preserve">. all work in way. Where possible work in way has been detailed, however this is only indicative and the contractor must satisfy their self that they include in their costings all work in way to fully discharge the work and the successful setting to work of the equipment / system on completion. </w:t>
            </w:r>
          </w:p>
          <w:p w:rsidR="00E84B6B" w:rsidRDefault="00E84B6B">
            <w:pPr>
              <w:rPr>
                <w:rFonts w:ascii="Calibri" w:eastAsia="Calibri" w:hAnsi="Calibri" w:cs="Calibri"/>
              </w:rPr>
            </w:pPr>
          </w:p>
        </w:tc>
      </w:tr>
    </w:tbl>
    <w:p w:rsidR="00E84B6B" w:rsidRDefault="00E84B6B">
      <w:pPr>
        <w:rPr>
          <w:rFonts w:ascii="Calibri" w:eastAsia="Calibri" w:hAnsi="Calibri" w:cs="Times New Roman"/>
        </w:rPr>
      </w:pPr>
    </w:p>
    <w:p w:rsidR="00E84B6B" w:rsidRDefault="002F3177">
      <w:pPr>
        <w:ind w:firstLine="360"/>
        <w:rPr>
          <w:rFonts w:ascii="Calibri" w:eastAsia="Calibri" w:hAnsi="Calibri" w:cs="Times New Roman"/>
        </w:rPr>
      </w:pPr>
      <w:r>
        <w:rPr>
          <w:rFonts w:ascii="Calibri" w:eastAsia="Calibri" w:hAnsi="Calibri" w:cs="Times New Roman"/>
        </w:rPr>
        <w:t>2.4</w:t>
      </w:r>
      <w:r>
        <w:rPr>
          <w:rFonts w:ascii="Calibri" w:eastAsia="Calibri" w:hAnsi="Calibri" w:cs="Times New Roman"/>
        </w:rPr>
        <w:tab/>
        <w:t>All quantities are at the contractor’s risk to estimate.</w:t>
      </w:r>
    </w:p>
    <w:p w:rsidR="00E84B6B" w:rsidRDefault="00E84B6B">
      <w:pPr>
        <w:spacing w:after="0"/>
        <w:ind w:left="1080"/>
        <w:rPr>
          <w:rFonts w:ascii="Calibri" w:eastAsia="Calibri" w:hAnsi="Calibri" w:cs="Times New Roman"/>
        </w:rPr>
      </w:pPr>
    </w:p>
    <w:p w:rsidR="00E84B6B" w:rsidRDefault="002F3177">
      <w:pPr>
        <w:keepNext/>
        <w:keepLines/>
        <w:numPr>
          <w:ilvl w:val="0"/>
          <w:numId w:val="3"/>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t>Additional Requirements</w:t>
      </w:r>
    </w:p>
    <w:p w:rsidR="00E84B6B" w:rsidRDefault="00E84B6B">
      <w:pPr>
        <w:spacing w:after="0"/>
        <w:rPr>
          <w:rFonts w:ascii="Calibri" w:eastAsia="Calibri" w:hAnsi="Calibri" w:cs="Times New Roman"/>
        </w:rPr>
      </w:pPr>
    </w:p>
    <w:p w:rsidR="00E84B6B" w:rsidRDefault="002F3177">
      <w:pPr>
        <w:numPr>
          <w:ilvl w:val="1"/>
          <w:numId w:val="3"/>
        </w:numPr>
        <w:spacing w:after="0"/>
        <w:contextualSpacing/>
        <w:rPr>
          <w:rFonts w:ascii="Calibri" w:eastAsia="Calibri" w:hAnsi="Calibri" w:cs="Times New Roman"/>
          <w:b/>
        </w:rPr>
      </w:pPr>
      <w:r>
        <w:rPr>
          <w:rFonts w:ascii="Calibri" w:eastAsia="Calibri" w:hAnsi="Calibri" w:cs="Times New Roman"/>
          <w:b/>
        </w:rPr>
        <w:t xml:space="preserve"> Materials and equipment supplied by the Contractor</w:t>
      </w:r>
    </w:p>
    <w:p w:rsidR="00E84B6B" w:rsidRDefault="002F3177">
      <w:pPr>
        <w:numPr>
          <w:ilvl w:val="2"/>
          <w:numId w:val="3"/>
        </w:numPr>
        <w:contextualSpacing/>
        <w:rPr>
          <w:rFonts w:ascii="Calibri" w:eastAsia="Calibri" w:hAnsi="Calibri" w:cs="Times New Roman"/>
        </w:rPr>
      </w:pPr>
      <w:r>
        <w:rPr>
          <w:rFonts w:ascii="Calibri" w:eastAsia="Calibri" w:hAnsi="Calibri" w:cs="Times New Roman"/>
        </w:rPr>
        <w:t>The contractor is required to provide:</w:t>
      </w:r>
    </w:p>
    <w:p w:rsidR="00E84B6B" w:rsidRDefault="002F3177">
      <w:pPr>
        <w:numPr>
          <w:ilvl w:val="0"/>
          <w:numId w:val="7"/>
        </w:numPr>
        <w:contextualSpacing/>
        <w:rPr>
          <w:rFonts w:ascii="Calibri" w:eastAsia="Calibri" w:hAnsi="Calibri" w:cs="Times New Roman"/>
        </w:rPr>
      </w:pPr>
      <w:r>
        <w:rPr>
          <w:rFonts w:ascii="Calibri" w:eastAsia="Calibri" w:hAnsi="Calibri" w:cs="Times New Roman"/>
        </w:rPr>
        <w:t>All materials, tools and access equipment necessary to perform the work to a high standard and in a safe manner.</w:t>
      </w:r>
    </w:p>
    <w:p w:rsidR="00E84B6B" w:rsidRDefault="002F3177">
      <w:pPr>
        <w:numPr>
          <w:ilvl w:val="0"/>
          <w:numId w:val="7"/>
        </w:numPr>
        <w:contextualSpacing/>
        <w:rPr>
          <w:rFonts w:ascii="Calibri" w:eastAsia="Calibri" w:hAnsi="Calibri" w:cs="Times New Roman"/>
        </w:rPr>
      </w:pPr>
      <w:r>
        <w:rPr>
          <w:rFonts w:ascii="Calibri" w:eastAsia="Calibri" w:hAnsi="Calibri" w:cs="Times New Roman"/>
        </w:rPr>
        <w:t>Rope access teams, if required, should be in possession of the relevant qualifications and be in date.</w:t>
      </w:r>
    </w:p>
    <w:p w:rsidR="00E84B6B" w:rsidRDefault="002F3177">
      <w:pPr>
        <w:numPr>
          <w:ilvl w:val="0"/>
          <w:numId w:val="7"/>
        </w:numPr>
        <w:contextualSpacing/>
        <w:rPr>
          <w:rFonts w:ascii="Calibri" w:eastAsia="Calibri" w:hAnsi="Calibri" w:cs="Times New Roman"/>
        </w:rPr>
      </w:pPr>
      <w:r>
        <w:rPr>
          <w:rFonts w:ascii="Calibri" w:eastAsia="Calibri" w:hAnsi="Calibri" w:cs="Times New Roman"/>
        </w:rPr>
        <w:lastRenderedPageBreak/>
        <w:t>Ships fittings, rigging, structural members and the bowsprit are to be protected during throughout the works and every effort should be taken to ensure that no damage is caused by ropes, access equipment or scaffolding.</w:t>
      </w:r>
    </w:p>
    <w:p w:rsidR="00E84B6B" w:rsidRDefault="002F3177">
      <w:pPr>
        <w:numPr>
          <w:ilvl w:val="2"/>
          <w:numId w:val="3"/>
        </w:numPr>
        <w:contextualSpacing/>
        <w:rPr>
          <w:rFonts w:ascii="Calibri" w:eastAsia="Calibri" w:hAnsi="Calibri" w:cs="Times New Roman"/>
        </w:rPr>
      </w:pPr>
      <w:r>
        <w:rPr>
          <w:rFonts w:ascii="Calibri" w:eastAsia="Calibri" w:hAnsi="Calibri" w:cs="Times New Roman"/>
        </w:rPr>
        <w:t>THE NMRN can provide barriers for exclusion zones as required.</w:t>
      </w:r>
    </w:p>
    <w:p w:rsidR="00E84B6B" w:rsidRDefault="002F3177">
      <w:pPr>
        <w:numPr>
          <w:ilvl w:val="2"/>
          <w:numId w:val="3"/>
        </w:numPr>
        <w:contextualSpacing/>
        <w:rPr>
          <w:rFonts w:ascii="Calibri" w:eastAsia="Calibri" w:hAnsi="Calibri" w:cs="Times New Roman"/>
        </w:rPr>
      </w:pPr>
      <w:r>
        <w:rPr>
          <w:rFonts w:ascii="Calibri" w:eastAsia="Calibri" w:hAnsi="Calibri" w:cs="Times New Roman"/>
        </w:rPr>
        <w:t>The supplier must organise their own disposal of any hazardous substances.</w:t>
      </w:r>
    </w:p>
    <w:p w:rsidR="00E84B6B" w:rsidRDefault="002F3177">
      <w:pPr>
        <w:numPr>
          <w:ilvl w:val="2"/>
          <w:numId w:val="3"/>
        </w:numPr>
        <w:contextualSpacing/>
        <w:rPr>
          <w:rFonts w:ascii="Calibri" w:eastAsia="Calibri" w:hAnsi="Calibri" w:cs="Times New Roman"/>
        </w:rPr>
      </w:pPr>
      <w:r>
        <w:rPr>
          <w:rFonts w:ascii="Calibri" w:eastAsia="Calibri" w:hAnsi="Calibri" w:cs="Times New Roman"/>
        </w:rPr>
        <w:t xml:space="preserve">No materials, debris or waste should be allowed to fall into the Harbour. </w:t>
      </w:r>
    </w:p>
    <w:p w:rsidR="00E84B6B" w:rsidRDefault="00E84B6B">
      <w:pPr>
        <w:ind w:left="1429"/>
        <w:contextualSpacing/>
        <w:rPr>
          <w:rFonts w:ascii="Calibri" w:eastAsia="Calibri" w:hAnsi="Calibri" w:cs="Times New Roman"/>
        </w:rPr>
      </w:pPr>
    </w:p>
    <w:p w:rsidR="00E84B6B" w:rsidRDefault="002F3177">
      <w:pPr>
        <w:numPr>
          <w:ilvl w:val="1"/>
          <w:numId w:val="3"/>
        </w:numPr>
        <w:contextualSpacing/>
        <w:rPr>
          <w:rFonts w:ascii="Calibri" w:eastAsia="Calibri" w:hAnsi="Calibri" w:cs="Times New Roman"/>
        </w:rPr>
      </w:pPr>
      <w:r>
        <w:rPr>
          <w:rFonts w:ascii="Calibri" w:eastAsia="Calibri" w:hAnsi="Calibri" w:cs="Times New Roman"/>
        </w:rPr>
        <w:t xml:space="preserve"> </w:t>
      </w:r>
      <w:r>
        <w:rPr>
          <w:rFonts w:ascii="Calibri" w:eastAsia="Calibri" w:hAnsi="Calibri" w:cs="Times New Roman"/>
          <w:b/>
        </w:rPr>
        <w:t>Condition Statement</w:t>
      </w:r>
    </w:p>
    <w:p w:rsidR="00E84B6B" w:rsidRDefault="002F3177">
      <w:pPr>
        <w:numPr>
          <w:ilvl w:val="2"/>
          <w:numId w:val="3"/>
        </w:numPr>
        <w:spacing w:before="240" w:after="0" w:line="276" w:lineRule="auto"/>
        <w:jc w:val="both"/>
        <w:rPr>
          <w:rFonts w:ascii="Calibri" w:eastAsia="Calibri" w:hAnsi="Calibri" w:cs="Calibri"/>
          <w:b/>
          <w:u w:val="single"/>
        </w:rPr>
      </w:pPr>
      <w:r>
        <w:rPr>
          <w:rFonts w:ascii="Calibri" w:eastAsia="Calibri" w:hAnsi="Calibri" w:cs="Calibri"/>
        </w:rPr>
        <w:t xml:space="preserve">On completion of the work, the contractor is required to provide evidence of paint thicknesses taken at regular intervals. Photographs documenting before and after work is complete would prove a valuable record of the condition and actions taken.  </w:t>
      </w:r>
    </w:p>
    <w:p w:rsidR="00E84B6B" w:rsidRDefault="002F3177">
      <w:pPr>
        <w:numPr>
          <w:ilvl w:val="1"/>
          <w:numId w:val="3"/>
        </w:numPr>
        <w:spacing w:before="240" w:after="0" w:line="276" w:lineRule="auto"/>
        <w:jc w:val="both"/>
        <w:rPr>
          <w:rFonts w:ascii="Arial" w:eastAsia="Calibri" w:hAnsi="Arial" w:cs="Arial"/>
          <w:b/>
          <w:sz w:val="20"/>
          <w:u w:val="single"/>
        </w:rPr>
      </w:pPr>
      <w:r>
        <w:rPr>
          <w:rFonts w:ascii="Arial" w:eastAsia="Calibri" w:hAnsi="Arial" w:cs="Arial"/>
          <w:b/>
          <w:sz w:val="20"/>
        </w:rPr>
        <w:t>Health &amp; Safety</w:t>
      </w:r>
    </w:p>
    <w:p w:rsidR="00E84B6B" w:rsidRDefault="002F3177">
      <w:pPr>
        <w:numPr>
          <w:ilvl w:val="2"/>
          <w:numId w:val="3"/>
        </w:numPr>
        <w:contextualSpacing/>
        <w:rPr>
          <w:rFonts w:ascii="Calibri" w:eastAsia="Calibri" w:hAnsi="Calibri" w:cs="Times New Roman"/>
        </w:rPr>
      </w:pPr>
      <w:r>
        <w:rPr>
          <w:rFonts w:ascii="Calibri" w:eastAsia="Calibri" w:hAnsi="Calibri" w:cs="Times New Roman"/>
        </w:rPr>
        <w:t>All materials and equipment used by the contractor or their subcontractors must comply with IOSH and COSHH best practice.</w:t>
      </w:r>
    </w:p>
    <w:p w:rsidR="00E84B6B" w:rsidRDefault="002F3177">
      <w:pPr>
        <w:numPr>
          <w:ilvl w:val="2"/>
          <w:numId w:val="3"/>
        </w:numPr>
        <w:contextualSpacing/>
        <w:rPr>
          <w:rFonts w:ascii="Calibri" w:eastAsia="Calibri" w:hAnsi="Calibri" w:cs="Times New Roman"/>
        </w:rPr>
      </w:pPr>
      <w:r>
        <w:rPr>
          <w:rFonts w:ascii="Calibri" w:eastAsia="Calibri" w:hAnsi="Calibri" w:cs="Times New Roman"/>
        </w:rPr>
        <w:t>Work can only commence when Risk Assessments and Method Statements provided by the contractor have been provided and signed off by the NMRN’s Historic Ships Team.</w:t>
      </w:r>
    </w:p>
    <w:p w:rsidR="00E84B6B" w:rsidRDefault="00E84B6B">
      <w:pPr>
        <w:ind w:left="1429"/>
        <w:contextualSpacing/>
        <w:rPr>
          <w:rFonts w:ascii="Calibri" w:eastAsia="Calibri" w:hAnsi="Calibri" w:cs="Times New Roman"/>
        </w:rPr>
      </w:pPr>
    </w:p>
    <w:p w:rsidR="00E84B6B" w:rsidRDefault="002F3177">
      <w:pPr>
        <w:numPr>
          <w:ilvl w:val="1"/>
          <w:numId w:val="3"/>
        </w:numPr>
        <w:contextualSpacing/>
        <w:rPr>
          <w:rFonts w:ascii="Calibri" w:eastAsia="Calibri" w:hAnsi="Calibri" w:cs="Times New Roman"/>
          <w:b/>
        </w:rPr>
      </w:pPr>
      <w:r>
        <w:rPr>
          <w:rFonts w:ascii="Calibri" w:eastAsia="Calibri" w:hAnsi="Calibri" w:cs="Times New Roman"/>
          <w:b/>
        </w:rPr>
        <w:t>Quotations</w:t>
      </w:r>
    </w:p>
    <w:p w:rsidR="00E84B6B" w:rsidRDefault="002F3177">
      <w:pPr>
        <w:spacing w:after="0"/>
        <w:ind w:left="720"/>
        <w:rPr>
          <w:rFonts w:ascii="Calibri" w:eastAsia="Calibri" w:hAnsi="Calibri" w:cs="Times New Roman"/>
        </w:rPr>
      </w:pPr>
      <w:r>
        <w:rPr>
          <w:rFonts w:ascii="Calibri" w:eastAsia="Calibri" w:hAnsi="Calibri" w:cs="Times New Roman"/>
        </w:rPr>
        <w:t>3.4.1     A fixed price lump sum (Excl. VAT) is required for this task.</w:t>
      </w:r>
    </w:p>
    <w:p w:rsidR="00E84B6B" w:rsidRDefault="002F3177">
      <w:pPr>
        <w:spacing w:after="0"/>
        <w:ind w:left="1440" w:hanging="720"/>
        <w:rPr>
          <w:rFonts w:ascii="Calibri" w:eastAsia="Calibri" w:hAnsi="Calibri" w:cs="Times New Roman"/>
        </w:rPr>
      </w:pPr>
      <w:r>
        <w:rPr>
          <w:rFonts w:ascii="Calibri" w:eastAsia="Calibri" w:hAnsi="Calibri" w:cs="Times New Roman"/>
        </w:rPr>
        <w:t xml:space="preserve">3.4.2. </w:t>
      </w:r>
      <w:r>
        <w:rPr>
          <w:rFonts w:ascii="Calibri" w:eastAsia="Calibri" w:hAnsi="Calibri" w:cs="Times New Roman"/>
        </w:rPr>
        <w:tab/>
        <w:t>The cost should account for down time that may be incurred due to bad weather. The supplier will not be able to charge the NMRN further costs during the contract due to bad weather.</w:t>
      </w:r>
    </w:p>
    <w:p w:rsidR="00E84B6B" w:rsidRDefault="002F3177">
      <w:pPr>
        <w:spacing w:after="0"/>
        <w:ind w:left="1440" w:hanging="720"/>
        <w:rPr>
          <w:rFonts w:ascii="Calibri" w:eastAsia="Calibri" w:hAnsi="Calibri" w:cs="Times New Roman"/>
        </w:rPr>
      </w:pPr>
      <w:r>
        <w:rPr>
          <w:rFonts w:ascii="Calibri" w:eastAsia="Calibri" w:hAnsi="Calibri" w:cs="Times New Roman"/>
        </w:rPr>
        <w:t>3.4.4.</w:t>
      </w:r>
      <w:r>
        <w:rPr>
          <w:rFonts w:ascii="Calibri" w:eastAsia="Calibri" w:hAnsi="Calibri" w:cs="Times New Roman"/>
        </w:rPr>
        <w:tab/>
        <w:t>The supplier is also required to supply daily rates of all contractors and sub-contractors, including daily travel, subsistence and accommodation costs.</w:t>
      </w:r>
    </w:p>
    <w:p w:rsidR="00E84B6B" w:rsidRDefault="002F3177">
      <w:pPr>
        <w:spacing w:after="0"/>
        <w:ind w:left="1440" w:hanging="720"/>
        <w:rPr>
          <w:rFonts w:ascii="Calibri" w:eastAsia="Calibri" w:hAnsi="Calibri" w:cs="Times New Roman"/>
        </w:rPr>
      </w:pPr>
      <w:r>
        <w:rPr>
          <w:rFonts w:ascii="Calibri" w:eastAsia="Calibri" w:hAnsi="Calibri" w:cs="Times New Roman"/>
        </w:rPr>
        <w:t>3.4.4</w:t>
      </w:r>
      <w:r>
        <w:rPr>
          <w:rFonts w:ascii="Calibri" w:eastAsia="Calibri" w:hAnsi="Calibri" w:cs="Times New Roman"/>
        </w:rPr>
        <w:tab/>
        <w:t xml:space="preserve">All quotes should be sufficiently detailed to enable identification of the applicable cost for all components of the work (as set out in Section2 Scope of Works). </w:t>
      </w:r>
    </w:p>
    <w:p w:rsidR="00E84B6B" w:rsidRDefault="00E84B6B">
      <w:pPr>
        <w:spacing w:after="0"/>
        <w:ind w:left="1440" w:hanging="720"/>
        <w:rPr>
          <w:rFonts w:ascii="Calibri" w:eastAsia="Calibri" w:hAnsi="Calibri" w:cs="Times New Roman"/>
        </w:rPr>
      </w:pPr>
    </w:p>
    <w:p w:rsidR="00E84B6B" w:rsidRDefault="002F3177">
      <w:pPr>
        <w:spacing w:after="0"/>
        <w:ind w:firstLine="426"/>
        <w:rPr>
          <w:rFonts w:ascii="Calibri" w:eastAsia="Calibri" w:hAnsi="Calibri" w:cs="Calibri"/>
          <w:b/>
        </w:rPr>
      </w:pPr>
      <w:r>
        <w:rPr>
          <w:rFonts w:ascii="Calibri" w:eastAsia="Calibri" w:hAnsi="Calibri" w:cs="Calibri"/>
          <w:b/>
        </w:rPr>
        <w:t>3.5 Guarantees</w:t>
      </w:r>
    </w:p>
    <w:p w:rsidR="00E84B6B" w:rsidRDefault="002F3177">
      <w:pPr>
        <w:spacing w:after="0"/>
        <w:ind w:firstLine="720"/>
        <w:rPr>
          <w:rFonts w:ascii="Calibri" w:eastAsia="Calibri" w:hAnsi="Calibri" w:cs="Calibri"/>
        </w:rPr>
      </w:pPr>
      <w:r>
        <w:rPr>
          <w:rFonts w:ascii="Calibri" w:eastAsia="Calibri" w:hAnsi="Calibri" w:cs="Calibri"/>
        </w:rPr>
        <w:t>3.5.1</w:t>
      </w:r>
      <w:r>
        <w:rPr>
          <w:rFonts w:ascii="Calibri" w:eastAsia="Calibri" w:hAnsi="Calibri" w:cs="Calibri"/>
        </w:rPr>
        <w:tab/>
        <w:t xml:space="preserve">The contractor is to provide a 10 year guarantee for paintwork or state offer. </w:t>
      </w:r>
    </w:p>
    <w:p w:rsidR="00E84B6B" w:rsidRDefault="002F3177">
      <w:pPr>
        <w:spacing w:after="200" w:line="276" w:lineRule="auto"/>
        <w:ind w:left="1440" w:hanging="720"/>
        <w:jc w:val="both"/>
        <w:rPr>
          <w:rFonts w:ascii="Calibri" w:eastAsia="Calibri" w:hAnsi="Calibri" w:cs="Calibri"/>
        </w:rPr>
      </w:pPr>
      <w:r>
        <w:rPr>
          <w:rFonts w:ascii="Calibri" w:eastAsia="Calibri" w:hAnsi="Calibri" w:cs="Calibri"/>
        </w:rPr>
        <w:t>3.5.2</w:t>
      </w:r>
      <w:r>
        <w:rPr>
          <w:rFonts w:ascii="Calibri" w:eastAsia="Calibri" w:hAnsi="Calibri" w:cs="Calibri"/>
        </w:rPr>
        <w:tab/>
        <w:t>The contractor is responsible for recording manufacturer, type, batch numbers, temperature, humidity and wet film thickness of the paint system applied.</w:t>
      </w:r>
    </w:p>
    <w:p w:rsidR="00E84B6B" w:rsidRDefault="002F3177">
      <w:pPr>
        <w:autoSpaceDE w:val="0"/>
        <w:autoSpaceDN w:val="0"/>
        <w:adjustRightInd w:val="0"/>
        <w:spacing w:before="240" w:line="276" w:lineRule="auto"/>
        <w:ind w:firstLine="426"/>
        <w:rPr>
          <w:rFonts w:ascii="Calibri" w:eastAsia="Calibri" w:hAnsi="Calibri" w:cs="Calibri"/>
          <w:b/>
          <w:lang w:eastAsia="en-GB"/>
        </w:rPr>
      </w:pPr>
      <w:r>
        <w:rPr>
          <w:rFonts w:ascii="Calibri" w:eastAsia="Calibri" w:hAnsi="Calibri" w:cs="Calibri"/>
          <w:b/>
          <w:lang w:eastAsia="en-GB"/>
        </w:rPr>
        <w:t>3.6 Defects</w:t>
      </w:r>
    </w:p>
    <w:p w:rsidR="00E84B6B" w:rsidRDefault="002F3177">
      <w:pPr>
        <w:autoSpaceDE w:val="0"/>
        <w:autoSpaceDN w:val="0"/>
        <w:adjustRightInd w:val="0"/>
        <w:spacing w:line="276" w:lineRule="auto"/>
        <w:ind w:left="1440" w:hanging="720"/>
        <w:rPr>
          <w:rFonts w:ascii="Calibri" w:eastAsia="Calibri" w:hAnsi="Calibri" w:cs="Calibri"/>
          <w:lang w:eastAsia="en-GB"/>
        </w:rPr>
      </w:pPr>
      <w:r>
        <w:rPr>
          <w:rFonts w:ascii="Calibri" w:eastAsia="Calibri" w:hAnsi="Calibri" w:cs="Calibri"/>
          <w:lang w:eastAsia="en-GB"/>
        </w:rPr>
        <w:t>3.6.1</w:t>
      </w:r>
      <w:r>
        <w:rPr>
          <w:rFonts w:ascii="Calibri" w:eastAsia="Calibri" w:hAnsi="Calibri" w:cs="Calibri"/>
          <w:lang w:eastAsia="en-GB"/>
        </w:rPr>
        <w:tab/>
        <w:t>Defects Liability Period 12 months. The Contractor shall be liable for and shall make good all defects occurring before the expiration of the defects liability period.</w:t>
      </w:r>
    </w:p>
    <w:p w:rsidR="00E84B6B" w:rsidRDefault="002F3177">
      <w:pPr>
        <w:keepNext/>
        <w:keepLines/>
        <w:numPr>
          <w:ilvl w:val="0"/>
          <w:numId w:val="3"/>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t>Further Information</w:t>
      </w:r>
    </w:p>
    <w:p w:rsidR="00E84B6B" w:rsidRDefault="00E84B6B">
      <w:pPr>
        <w:spacing w:after="0"/>
        <w:rPr>
          <w:rFonts w:ascii="Calibri" w:eastAsia="Calibri" w:hAnsi="Calibri" w:cs="Times New Roman"/>
        </w:rPr>
      </w:pPr>
    </w:p>
    <w:p w:rsidR="00E84B6B" w:rsidRDefault="002F3177">
      <w:pPr>
        <w:numPr>
          <w:ilvl w:val="1"/>
          <w:numId w:val="3"/>
        </w:numPr>
        <w:spacing w:after="0"/>
        <w:contextualSpacing/>
        <w:rPr>
          <w:rFonts w:ascii="Calibri" w:eastAsia="Calibri" w:hAnsi="Calibri" w:cs="Times New Roman"/>
          <w:b/>
        </w:rPr>
      </w:pPr>
      <w:r>
        <w:rPr>
          <w:rFonts w:ascii="Calibri" w:eastAsia="Calibri" w:hAnsi="Calibri" w:cs="Times New Roman"/>
          <w:b/>
        </w:rPr>
        <w:t>Emergent Works</w:t>
      </w:r>
    </w:p>
    <w:p w:rsidR="00E84B6B" w:rsidRDefault="002F3177">
      <w:pPr>
        <w:numPr>
          <w:ilvl w:val="2"/>
          <w:numId w:val="3"/>
        </w:numPr>
        <w:contextualSpacing/>
        <w:rPr>
          <w:rFonts w:ascii="Calibri" w:eastAsia="Calibri" w:hAnsi="Calibri" w:cs="Times New Roman"/>
          <w:b/>
        </w:rPr>
      </w:pPr>
      <w:r>
        <w:rPr>
          <w:rFonts w:ascii="Arial" w:eastAsia="Times New Roman" w:hAnsi="Arial" w:cs="Arial"/>
          <w:sz w:val="20"/>
          <w:szCs w:val="20"/>
        </w:rPr>
        <w:t>Both during and/or on completion of the work as specified within this Brief, there is potential for the supplier to highlight immediate or longer term emergent works.</w:t>
      </w:r>
    </w:p>
    <w:p w:rsidR="00E84B6B" w:rsidRDefault="002F3177">
      <w:pPr>
        <w:numPr>
          <w:ilvl w:val="2"/>
          <w:numId w:val="3"/>
        </w:numPr>
        <w:contextualSpacing/>
        <w:rPr>
          <w:rFonts w:ascii="Calibri" w:eastAsia="Calibri" w:hAnsi="Calibri" w:cs="Times New Roman"/>
          <w:b/>
        </w:rPr>
      </w:pPr>
      <w:r>
        <w:rPr>
          <w:rFonts w:ascii="Arial" w:eastAsia="Times New Roman" w:hAnsi="Arial" w:cs="Arial"/>
          <w:sz w:val="20"/>
          <w:szCs w:val="20"/>
        </w:rPr>
        <w:t>Any emergent work should be reported to the NMRN on site and in writing.</w:t>
      </w:r>
    </w:p>
    <w:p w:rsidR="00E84B6B" w:rsidRDefault="002F3177">
      <w:pPr>
        <w:numPr>
          <w:ilvl w:val="2"/>
          <w:numId w:val="3"/>
        </w:numPr>
        <w:contextualSpacing/>
        <w:rPr>
          <w:rFonts w:ascii="Calibri" w:eastAsia="Calibri" w:hAnsi="Calibri" w:cs="Times New Roman"/>
          <w:b/>
        </w:rPr>
      </w:pPr>
      <w:r>
        <w:rPr>
          <w:rFonts w:ascii="Arial" w:eastAsia="Times New Roman" w:hAnsi="Arial" w:cs="Arial"/>
          <w:sz w:val="20"/>
          <w:szCs w:val="20"/>
        </w:rPr>
        <w:t>Tenderers are invited to supply option prices for emergent work.</w:t>
      </w:r>
    </w:p>
    <w:p w:rsidR="00E84B6B" w:rsidRDefault="00E84B6B">
      <w:pPr>
        <w:ind w:left="1429"/>
        <w:contextualSpacing/>
        <w:rPr>
          <w:rFonts w:ascii="Calibri" w:eastAsia="Calibri" w:hAnsi="Calibri" w:cs="Times New Roman"/>
          <w:b/>
        </w:rPr>
      </w:pPr>
    </w:p>
    <w:p w:rsidR="00E84B6B" w:rsidRDefault="002F3177">
      <w:pPr>
        <w:numPr>
          <w:ilvl w:val="1"/>
          <w:numId w:val="3"/>
        </w:numPr>
        <w:contextualSpacing/>
        <w:rPr>
          <w:rFonts w:ascii="Calibri" w:eastAsia="Calibri" w:hAnsi="Calibri" w:cs="Times New Roman"/>
          <w:b/>
        </w:rPr>
      </w:pPr>
      <w:r>
        <w:rPr>
          <w:rFonts w:ascii="Calibri" w:eastAsia="Calibri" w:hAnsi="Calibri" w:cs="Times New Roman"/>
          <w:b/>
        </w:rPr>
        <w:lastRenderedPageBreak/>
        <w:t xml:space="preserve"> Heritage Best-Practice</w:t>
      </w:r>
    </w:p>
    <w:p w:rsidR="00E84B6B" w:rsidRDefault="002F3177">
      <w:pPr>
        <w:numPr>
          <w:ilvl w:val="2"/>
          <w:numId w:val="3"/>
        </w:numPr>
        <w:contextualSpacing/>
        <w:rPr>
          <w:rFonts w:ascii="Calibri" w:eastAsia="Calibri" w:hAnsi="Calibri" w:cs="Times New Roman"/>
          <w:b/>
        </w:rPr>
      </w:pPr>
      <w:r>
        <w:rPr>
          <w:rFonts w:ascii="Arial" w:eastAsia="Calibri" w:hAnsi="Arial" w:cs="Arial"/>
          <w:sz w:val="20"/>
        </w:rPr>
        <w:t xml:space="preserve">The NMRN require all contractors and sub-contractors as part of this work to be aware of and comply with heritage best-practise when working on and around the Ships. Guidance on heritage best-practise can be found at </w:t>
      </w:r>
      <w:hyperlink r:id="rId13" w:history="1">
        <w:r>
          <w:rPr>
            <w:rFonts w:ascii="Arial" w:eastAsia="Calibri" w:hAnsi="Arial" w:cs="Arial"/>
            <w:color w:val="0563C1"/>
            <w:sz w:val="20"/>
            <w:u w:val="single"/>
          </w:rPr>
          <w:t>https://historicengland.org.uk/images-books/publications/conservation-principles-sustainable-management-historic-environment/</w:t>
        </w:r>
      </w:hyperlink>
      <w:r>
        <w:rPr>
          <w:rFonts w:ascii="Arial" w:eastAsia="Calibri" w:hAnsi="Arial" w:cs="Arial"/>
          <w:sz w:val="20"/>
        </w:rPr>
        <w:t xml:space="preserve"> (Historic England 2008). Specific best-practise on historic vessels is set out by National Historic Ships in </w:t>
      </w:r>
      <w:r>
        <w:rPr>
          <w:rFonts w:ascii="Arial" w:eastAsia="Calibri" w:hAnsi="Arial" w:cs="Arial"/>
          <w:i/>
          <w:sz w:val="20"/>
        </w:rPr>
        <w:t>Conserving Historic Vessels</w:t>
      </w:r>
      <w:r>
        <w:rPr>
          <w:rFonts w:ascii="Arial" w:eastAsia="Calibri" w:hAnsi="Arial" w:cs="Arial"/>
          <w:sz w:val="20"/>
        </w:rPr>
        <w:t xml:space="preserve"> (2010).</w:t>
      </w:r>
    </w:p>
    <w:p w:rsidR="00E84B6B" w:rsidRDefault="00E84B6B">
      <w:pPr>
        <w:ind w:left="1429"/>
        <w:contextualSpacing/>
        <w:rPr>
          <w:rFonts w:ascii="Calibri" w:eastAsia="Calibri" w:hAnsi="Calibri" w:cs="Times New Roman"/>
          <w:b/>
        </w:rPr>
      </w:pPr>
    </w:p>
    <w:p w:rsidR="00E84B6B" w:rsidRDefault="002F3177">
      <w:pPr>
        <w:numPr>
          <w:ilvl w:val="1"/>
          <w:numId w:val="3"/>
        </w:numPr>
        <w:contextualSpacing/>
        <w:rPr>
          <w:rFonts w:ascii="Calibri" w:eastAsia="Calibri" w:hAnsi="Calibri" w:cs="Times New Roman"/>
          <w:b/>
        </w:rPr>
      </w:pPr>
      <w:r>
        <w:rPr>
          <w:rFonts w:ascii="Arial" w:eastAsia="Calibri" w:hAnsi="Arial" w:cs="Arial"/>
          <w:sz w:val="20"/>
        </w:rPr>
        <w:t xml:space="preserve"> </w:t>
      </w:r>
      <w:r>
        <w:rPr>
          <w:rFonts w:ascii="Arial" w:eastAsia="Calibri" w:hAnsi="Arial" w:cs="Arial"/>
          <w:b/>
          <w:sz w:val="20"/>
        </w:rPr>
        <w:t>Other Work on HMS Warrior</w:t>
      </w:r>
    </w:p>
    <w:p w:rsidR="00E84B6B" w:rsidRDefault="002F3177">
      <w:pPr>
        <w:numPr>
          <w:ilvl w:val="2"/>
          <w:numId w:val="3"/>
        </w:numPr>
        <w:contextualSpacing/>
        <w:rPr>
          <w:rFonts w:ascii="Arial" w:eastAsia="Calibri" w:hAnsi="Arial" w:cs="Arial"/>
          <w:b/>
          <w:sz w:val="20"/>
          <w:szCs w:val="20"/>
        </w:rPr>
      </w:pPr>
      <w:r>
        <w:rPr>
          <w:rFonts w:ascii="Arial" w:eastAsia="Calibri" w:hAnsi="Arial" w:cs="Arial"/>
          <w:sz w:val="20"/>
        </w:rPr>
        <w:t>At the time of the works HMS Warrior is likely to be in the later stages of a</w:t>
      </w:r>
      <w:r>
        <w:rPr>
          <w:rFonts w:ascii="Arial" w:eastAsia="Calibri" w:hAnsi="Arial" w:cs="Arial"/>
          <w:sz w:val="20"/>
          <w:szCs w:val="20"/>
        </w:rPr>
        <w:t xml:space="preserve"> ships’ side repainting programme. It is unlikely that this programme will impact on the proposed Head Platform project but the presence of another contractor on both the ship and the adjacent jetty should be noted. A degree of coordination and joint working may be required (as identified by the Historic Ships Team at the time of appointment).  </w:t>
      </w:r>
    </w:p>
    <w:p w:rsidR="00E84B6B" w:rsidRDefault="002F3177">
      <w:pPr>
        <w:numPr>
          <w:ilvl w:val="2"/>
          <w:numId w:val="3"/>
        </w:numPr>
        <w:contextualSpacing/>
        <w:rPr>
          <w:rFonts w:ascii="Calibri" w:eastAsia="Calibri" w:hAnsi="Calibri" w:cs="Times New Roman"/>
          <w:b/>
        </w:rPr>
      </w:pPr>
      <w:r>
        <w:rPr>
          <w:rFonts w:ascii="Arial" w:eastAsia="Calibri" w:hAnsi="Arial" w:cs="Arial"/>
          <w:sz w:val="20"/>
        </w:rPr>
        <w:t>Aloft work on the rigging will also be undertaken over the contract period. This will require exclusion zones onto the deck which could, without appropriate scheduling, impact on other works.</w:t>
      </w:r>
    </w:p>
    <w:p w:rsidR="00E84B6B" w:rsidRDefault="002F3177">
      <w:pPr>
        <w:numPr>
          <w:ilvl w:val="2"/>
          <w:numId w:val="3"/>
        </w:numPr>
        <w:contextualSpacing/>
        <w:rPr>
          <w:rFonts w:ascii="Calibri" w:eastAsia="Calibri" w:hAnsi="Calibri" w:cs="Times New Roman"/>
          <w:b/>
        </w:rPr>
      </w:pPr>
      <w:r>
        <w:rPr>
          <w:rFonts w:ascii="Arial" w:eastAsia="Calibri" w:hAnsi="Arial" w:cs="Arial"/>
          <w:sz w:val="20"/>
        </w:rPr>
        <w:t xml:space="preserve">The timing of the above programmes are in the process of being finalised. Prior to appointment and finalisation of contracts the contractor may be required to consider the different projects occurring on HMS Warrior and offer a schedule of work which will work for the NMRN and the various contractors on-site. </w:t>
      </w:r>
    </w:p>
    <w:p w:rsidR="00E84B6B" w:rsidRDefault="00E84B6B">
      <w:pPr>
        <w:ind w:left="1429"/>
        <w:contextualSpacing/>
        <w:rPr>
          <w:rFonts w:ascii="Calibri" w:eastAsia="Calibri" w:hAnsi="Calibri" w:cs="Times New Roman"/>
          <w:b/>
        </w:rPr>
      </w:pPr>
    </w:p>
    <w:p w:rsidR="00E84B6B" w:rsidRDefault="002F3177">
      <w:pPr>
        <w:numPr>
          <w:ilvl w:val="1"/>
          <w:numId w:val="3"/>
        </w:numPr>
        <w:contextualSpacing/>
        <w:rPr>
          <w:rFonts w:ascii="Calibri" w:eastAsia="Calibri" w:hAnsi="Calibri" w:cs="Times New Roman"/>
          <w:b/>
        </w:rPr>
      </w:pPr>
      <w:r>
        <w:rPr>
          <w:rFonts w:ascii="Arial" w:eastAsia="Calibri" w:hAnsi="Arial" w:cs="Arial"/>
          <w:b/>
          <w:sz w:val="20"/>
        </w:rPr>
        <w:t>Sub-Contracted Work</w:t>
      </w:r>
    </w:p>
    <w:p w:rsidR="00E84B6B" w:rsidRDefault="002F3177">
      <w:pPr>
        <w:numPr>
          <w:ilvl w:val="2"/>
          <w:numId w:val="3"/>
        </w:numPr>
        <w:contextualSpacing/>
        <w:rPr>
          <w:rFonts w:ascii="Calibri" w:eastAsia="Calibri" w:hAnsi="Calibri" w:cs="Times New Roman"/>
          <w:b/>
        </w:rPr>
      </w:pPr>
      <w:r>
        <w:rPr>
          <w:rFonts w:ascii="Arial" w:eastAsia="Calibri" w:hAnsi="Arial" w:cs="Arial"/>
          <w:sz w:val="20"/>
        </w:rPr>
        <w:t>In line with recent 2018 changes to the public procurement regulations, the NMRN will require the supplier to provide information on any sub-contracted work and their costs.</w:t>
      </w:r>
    </w:p>
    <w:p w:rsidR="00E84B6B" w:rsidRDefault="002F3177">
      <w:pPr>
        <w:numPr>
          <w:ilvl w:val="2"/>
          <w:numId w:val="3"/>
        </w:numPr>
        <w:contextualSpacing/>
        <w:rPr>
          <w:rFonts w:ascii="Calibri" w:eastAsia="Calibri" w:hAnsi="Calibri" w:cs="Times New Roman"/>
          <w:b/>
        </w:rPr>
      </w:pPr>
      <w:r>
        <w:rPr>
          <w:rFonts w:ascii="Arial" w:eastAsia="Calibri" w:hAnsi="Arial" w:cs="Arial"/>
          <w:sz w:val="20"/>
        </w:rPr>
        <w:t>If the supplier will not know sub-contractor costs until they have been awarded the contract, they are required to provide information on the sub-contracted work in line with Clause 7.1 on the NMRN’s T&amp;Cs.</w:t>
      </w:r>
    </w:p>
    <w:p w:rsidR="00E84B6B" w:rsidRDefault="00E84B6B">
      <w:pPr>
        <w:spacing w:after="0"/>
        <w:ind w:left="1429"/>
        <w:contextualSpacing/>
        <w:rPr>
          <w:rFonts w:ascii="Arial" w:eastAsia="Calibri" w:hAnsi="Arial" w:cs="Arial"/>
          <w:sz w:val="20"/>
        </w:rPr>
      </w:pPr>
    </w:p>
    <w:p w:rsidR="00E84B6B" w:rsidRDefault="00E84B6B">
      <w:pPr>
        <w:spacing w:after="0"/>
        <w:ind w:left="1429"/>
        <w:contextualSpacing/>
        <w:rPr>
          <w:rFonts w:ascii="Arial" w:eastAsia="Calibri" w:hAnsi="Arial" w:cs="Arial"/>
          <w:sz w:val="20"/>
        </w:rPr>
      </w:pPr>
    </w:p>
    <w:p w:rsidR="00E84B6B" w:rsidRDefault="002F3177">
      <w:pPr>
        <w:keepNext/>
        <w:keepLines/>
        <w:numPr>
          <w:ilvl w:val="0"/>
          <w:numId w:val="3"/>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t>Supplier Response</w:t>
      </w:r>
    </w:p>
    <w:p w:rsidR="00E84B6B" w:rsidRDefault="00E84B6B">
      <w:pPr>
        <w:spacing w:after="0"/>
        <w:rPr>
          <w:rFonts w:ascii="Calibri" w:eastAsia="Calibri" w:hAnsi="Calibri" w:cs="Times New Roman"/>
        </w:rPr>
      </w:pPr>
    </w:p>
    <w:p w:rsidR="00E84B6B" w:rsidRDefault="002F3177">
      <w:pPr>
        <w:numPr>
          <w:ilvl w:val="1"/>
          <w:numId w:val="3"/>
        </w:numPr>
        <w:spacing w:after="0"/>
        <w:contextualSpacing/>
        <w:rPr>
          <w:rFonts w:ascii="Calibri" w:eastAsia="Calibri" w:hAnsi="Calibri" w:cs="Times New Roman"/>
          <w:b/>
        </w:rPr>
      </w:pPr>
      <w:r>
        <w:rPr>
          <w:rFonts w:ascii="Calibri" w:eastAsia="Calibri" w:hAnsi="Calibri" w:cs="Times New Roman"/>
          <w:b/>
        </w:rPr>
        <w:t>Clarifications</w:t>
      </w:r>
    </w:p>
    <w:p w:rsidR="00E84B6B" w:rsidRDefault="002F3177">
      <w:pPr>
        <w:numPr>
          <w:ilvl w:val="2"/>
          <w:numId w:val="3"/>
        </w:numPr>
        <w:contextualSpacing/>
        <w:rPr>
          <w:rFonts w:ascii="Calibri" w:eastAsia="Calibri" w:hAnsi="Calibri" w:cs="Times New Roman"/>
          <w:b/>
        </w:rPr>
      </w:pPr>
      <w:r>
        <w:rPr>
          <w:rFonts w:ascii="Calibri" w:eastAsia="Calibri" w:hAnsi="Calibri" w:cs="Times New Roman"/>
        </w:rPr>
        <w:t xml:space="preserve">Please contact </w:t>
      </w:r>
      <w:hyperlink r:id="rId14" w:history="1">
        <w:r>
          <w:rPr>
            <w:rFonts w:ascii="Calibri" w:eastAsia="Calibri" w:hAnsi="Calibri" w:cs="Times New Roman"/>
            <w:color w:val="0563C1"/>
            <w:u w:val="single"/>
          </w:rPr>
          <w:t>hst.procurement@nmrn.org.uk</w:t>
        </w:r>
      </w:hyperlink>
      <w:r>
        <w:rPr>
          <w:rFonts w:ascii="Calibri" w:eastAsia="Calibri" w:hAnsi="Calibri" w:cs="Times New Roman"/>
        </w:rPr>
        <w:t xml:space="preserve"> for clarifications during the tender process.</w:t>
      </w:r>
    </w:p>
    <w:p w:rsidR="00E84B6B" w:rsidRDefault="00E84B6B">
      <w:pPr>
        <w:ind w:left="1429"/>
        <w:contextualSpacing/>
        <w:rPr>
          <w:rFonts w:ascii="Calibri" w:eastAsia="Calibri" w:hAnsi="Calibri" w:cs="Times New Roman"/>
          <w:b/>
        </w:rPr>
      </w:pPr>
    </w:p>
    <w:p w:rsidR="00E84B6B" w:rsidRDefault="002F3177">
      <w:pPr>
        <w:numPr>
          <w:ilvl w:val="1"/>
          <w:numId w:val="3"/>
        </w:numPr>
        <w:contextualSpacing/>
        <w:rPr>
          <w:rFonts w:ascii="Calibri" w:eastAsia="Calibri" w:hAnsi="Calibri" w:cs="Times New Roman"/>
          <w:b/>
        </w:rPr>
      </w:pPr>
      <w:r>
        <w:rPr>
          <w:rFonts w:ascii="Calibri" w:eastAsia="Calibri" w:hAnsi="Calibri" w:cs="Times New Roman"/>
          <w:b/>
        </w:rPr>
        <w:t>Response</w:t>
      </w:r>
    </w:p>
    <w:p w:rsidR="00E84B6B" w:rsidRDefault="002F3177">
      <w:pPr>
        <w:numPr>
          <w:ilvl w:val="2"/>
          <w:numId w:val="3"/>
        </w:numPr>
        <w:contextualSpacing/>
        <w:rPr>
          <w:rFonts w:ascii="Calibri" w:eastAsia="Calibri" w:hAnsi="Calibri" w:cs="Times New Roman"/>
        </w:rPr>
      </w:pPr>
      <w:r>
        <w:rPr>
          <w:rFonts w:ascii="Calibri" w:eastAsia="Calibri" w:hAnsi="Calibri" w:cs="Times New Roman"/>
        </w:rPr>
        <w:t xml:space="preserve">Please provide the following to </w:t>
      </w:r>
      <w:hyperlink r:id="rId15" w:history="1">
        <w:r>
          <w:rPr>
            <w:rFonts w:ascii="Calibri" w:eastAsia="Calibri" w:hAnsi="Calibri" w:cs="Times New Roman"/>
            <w:color w:val="0563C1"/>
            <w:u w:val="single"/>
          </w:rPr>
          <w:t>tenders@nmrn.org.uk</w:t>
        </w:r>
      </w:hyperlink>
      <w:r>
        <w:rPr>
          <w:rFonts w:ascii="Calibri" w:eastAsia="Calibri" w:hAnsi="Calibri" w:cs="Times New Roman"/>
        </w:rPr>
        <w:t xml:space="preserve"> by </w:t>
      </w:r>
      <w:r w:rsidR="00FF021B">
        <w:rPr>
          <w:rFonts w:ascii="Calibri" w:eastAsia="Calibri" w:hAnsi="Calibri" w:cs="Times New Roman"/>
          <w:b/>
        </w:rPr>
        <w:t>12</w:t>
      </w:r>
      <w:r>
        <w:rPr>
          <w:rFonts w:ascii="Calibri" w:eastAsia="Calibri" w:hAnsi="Calibri" w:cs="Times New Roman"/>
          <w:b/>
        </w:rPr>
        <w:t xml:space="preserve">.00 </w:t>
      </w:r>
      <w:r w:rsidR="00732679">
        <w:rPr>
          <w:rFonts w:ascii="Calibri" w:eastAsia="Calibri" w:hAnsi="Calibri" w:cs="Times New Roman"/>
          <w:b/>
        </w:rPr>
        <w:t>13</w:t>
      </w:r>
      <w:r>
        <w:rPr>
          <w:rFonts w:ascii="Calibri" w:eastAsia="Calibri" w:hAnsi="Calibri" w:cs="Times New Roman"/>
          <w:b/>
          <w:vertAlign w:val="superscript"/>
        </w:rPr>
        <w:t>th</w:t>
      </w:r>
      <w:r w:rsidR="00732679">
        <w:rPr>
          <w:rFonts w:ascii="Calibri" w:eastAsia="Calibri" w:hAnsi="Calibri" w:cs="Times New Roman"/>
          <w:b/>
        </w:rPr>
        <w:t xml:space="preserve"> July</w:t>
      </w:r>
      <w:r>
        <w:rPr>
          <w:rFonts w:ascii="Calibri" w:eastAsia="Calibri" w:hAnsi="Calibri" w:cs="Times New Roman"/>
          <w:b/>
        </w:rPr>
        <w:t xml:space="preserve"> 2018</w:t>
      </w:r>
      <w:r>
        <w:rPr>
          <w:rFonts w:ascii="Calibri" w:eastAsia="Calibri" w:hAnsi="Calibri" w:cs="Times New Roman"/>
        </w:rPr>
        <w:t xml:space="preserve">. Any tender submissions sent to the </w:t>
      </w:r>
      <w:hyperlink r:id="rId16" w:history="1">
        <w:r>
          <w:rPr>
            <w:rFonts w:ascii="Calibri" w:eastAsia="Calibri" w:hAnsi="Calibri" w:cs="Times New Roman"/>
            <w:color w:val="0563C1"/>
            <w:u w:val="single"/>
          </w:rPr>
          <w:t>hst.procurement@nmrn.org.uk</w:t>
        </w:r>
      </w:hyperlink>
      <w:r>
        <w:rPr>
          <w:rFonts w:ascii="Calibri" w:eastAsia="Calibri" w:hAnsi="Calibri" w:cs="Times New Roman"/>
        </w:rPr>
        <w:t xml:space="preserve"> email will not be valid submissions and will be excluded from the evaluation process.</w:t>
      </w:r>
    </w:p>
    <w:p w:rsidR="00E84B6B" w:rsidRDefault="00E84B6B">
      <w:pPr>
        <w:ind w:firstLine="360"/>
        <w:rPr>
          <w:rFonts w:ascii="Calibri" w:eastAsia="Calibri" w:hAnsi="Calibri" w:cs="Times New Roman"/>
        </w:rPr>
      </w:pPr>
    </w:p>
    <w:p w:rsidR="00E84B6B" w:rsidRDefault="002F3177">
      <w:pPr>
        <w:ind w:firstLine="360"/>
        <w:rPr>
          <w:rFonts w:ascii="Calibri" w:eastAsia="Calibri" w:hAnsi="Calibri" w:cs="Times New Roman"/>
          <w:b/>
        </w:rPr>
      </w:pPr>
      <w:r>
        <w:rPr>
          <w:rFonts w:ascii="Calibri" w:eastAsia="Calibri" w:hAnsi="Calibri" w:cs="Times New Roman"/>
        </w:rPr>
        <w:t xml:space="preserve">5.3 </w:t>
      </w:r>
      <w:r>
        <w:rPr>
          <w:rFonts w:ascii="Calibri" w:eastAsia="Calibri" w:hAnsi="Calibri" w:cs="Times New Roman"/>
          <w:b/>
        </w:rPr>
        <w:t>Statement of Understanding</w:t>
      </w:r>
    </w:p>
    <w:p w:rsidR="00E84B6B" w:rsidRDefault="002F3177">
      <w:pPr>
        <w:ind w:left="720"/>
        <w:rPr>
          <w:rFonts w:ascii="Calibri" w:eastAsia="Calibri" w:hAnsi="Calibri" w:cs="Times New Roman"/>
        </w:rPr>
      </w:pPr>
      <w:r>
        <w:rPr>
          <w:rFonts w:ascii="Calibri" w:eastAsia="Calibri" w:hAnsi="Calibri" w:cs="Times New Roman"/>
        </w:rPr>
        <w:t>In preparing your tender, and based on visual observations during your visit, you should set out at the beginning of your submission a statement on the condition of the following:</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t xml:space="preserve">Side cladding (timber battens) to Head Platform </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t xml:space="preserve">Timber cross beams </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lastRenderedPageBreak/>
        <w:t>Main rail and mould</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t>Lower rail and mould</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t>Head Platform gratings</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t>Head Box</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t>Guard rails</w:t>
      </w:r>
    </w:p>
    <w:p w:rsidR="00E84B6B" w:rsidRDefault="002F3177">
      <w:pPr>
        <w:numPr>
          <w:ilvl w:val="1"/>
          <w:numId w:val="8"/>
        </w:numPr>
        <w:spacing w:after="0"/>
        <w:rPr>
          <w:rFonts w:ascii="Calibri" w:eastAsia="Calibri" w:hAnsi="Calibri" w:cs="Times New Roman"/>
        </w:rPr>
      </w:pPr>
      <w:r>
        <w:rPr>
          <w:rFonts w:ascii="Calibri" w:eastAsia="Calibri" w:hAnsi="Calibri" w:cs="Times New Roman"/>
        </w:rPr>
        <w:t>Beak Top</w:t>
      </w:r>
    </w:p>
    <w:p w:rsidR="00E84B6B" w:rsidRDefault="00E84B6B">
      <w:pPr>
        <w:contextualSpacing/>
        <w:rPr>
          <w:rFonts w:ascii="Calibri" w:eastAsia="Calibri" w:hAnsi="Calibri" w:cs="Times New Roman"/>
        </w:rPr>
      </w:pPr>
    </w:p>
    <w:tbl>
      <w:tblPr>
        <w:tblStyle w:val="GridTable1Light-Accent11"/>
        <w:tblpPr w:leftFromText="180" w:rightFromText="180" w:vertAnchor="text" w:horzAnchor="margin" w:tblpXSpec="center" w:tblpY="249"/>
        <w:tblW w:w="9524" w:type="dxa"/>
        <w:tblLayout w:type="fixed"/>
        <w:tblLook w:val="04A0" w:firstRow="1" w:lastRow="0" w:firstColumn="1" w:lastColumn="0" w:noHBand="0" w:noVBand="1"/>
      </w:tblPr>
      <w:tblGrid>
        <w:gridCol w:w="562"/>
        <w:gridCol w:w="1418"/>
        <w:gridCol w:w="567"/>
        <w:gridCol w:w="6520"/>
        <w:gridCol w:w="457"/>
      </w:tblGrid>
      <w:tr w:rsidR="00E84B6B" w:rsidTr="00E84B6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vAlign w:val="center"/>
          </w:tcPr>
          <w:p w:rsidR="00E84B6B" w:rsidRDefault="002F3177">
            <w:pPr>
              <w:widowControl w:val="0"/>
              <w:tabs>
                <w:tab w:val="left" w:pos="709"/>
              </w:tabs>
              <w:spacing w:after="120" w:line="276" w:lineRule="auto"/>
              <w:jc w:val="center"/>
              <w:rPr>
                <w:rFonts w:ascii="Arial" w:eastAsia="Calibri" w:hAnsi="Arial" w:cs="Arial"/>
                <w:b w:val="0"/>
                <w:bCs w:val="0"/>
                <w:color w:val="FFFFFF"/>
                <w:kern w:val="32"/>
                <w:sz w:val="20"/>
              </w:rPr>
            </w:pPr>
            <w:r>
              <w:rPr>
                <w:rFonts w:ascii="Arial" w:eastAsia="Calibri" w:hAnsi="Arial" w:cs="Arial"/>
                <w:color w:val="FFFFFF"/>
                <w:kern w:val="32"/>
                <w:sz w:val="20"/>
              </w:rPr>
              <w:t>Ref</w:t>
            </w:r>
          </w:p>
        </w:tc>
        <w:tc>
          <w:tcPr>
            <w:tcW w:w="1418" w:type="dxa"/>
            <w:shd w:val="clear" w:color="auto" w:fill="2E74B5"/>
            <w:vAlign w:val="center"/>
          </w:tcPr>
          <w:p w:rsidR="00E84B6B" w:rsidRDefault="002F3177">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FFFFFF"/>
                <w:kern w:val="32"/>
                <w:sz w:val="20"/>
              </w:rPr>
            </w:pPr>
            <w:r>
              <w:rPr>
                <w:rFonts w:ascii="Arial" w:eastAsia="Calibri" w:hAnsi="Arial" w:cs="Arial"/>
                <w:color w:val="FFFFFF"/>
                <w:kern w:val="32"/>
                <w:sz w:val="20"/>
              </w:rPr>
              <w:t>Content</w:t>
            </w:r>
          </w:p>
        </w:tc>
        <w:tc>
          <w:tcPr>
            <w:tcW w:w="567" w:type="dxa"/>
            <w:shd w:val="clear" w:color="auto" w:fill="2E74B5"/>
            <w:vAlign w:val="center"/>
          </w:tcPr>
          <w:p w:rsidR="00E84B6B" w:rsidRDefault="002F3177">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FFFFFF"/>
                <w:kern w:val="32"/>
                <w:sz w:val="20"/>
              </w:rPr>
            </w:pPr>
            <w:r>
              <w:rPr>
                <w:rFonts w:ascii="Arial" w:eastAsia="Calibri" w:hAnsi="Arial" w:cs="Arial"/>
                <w:color w:val="FFFFFF"/>
                <w:kern w:val="32"/>
                <w:sz w:val="20"/>
              </w:rPr>
              <w:t>Ref</w:t>
            </w:r>
          </w:p>
        </w:tc>
        <w:tc>
          <w:tcPr>
            <w:tcW w:w="6520" w:type="dxa"/>
            <w:shd w:val="clear" w:color="auto" w:fill="2E74B5"/>
            <w:vAlign w:val="center"/>
          </w:tcPr>
          <w:p w:rsidR="00E84B6B" w:rsidRDefault="002F3177">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FFFFFF"/>
                <w:kern w:val="32"/>
                <w:sz w:val="20"/>
              </w:rPr>
            </w:pPr>
            <w:r>
              <w:rPr>
                <w:rFonts w:ascii="Arial" w:eastAsia="Calibri" w:hAnsi="Arial" w:cs="Arial"/>
                <w:color w:val="FFFFFF"/>
                <w:kern w:val="32"/>
                <w:sz w:val="20"/>
              </w:rPr>
              <w:t>Detail</w:t>
            </w:r>
          </w:p>
        </w:tc>
        <w:tc>
          <w:tcPr>
            <w:tcW w:w="457" w:type="dxa"/>
            <w:shd w:val="clear" w:color="auto" w:fill="2E74B5"/>
            <w:vAlign w:val="center"/>
          </w:tcPr>
          <w:p w:rsidR="00E84B6B" w:rsidRDefault="00E84B6B">
            <w:pPr>
              <w:widowControl w:val="0"/>
              <w:numPr>
                <w:ilvl w:val="0"/>
                <w:numId w:val="9"/>
              </w:numPr>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FFFFFF"/>
                <w:kern w:val="32"/>
                <w:sz w:val="20"/>
              </w:rPr>
            </w:pPr>
          </w:p>
        </w:tc>
      </w:tr>
      <w:tr w:rsidR="00E84B6B" w:rsidTr="00E84B6B">
        <w:trPr>
          <w:trHeight w:val="166"/>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E84B6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p>
        </w:tc>
        <w:tc>
          <w:tcPr>
            <w:tcW w:w="6520" w:type="dxa"/>
          </w:tcPr>
          <w:p w:rsidR="00E84B6B" w:rsidRDefault="00E84B6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p>
        </w:tc>
        <w:tc>
          <w:tcPr>
            <w:tcW w:w="457" w:type="dxa"/>
          </w:tcPr>
          <w:p w:rsidR="00E84B6B" w:rsidRDefault="00E84B6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p>
        </w:tc>
      </w:tr>
      <w:tr w:rsidR="00E84B6B" w:rsidTr="00E84B6B">
        <w:trPr>
          <w:trHeight w:val="735"/>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2F3177">
            <w:pPr>
              <w:widowControl w:val="0"/>
              <w:tabs>
                <w:tab w:val="left" w:pos="709"/>
              </w:tabs>
              <w:spacing w:after="120" w:line="276" w:lineRule="auto"/>
              <w:rPr>
                <w:rFonts w:ascii="Arial" w:eastAsia="Calibri" w:hAnsi="Arial" w:cs="Arial"/>
                <w:b w:val="0"/>
                <w:bCs w:val="0"/>
                <w:kern w:val="32"/>
                <w:sz w:val="20"/>
              </w:rPr>
            </w:pPr>
            <w:r>
              <w:rPr>
                <w:rFonts w:ascii="Arial" w:eastAsia="Calibri" w:hAnsi="Arial" w:cs="Arial"/>
                <w:kern w:val="32"/>
                <w:sz w:val="20"/>
              </w:rPr>
              <w:t>1</w:t>
            </w:r>
          </w:p>
        </w:tc>
        <w:tc>
          <w:tcPr>
            <w:tcW w:w="1418" w:type="dxa"/>
            <w:shd w:val="clear" w:color="auto" w:fill="BDD6EE"/>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r>
              <w:rPr>
                <w:rFonts w:ascii="Arial" w:eastAsia="Calibri" w:hAnsi="Arial" w:cs="Arial"/>
                <w:b/>
                <w:kern w:val="32"/>
                <w:sz w:val="18"/>
              </w:rPr>
              <w:t>CVs &amp; Qualifications</w:t>
            </w:r>
          </w:p>
        </w:tc>
        <w:tc>
          <w:tcPr>
            <w:tcW w:w="567" w:type="dxa"/>
          </w:tcPr>
          <w:p w:rsidR="00E84B6B" w:rsidRDefault="002F317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Pr>
                <w:rFonts w:ascii="Arial" w:eastAsia="Calibri" w:hAnsi="Arial" w:cs="Arial"/>
                <w:sz w:val="20"/>
              </w:rPr>
              <w:t>1.1</w:t>
            </w:r>
          </w:p>
        </w:tc>
        <w:tc>
          <w:tcPr>
            <w:tcW w:w="6520" w:type="dxa"/>
          </w:tcPr>
          <w:p w:rsidR="00E84B6B" w:rsidRDefault="002F317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Pr>
                <w:rFonts w:ascii="Arial" w:eastAsia="Calibri" w:hAnsi="Arial" w:cs="Arial"/>
                <w:sz w:val="20"/>
              </w:rPr>
              <w:t>The professional skills and qualifications of people involved in the project, including the names and CV’s of proposed team members, their specific responsibilities and any arrangements for subcontracting.</w:t>
            </w:r>
          </w:p>
        </w:tc>
        <w:tc>
          <w:tcPr>
            <w:tcW w:w="457" w:type="dxa"/>
          </w:tcPr>
          <w:p w:rsidR="00E84B6B" w:rsidRDefault="00E84B6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p>
          <w:p w:rsidR="00E84B6B" w:rsidRDefault="00C619D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Pr>
                <w:rFonts w:ascii="Arial" w:eastAsia="Calibri" w:hAnsi="Arial" w:cs="Arial"/>
                <w:sz w:val="20"/>
                <w:lang w:eastAsia="en-GB"/>
              </w:rPr>
              <w:pict>
                <v:shape id="Frame 18" o:spid="_x0000_s1026" style="position:absolute;margin-left:-.1pt;margin-top:.4pt;width:10.3pt;height:10.3pt;z-index:251773952;mso-position-horizontal-relative:margin;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2F3177">
            <w:pPr>
              <w:widowControl w:val="0"/>
              <w:tabs>
                <w:tab w:val="left" w:pos="709"/>
              </w:tabs>
              <w:spacing w:after="120" w:line="276" w:lineRule="auto"/>
              <w:rPr>
                <w:rFonts w:ascii="Arial" w:eastAsia="Calibri" w:hAnsi="Arial" w:cs="Arial"/>
                <w:b w:val="0"/>
                <w:bCs w:val="0"/>
                <w:kern w:val="32"/>
                <w:sz w:val="20"/>
              </w:rPr>
            </w:pPr>
            <w:r>
              <w:rPr>
                <w:rFonts w:ascii="Arial" w:eastAsia="Calibri" w:hAnsi="Arial" w:cs="Arial"/>
                <w:kern w:val="32"/>
                <w:sz w:val="20"/>
              </w:rPr>
              <w:t>2</w:t>
            </w:r>
          </w:p>
        </w:tc>
        <w:tc>
          <w:tcPr>
            <w:tcW w:w="1418" w:type="dxa"/>
            <w:shd w:val="clear" w:color="auto" w:fill="BDD6EE"/>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r>
              <w:rPr>
                <w:rFonts w:ascii="Arial" w:eastAsia="Calibri" w:hAnsi="Arial" w:cs="Arial"/>
                <w:b/>
                <w:kern w:val="32"/>
                <w:sz w:val="18"/>
              </w:rPr>
              <w:t>Methods</w:t>
            </w: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2.1</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 xml:space="preserve">Specify the detailed set up, execution and completion of the works set out in the scope of works </w:t>
            </w:r>
          </w:p>
        </w:tc>
        <w:tc>
          <w:tcPr>
            <w:tcW w:w="457" w:type="dxa"/>
          </w:tcPr>
          <w:p w:rsidR="00E84B6B" w:rsidRDefault="00C619D4">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eastAsia="en-GB"/>
              </w:rPr>
            </w:pPr>
            <w:r>
              <w:rPr>
                <w:rFonts w:ascii="Arial" w:eastAsia="Calibri" w:hAnsi="Arial" w:cs="Arial"/>
                <w:sz w:val="20"/>
                <w:lang w:eastAsia="en-GB"/>
              </w:rPr>
              <w:pict>
                <v:shape id="Frame 2" o:spid="_x0000_s1040" style="position:absolute;margin-left:-.1pt;margin-top:.95pt;width:10.3pt;height:10.3pt;z-index:251774976;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E84B6B" w:rsidRDefault="002F3177">
            <w:pPr>
              <w:widowControl w:val="0"/>
              <w:tabs>
                <w:tab w:val="left" w:pos="709"/>
              </w:tabs>
              <w:spacing w:after="120" w:line="276" w:lineRule="auto"/>
              <w:rPr>
                <w:rFonts w:ascii="Arial" w:eastAsia="Calibri" w:hAnsi="Arial" w:cs="Arial"/>
                <w:b w:val="0"/>
                <w:bCs w:val="0"/>
                <w:kern w:val="32"/>
                <w:sz w:val="20"/>
              </w:rPr>
            </w:pPr>
            <w:r>
              <w:rPr>
                <w:rFonts w:ascii="Arial" w:eastAsia="Calibri" w:hAnsi="Arial" w:cs="Arial"/>
                <w:kern w:val="32"/>
                <w:sz w:val="20"/>
              </w:rPr>
              <w:t>3</w:t>
            </w:r>
          </w:p>
        </w:tc>
        <w:tc>
          <w:tcPr>
            <w:tcW w:w="1418" w:type="dxa"/>
            <w:vMerge w:val="restart"/>
            <w:shd w:val="clear" w:color="auto" w:fill="BDD6EE"/>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r>
              <w:rPr>
                <w:rFonts w:ascii="Arial" w:eastAsia="Calibri" w:hAnsi="Arial" w:cs="Arial"/>
                <w:b/>
                <w:kern w:val="32"/>
                <w:sz w:val="18"/>
              </w:rPr>
              <w:t>H &amp; S</w:t>
            </w: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3.1</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 xml:space="preserve">Specify how the contractor aims to comply with H&amp;S IOSH standards. </w:t>
            </w:r>
          </w:p>
        </w:tc>
        <w:tc>
          <w:tcPr>
            <w:tcW w:w="457" w:type="dxa"/>
          </w:tcPr>
          <w:p w:rsidR="00E84B6B" w:rsidRDefault="00C619D4">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Frame 20" o:spid="_x0000_s1039" style="position:absolute;margin-left:-.2pt;margin-top:5.75pt;width:10.3pt;height:10.3pt;z-index:251772928;mso-position-horizontal-relative:text;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v:shape>
              </w:pict>
            </w:r>
          </w:p>
        </w:tc>
      </w:tr>
      <w:tr w:rsidR="00E84B6B" w:rsidTr="00E84B6B">
        <w:trPr>
          <w:trHeight w:val="739"/>
        </w:trPr>
        <w:tc>
          <w:tcPr>
            <w:cnfStyle w:val="001000000000" w:firstRow="0" w:lastRow="0" w:firstColumn="1" w:lastColumn="0" w:oddVBand="0" w:evenVBand="0" w:oddHBand="0" w:evenHBand="0" w:firstRowFirstColumn="0" w:firstRowLastColumn="0" w:lastRowFirstColumn="0" w:lastRowLastColumn="0"/>
            <w:tcW w:w="562" w:type="dxa"/>
            <w:vMerge/>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3.2</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For any use of substances hazardous to health, specify how the contractor will comply with COSHH standards of substance use and storage</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39" o:spid="_x0000_s1038" style="position:absolute;left:0;text-align:left;margin-left:.2pt;margin-top:3.35pt;width:10.3pt;height:10.3pt;z-index:251782144;mso-position-horizontal-relative:text;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v:shape>
              </w:pict>
            </w:r>
          </w:p>
        </w:tc>
      </w:tr>
      <w:tr w:rsidR="00E84B6B" w:rsidTr="00E84B6B">
        <w:trPr>
          <w:trHeight w:val="1003"/>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2F3177">
            <w:pPr>
              <w:widowControl w:val="0"/>
              <w:tabs>
                <w:tab w:val="left" w:pos="709"/>
              </w:tabs>
              <w:spacing w:after="120" w:line="276" w:lineRule="auto"/>
              <w:rPr>
                <w:rFonts w:ascii="Arial" w:eastAsia="Calibri" w:hAnsi="Arial" w:cs="Arial"/>
                <w:b w:val="0"/>
                <w:bCs w:val="0"/>
                <w:kern w:val="32"/>
                <w:sz w:val="20"/>
              </w:rPr>
            </w:pPr>
            <w:r>
              <w:rPr>
                <w:rFonts w:ascii="Arial" w:eastAsia="Calibri" w:hAnsi="Arial" w:cs="Arial"/>
                <w:kern w:val="32"/>
                <w:sz w:val="20"/>
              </w:rPr>
              <w:t>4</w:t>
            </w:r>
          </w:p>
        </w:tc>
        <w:tc>
          <w:tcPr>
            <w:tcW w:w="1418" w:type="dxa"/>
            <w:shd w:val="clear" w:color="auto" w:fill="BDD6EE"/>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r>
              <w:rPr>
                <w:rFonts w:ascii="Arial" w:eastAsia="Calibri" w:hAnsi="Arial" w:cs="Arial"/>
                <w:b/>
                <w:kern w:val="32"/>
                <w:sz w:val="18"/>
              </w:rPr>
              <w:t>Heritage Best-Practise</w:t>
            </w: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4.1</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Demonstrate how the potential supplier will exercise conservation best practise (NHS; 2010, Historic England; 2008)</w:t>
            </w:r>
          </w:p>
        </w:tc>
        <w:tc>
          <w:tcPr>
            <w:tcW w:w="457" w:type="dxa"/>
          </w:tcPr>
          <w:p w:rsidR="00E84B6B" w:rsidRDefault="00C619D4">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33" o:spid="_x0000_s1037" style="position:absolute;margin-left:-.2pt;margin-top:5.75pt;width:10.3pt;height:10.3pt;z-index:251776000;mso-position-horizontal-relative:text;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2F3177">
            <w:pPr>
              <w:widowControl w:val="0"/>
              <w:tabs>
                <w:tab w:val="left" w:pos="709"/>
              </w:tabs>
              <w:spacing w:after="120" w:line="276" w:lineRule="auto"/>
              <w:rPr>
                <w:rFonts w:ascii="Arial" w:eastAsia="Calibri" w:hAnsi="Arial" w:cs="Arial"/>
                <w:b w:val="0"/>
                <w:bCs w:val="0"/>
                <w:kern w:val="32"/>
                <w:sz w:val="20"/>
              </w:rPr>
            </w:pPr>
            <w:r>
              <w:rPr>
                <w:rFonts w:ascii="Arial" w:eastAsia="Calibri" w:hAnsi="Arial" w:cs="Arial"/>
                <w:kern w:val="32"/>
                <w:sz w:val="20"/>
              </w:rPr>
              <w:t>5</w:t>
            </w:r>
          </w:p>
        </w:tc>
        <w:tc>
          <w:tcPr>
            <w:tcW w:w="1418" w:type="dxa"/>
            <w:vMerge w:val="restart"/>
            <w:shd w:val="clear" w:color="auto" w:fill="BDD6EE"/>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r>
              <w:rPr>
                <w:rFonts w:ascii="Arial" w:eastAsia="Calibri" w:hAnsi="Arial" w:cs="Arial"/>
                <w:b/>
                <w:kern w:val="32"/>
                <w:sz w:val="18"/>
              </w:rPr>
              <w:t>Scheduled Work Programme</w:t>
            </w: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5.1</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Scheduled work programme (in days) for all stages of the work with milestones and dates, including but not limited to;</w:t>
            </w:r>
          </w:p>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RAMS &amp; Consultations</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37" o:spid="_x0000_s1036" style="position:absolute;left:0;text-align:left;margin-left:-.1pt;margin-top:3.7pt;width:10.3pt;height:10.3pt;z-index:251780096;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5.2</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Site set-up and scaffolding</w:t>
            </w:r>
          </w:p>
        </w:tc>
        <w:tc>
          <w:tcPr>
            <w:tcW w:w="457" w:type="dxa"/>
          </w:tcPr>
          <w:p w:rsidR="00E84B6B" w:rsidRDefault="00E84B6B">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eastAsia="en-GB"/>
              </w:rPr>
            </w:pP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5.3</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 xml:space="preserve">Initial survey and condition report </w:t>
            </w:r>
          </w:p>
        </w:tc>
        <w:tc>
          <w:tcPr>
            <w:tcW w:w="457" w:type="dxa"/>
          </w:tcPr>
          <w:p w:rsidR="00E84B6B" w:rsidRDefault="00E84B6B">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eastAsia="en-GB"/>
              </w:rPr>
            </w:pP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5.4</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Exclusion Zones (as applicable)</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Frame 21" o:spid="_x0000_s1035" style="position:absolute;left:0;text-align:left;margin-left:-.1pt;margin-top:3.7pt;width:10.3pt;height:10.3pt;z-index:251777024;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5.5</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The Works (all components as set out in Section 2 of the Brief)</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Frame 24" o:spid="_x0000_s1034" style="position:absolute;left:0;text-align:left;margin-left:-.1pt;margin-top:4.2pt;width:10.3pt;height:10.3pt;z-index:251778048;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5.6</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Demobilisation</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Frame 25" o:spid="_x0000_s1033" style="position:absolute;left:0;text-align:left;margin-left:-.1pt;margin-top:2.5pt;width:10.3pt;height:10.3pt;z-index:251779072;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5.7</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Final Consultation</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40" o:spid="_x0000_s1032" style="position:absolute;left:0;text-align:left;margin-left:-.1pt;margin-top:2.5pt;width:10.3pt;height:10.3pt;z-index:251783168;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2F3177">
            <w:pPr>
              <w:widowControl w:val="0"/>
              <w:tabs>
                <w:tab w:val="left" w:pos="709"/>
              </w:tabs>
              <w:spacing w:after="120" w:line="276" w:lineRule="auto"/>
              <w:rPr>
                <w:rFonts w:ascii="Arial" w:eastAsia="Calibri" w:hAnsi="Arial" w:cs="Arial"/>
                <w:b w:val="0"/>
                <w:bCs w:val="0"/>
                <w:kern w:val="32"/>
                <w:sz w:val="20"/>
              </w:rPr>
            </w:pPr>
            <w:r>
              <w:rPr>
                <w:rFonts w:ascii="Arial" w:eastAsia="Calibri" w:hAnsi="Arial" w:cs="Arial"/>
                <w:kern w:val="32"/>
                <w:sz w:val="20"/>
              </w:rPr>
              <w:t>6</w:t>
            </w:r>
          </w:p>
        </w:tc>
        <w:tc>
          <w:tcPr>
            <w:tcW w:w="1418" w:type="dxa"/>
            <w:vMerge w:val="restart"/>
            <w:shd w:val="clear" w:color="auto" w:fill="BDD6EE"/>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r>
              <w:rPr>
                <w:rFonts w:ascii="Arial" w:eastAsia="Calibri" w:hAnsi="Arial" w:cs="Arial"/>
                <w:b/>
                <w:kern w:val="32"/>
                <w:sz w:val="18"/>
              </w:rPr>
              <w:t>Costs - Complete Pricing Document at Appendix 4 in full</w:t>
            </w: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6.1</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A breakdown of costs for the work and materials,</w:t>
            </w:r>
            <w:r w:rsidR="00AF65C8">
              <w:rPr>
                <w:rFonts w:ascii="Arial" w:eastAsia="Calibri" w:hAnsi="Arial" w:cs="Arial"/>
                <w:kern w:val="32"/>
                <w:sz w:val="20"/>
              </w:rPr>
              <w:t xml:space="preserve"> including subcontracting work – Please refer to the PRICING DOCUMENT</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41" o:spid="_x0000_s1031" style="position:absolute;left:0;text-align:left;margin-left:-.1pt;margin-top:2.5pt;width:10.3pt;height:10.3pt;z-index:251784192;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590"/>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6.2</w:t>
            </w: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 xml:space="preserve">Any travel, subsistence and accommodation costs for the work proposed </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42" o:spid="_x0000_s1030" style="position:absolute;left:0;text-align:left;margin-left:-.1pt;margin-top:2.5pt;width:10.3pt;height:10.3pt;z-index:251785216;mso-position-horizontal-relative:margin;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w10:wrap anchorx="margin"/>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vMerge/>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Pr>
                <w:rFonts w:ascii="Arial" w:eastAsia="Calibri" w:hAnsi="Arial" w:cs="Arial"/>
                <w:sz w:val="20"/>
              </w:rPr>
              <w:t>6.3</w:t>
            </w:r>
          </w:p>
        </w:tc>
        <w:tc>
          <w:tcPr>
            <w:tcW w:w="6520" w:type="dxa"/>
          </w:tcPr>
          <w:p w:rsidR="00E84B6B" w:rsidRDefault="002F317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Pr>
                <w:rFonts w:ascii="Arial" w:eastAsia="Calibri" w:hAnsi="Arial" w:cs="Arial"/>
                <w:sz w:val="20"/>
              </w:rPr>
              <w:t>Schedule of hourly rates for the proposed labour, including sub-contractors</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Frame 22" o:spid="_x0000_s1029" style="position:absolute;left:0;text-align:left;margin-left:.2pt;margin-top:3.35pt;width:10.3pt;height:10.3pt;z-index:251781120;mso-position-horizontal-relative:text;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E84B6B">
            <w:pPr>
              <w:widowControl w:val="0"/>
              <w:tabs>
                <w:tab w:val="left" w:pos="709"/>
              </w:tabs>
              <w:spacing w:after="120" w:line="276" w:lineRule="auto"/>
              <w:rPr>
                <w:rFonts w:ascii="Arial" w:eastAsia="Calibri" w:hAnsi="Arial" w:cs="Arial"/>
                <w:b w:val="0"/>
                <w:bCs w:val="0"/>
                <w:kern w:val="32"/>
                <w:sz w:val="20"/>
              </w:rPr>
            </w:pPr>
          </w:p>
        </w:tc>
        <w:tc>
          <w:tcPr>
            <w:tcW w:w="1418" w:type="dxa"/>
            <w:shd w:val="clear" w:color="auto" w:fill="BDD6EE"/>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p>
        </w:tc>
        <w:tc>
          <w:tcPr>
            <w:tcW w:w="567" w:type="dxa"/>
          </w:tcPr>
          <w:p w:rsidR="00E84B6B" w:rsidRDefault="002F317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Pr>
                <w:rFonts w:ascii="Arial" w:eastAsia="Calibri" w:hAnsi="Arial" w:cs="Arial"/>
                <w:sz w:val="20"/>
              </w:rPr>
              <w:t>6.4</w:t>
            </w:r>
          </w:p>
        </w:tc>
        <w:tc>
          <w:tcPr>
            <w:tcW w:w="6520" w:type="dxa"/>
          </w:tcPr>
          <w:p w:rsidR="00E84B6B" w:rsidRDefault="002F3177">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Pr>
                <w:rFonts w:ascii="Arial" w:eastAsia="Calibri" w:hAnsi="Arial" w:cs="Arial"/>
                <w:sz w:val="20"/>
              </w:rPr>
              <w:t>Scaffolding and containment costs to be separately identified</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43" o:spid="_x0000_s1028" style="position:absolute;left:0;text-align:left;margin-left:.2pt;margin-top:3.35pt;width:10.3pt;height:10.3pt;z-index:251786240;mso-position-horizontal-relative:text;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v:shape>
              </w:pict>
            </w:r>
          </w:p>
        </w:tc>
      </w:tr>
      <w:tr w:rsidR="00E84B6B" w:rsidTr="00E84B6B">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E84B6B" w:rsidRDefault="002F3177">
            <w:pPr>
              <w:widowControl w:val="0"/>
              <w:tabs>
                <w:tab w:val="left" w:pos="709"/>
              </w:tabs>
              <w:spacing w:after="120" w:line="276" w:lineRule="auto"/>
              <w:rPr>
                <w:rFonts w:ascii="Arial" w:eastAsia="Calibri" w:hAnsi="Arial" w:cs="Arial"/>
                <w:b w:val="0"/>
                <w:bCs w:val="0"/>
                <w:kern w:val="32"/>
                <w:sz w:val="20"/>
              </w:rPr>
            </w:pPr>
            <w:r>
              <w:rPr>
                <w:rFonts w:ascii="Arial" w:eastAsia="Calibri" w:hAnsi="Arial" w:cs="Arial"/>
                <w:kern w:val="32"/>
                <w:sz w:val="20"/>
              </w:rPr>
              <w:t>7</w:t>
            </w:r>
          </w:p>
        </w:tc>
        <w:tc>
          <w:tcPr>
            <w:tcW w:w="1418" w:type="dxa"/>
            <w:shd w:val="clear" w:color="auto" w:fill="BDD6EE"/>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32"/>
                <w:sz w:val="18"/>
              </w:rPr>
            </w:pPr>
            <w:r>
              <w:rPr>
                <w:rFonts w:ascii="Arial" w:eastAsia="Calibri" w:hAnsi="Arial" w:cs="Arial"/>
                <w:b/>
                <w:kern w:val="32"/>
                <w:sz w:val="18"/>
              </w:rPr>
              <w:t>Insurance</w:t>
            </w:r>
          </w:p>
        </w:tc>
        <w:tc>
          <w:tcPr>
            <w:tcW w:w="567" w:type="dxa"/>
          </w:tcPr>
          <w:p w:rsidR="00E84B6B" w:rsidRDefault="00E84B6B">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p>
        </w:tc>
        <w:tc>
          <w:tcPr>
            <w:tcW w:w="6520" w:type="dxa"/>
          </w:tcPr>
          <w:p w:rsidR="00E84B6B" w:rsidRDefault="002F3177">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kern w:val="32"/>
                <w:sz w:val="20"/>
              </w:rPr>
              <w:t>Full extent of professional insurance or indemnity cover</w:t>
            </w:r>
          </w:p>
        </w:tc>
        <w:tc>
          <w:tcPr>
            <w:tcW w:w="457" w:type="dxa"/>
          </w:tcPr>
          <w:p w:rsidR="00E84B6B" w:rsidRDefault="00C619D4">
            <w:pPr>
              <w:widowControl w:val="0"/>
              <w:tabs>
                <w:tab w:val="left" w:pos="709"/>
              </w:tabs>
              <w:spacing w:after="120"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kern w:val="32"/>
                <w:sz w:val="20"/>
              </w:rPr>
            </w:pPr>
            <w:r>
              <w:rPr>
                <w:rFonts w:ascii="Arial" w:eastAsia="Calibri" w:hAnsi="Arial" w:cs="Arial"/>
                <w:sz w:val="20"/>
                <w:lang w:eastAsia="en-GB"/>
              </w:rPr>
              <w:pict>
                <v:shape id="AutoShape 44" o:spid="_x0000_s1027" style="position:absolute;left:0;text-align:left;margin-left:.2pt;margin-top:3.35pt;width:10.3pt;height:10.3pt;z-index:251787264;mso-position-horizontal-relative:text;mso-position-vertical-relative:text;mso-width-relative:page;mso-height-relative:page;v-text-anchor:middle" coordsize="130629,130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" adj="0,,0" path="m,l130629,r,130628l,130628,,xm16329,16329r,97971l114301,114300r,-97971l16329,16329xe" fillcolor="#5b9bd5" strokecolor="white" strokeweight="1pt">
                  <v:stroke joinstyle="miter"/>
                  <v:formulas/>
                  <v:path arrowok="t" o:connecttype="custom" o:connectlocs="0,0;130810,0;130810,130810;0,130810;0,0;16352,16352;16352,114459;114459,114459;114459,16352;16352,16352" o:connectangles="0,0,0,0,0,0,0,0,0,0"/>
                </v:shape>
              </w:pict>
            </w:r>
          </w:p>
        </w:tc>
      </w:tr>
    </w:tbl>
    <w:p w:rsidR="00E84B6B" w:rsidRDefault="00E84B6B">
      <w:pPr>
        <w:rPr>
          <w:rFonts w:ascii="Calibri" w:eastAsia="Calibri" w:hAnsi="Calibri" w:cs="Times New Roman"/>
        </w:rPr>
      </w:pPr>
    </w:p>
    <w:p w:rsidR="00E84B6B" w:rsidRDefault="00E84B6B">
      <w:pPr>
        <w:rPr>
          <w:rFonts w:ascii="Calibri" w:eastAsia="Calibri" w:hAnsi="Calibri" w:cs="Times New Roman"/>
        </w:rPr>
      </w:pPr>
    </w:p>
    <w:p w:rsidR="00E84B6B" w:rsidRDefault="00E84B6B">
      <w:pPr>
        <w:rPr>
          <w:rFonts w:ascii="Arial" w:hAnsi="Arial" w:cs="Arial"/>
          <w:sz w:val="20"/>
          <w:szCs w:val="20"/>
        </w:rPr>
      </w:pPr>
    </w:p>
    <w:p w:rsidR="00E84B6B" w:rsidRDefault="00E84B6B">
      <w:pPr>
        <w:rPr>
          <w:rFonts w:ascii="Arial" w:hAnsi="Arial" w:cs="Arial"/>
          <w:sz w:val="20"/>
          <w:szCs w:val="20"/>
        </w:rPr>
      </w:pPr>
    </w:p>
    <w:p w:rsidR="00E84B6B" w:rsidRDefault="00E84B6B">
      <w:pPr>
        <w:rPr>
          <w:rFonts w:ascii="Arial" w:hAnsi="Arial" w:cs="Arial"/>
          <w:sz w:val="20"/>
          <w:szCs w:val="20"/>
        </w:rPr>
      </w:pPr>
    </w:p>
    <w:p w:rsidR="00E84B6B" w:rsidRDefault="00E84B6B">
      <w:pPr>
        <w:rPr>
          <w:rFonts w:ascii="Arial" w:hAnsi="Arial" w:cs="Arial"/>
          <w:sz w:val="20"/>
          <w:szCs w:val="20"/>
        </w:rPr>
      </w:pPr>
    </w:p>
    <w:sectPr w:rsidR="00E84B6B">
      <w:headerReference w:type="default" r:id="rId17"/>
      <w:footerReference w:type="default" r:id="rId18"/>
      <w:headerReference w:type="first" r:id="rId19"/>
      <w:footerReference w:type="first" r:id="rId20"/>
      <w:pgSz w:w="11906" w:h="16838"/>
      <w:pgMar w:top="1843"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482" w:rsidRDefault="002F3177">
      <w:pPr>
        <w:spacing w:after="0" w:line="240" w:lineRule="auto"/>
      </w:pPr>
      <w:r>
        <w:separator/>
      </w:r>
    </w:p>
  </w:endnote>
  <w:endnote w:type="continuationSeparator" w:id="0">
    <w:p w:rsidR="00030482" w:rsidRDefault="002F3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default"/>
    <w:sig w:usb0="E1002EFF" w:usb1="C000605B" w:usb2="00000029" w:usb3="00000000" w:csb0="200101FF" w:csb1="2028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288877"/>
      <w:docPartObj>
        <w:docPartGallery w:val="AutoText"/>
      </w:docPartObj>
    </w:sdtPr>
    <w:sdtEndPr/>
    <w:sdtContent>
      <w:p w:rsidR="00E84B6B" w:rsidRDefault="002F3177">
        <w:pPr>
          <w:pStyle w:val="Footer"/>
          <w:jc w:val="right"/>
        </w:pPr>
        <w:r>
          <w:fldChar w:fldCharType="begin"/>
        </w:r>
        <w:r>
          <w:instrText xml:space="preserve"> PAGE   \* MERGEFORMAT </w:instrText>
        </w:r>
        <w:r>
          <w:fldChar w:fldCharType="separate"/>
        </w:r>
        <w:r w:rsidR="00C619D4">
          <w:rPr>
            <w:noProof/>
          </w:rPr>
          <w:t>11</w:t>
        </w:r>
        <w:r>
          <w:fldChar w:fldCharType="end"/>
        </w:r>
      </w:p>
    </w:sdtContent>
  </w:sdt>
  <w:p w:rsidR="00E84B6B" w:rsidRDefault="00E84B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B6B" w:rsidRDefault="00E84B6B">
    <w:pPr>
      <w:pStyle w:val="Footer"/>
      <w:rPr>
        <w:lang w:eastAsia="en-GB"/>
      </w:rPr>
    </w:pPr>
  </w:p>
  <w:p w:rsidR="00E84B6B" w:rsidRDefault="002F3177">
    <w:pPr>
      <w:pStyle w:val="Footer"/>
    </w:pPr>
    <w:r>
      <w:rPr>
        <w:noProof/>
        <w:lang w:eastAsia="en-GB"/>
      </w:rPr>
      <w:drawing>
        <wp:anchor distT="0" distB="0" distL="114300" distR="114300" simplePos="0" relativeHeight="251656192" behindDoc="1" locked="0" layoutInCell="1" allowOverlap="1">
          <wp:simplePos x="0" y="0"/>
          <wp:positionH relativeFrom="column">
            <wp:posOffset>-711835</wp:posOffset>
          </wp:positionH>
          <wp:positionV relativeFrom="page">
            <wp:posOffset>9209405</wp:posOffset>
          </wp:positionV>
          <wp:extent cx="7240270" cy="1359535"/>
          <wp:effectExtent l="0" t="0" r="0" b="0"/>
          <wp:wrapTight wrapText="bothSides">
            <wp:wrapPolygon edited="0">
              <wp:start x="0" y="0"/>
              <wp:lineTo x="0" y="21186"/>
              <wp:lineTo x="21539" y="21186"/>
              <wp:lineTo x="21539" y="0"/>
              <wp:lineTo x="0" y="0"/>
            </wp:wrapPolygon>
          </wp:wrapTight>
          <wp:docPr id="70" name="Picture 70" descr="C:\Users\ARabellaroberts\Pictures\Logos\NM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ARabellaroberts\Pictures\Logos\NM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40270" cy="135953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482" w:rsidRDefault="002F3177">
      <w:pPr>
        <w:spacing w:after="0" w:line="240" w:lineRule="auto"/>
      </w:pPr>
      <w:r>
        <w:separator/>
      </w:r>
    </w:p>
  </w:footnote>
  <w:footnote w:type="continuationSeparator" w:id="0">
    <w:p w:rsidR="00030482" w:rsidRDefault="002F31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B6B" w:rsidRDefault="002F3177">
    <w:pPr>
      <w:pStyle w:val="Header"/>
    </w:pPr>
    <w:r>
      <w:rPr>
        <w:noProof/>
        <w:lang w:eastAsia="en-GB"/>
      </w:rPr>
      <w:drawing>
        <wp:anchor distT="0" distB="0" distL="114300" distR="114300" simplePos="0" relativeHeight="251658240" behindDoc="1" locked="0" layoutInCell="1" allowOverlap="1">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B6B" w:rsidRDefault="002F3177">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B6523C67"/>
    <w:lvl w:ilvl="0">
      <w:start w:val="1"/>
      <w:numFmt w:val="decimal"/>
      <w:pStyle w:val="Level1"/>
      <w:lvlText w:val="%1"/>
      <w:lvlJc w:val="left"/>
      <w:pPr>
        <w:tabs>
          <w:tab w:val="left" w:pos="1277"/>
        </w:tabs>
        <w:ind w:left="1277" w:hanging="709"/>
      </w:pPr>
      <w:rPr>
        <w:rFonts w:ascii="Arial" w:hAnsi="Arial"/>
        <w:b w:val="0"/>
        <w:i w:val="0"/>
        <w:caps w:val="0"/>
        <w:smallCaps w:val="0"/>
        <w:strike w:val="0"/>
        <w:dstrike w:val="0"/>
        <w:vanish w:val="0"/>
        <w:u w:val="none"/>
        <w:vertAlign w:val="baseline"/>
      </w:rPr>
    </w:lvl>
    <w:lvl w:ilvl="1">
      <w:start w:val="1"/>
      <w:numFmt w:val="decimal"/>
      <w:pStyle w:val="Level2"/>
      <w:lvlText w:val="%1.%2"/>
      <w:lvlJc w:val="left"/>
      <w:pPr>
        <w:tabs>
          <w:tab w:val="left" w:pos="709"/>
        </w:tabs>
        <w:ind w:left="709" w:hanging="709"/>
      </w:pPr>
      <w:rPr>
        <w:rFonts w:ascii="Arial" w:hAnsi="Arial"/>
        <w:b w:val="0"/>
        <w:i w:val="0"/>
        <w:caps w:val="0"/>
        <w:smallCaps w:val="0"/>
        <w:strike w:val="0"/>
        <w:dstrike w:val="0"/>
        <w:vanish w:val="0"/>
        <w:u w:val="none"/>
        <w:vertAlign w:val="baseline"/>
      </w:rPr>
    </w:lvl>
    <w:lvl w:ilvl="2">
      <w:start w:val="1"/>
      <w:numFmt w:val="decimal"/>
      <w:pStyle w:val="Level3"/>
      <w:lvlText w:val="%1.%2.%3"/>
      <w:lvlJc w:val="left"/>
      <w:pPr>
        <w:tabs>
          <w:tab w:val="left" w:pos="1701"/>
        </w:tabs>
        <w:ind w:left="1701" w:hanging="992"/>
      </w:pPr>
      <w:rPr>
        <w:rFonts w:ascii="Arial" w:hAnsi="Arial"/>
        <w:b w:val="0"/>
        <w:i w:val="0"/>
        <w:caps w:val="0"/>
        <w:smallCaps w:val="0"/>
        <w:strike w:val="0"/>
        <w:dstrike w:val="0"/>
        <w:vanish w:val="0"/>
        <w:u w:val="none"/>
        <w:vertAlign w:val="baseline"/>
      </w:rPr>
    </w:lvl>
    <w:lvl w:ilvl="3">
      <w:start w:val="1"/>
      <w:numFmt w:val="lowerLetter"/>
      <w:pStyle w:val="Level4"/>
      <w:lvlText w:val="(%4)"/>
      <w:lvlJc w:val="left"/>
      <w:pPr>
        <w:tabs>
          <w:tab w:val="left" w:pos="2409"/>
        </w:tabs>
        <w:ind w:left="2409" w:hanging="708"/>
      </w:pPr>
      <w:rPr>
        <w:rFonts w:ascii="Arial" w:hAnsi="Arial"/>
        <w:b w:val="0"/>
        <w:i w:val="0"/>
        <w:caps w:val="0"/>
        <w:smallCaps w:val="0"/>
        <w:strike w:val="0"/>
        <w:dstrike w:val="0"/>
        <w:vanish w:val="0"/>
        <w:u w:val="none"/>
        <w:vertAlign w:val="baseline"/>
      </w:rPr>
    </w:lvl>
    <w:lvl w:ilvl="4">
      <w:start w:val="1"/>
      <w:numFmt w:val="lowerRoman"/>
      <w:pStyle w:val="Level5"/>
      <w:lvlText w:val="(%5)"/>
      <w:lvlJc w:val="left"/>
      <w:pPr>
        <w:tabs>
          <w:tab w:val="left" w:pos="3118"/>
        </w:tabs>
        <w:ind w:left="3118" w:hanging="709"/>
      </w:pPr>
      <w:rPr>
        <w:rFonts w:ascii="Arial" w:hAnsi="Arial"/>
        <w:b w:val="0"/>
        <w:i w:val="0"/>
        <w:caps w:val="0"/>
        <w:smallCaps w:val="0"/>
        <w:strike w:val="0"/>
        <w:dstrike w:val="0"/>
        <w:vanish w:val="0"/>
        <w:u w:val="none"/>
        <w:vertAlign w:val="baseline"/>
      </w:rPr>
    </w:lvl>
    <w:lvl w:ilvl="5">
      <w:start w:val="1"/>
      <w:numFmt w:val="upperLetter"/>
      <w:pStyle w:val="Level6"/>
      <w:lvlText w:val="(%6)"/>
      <w:lvlJc w:val="left"/>
      <w:pPr>
        <w:tabs>
          <w:tab w:val="left" w:pos="3827"/>
        </w:tabs>
        <w:ind w:left="3827" w:hanging="709"/>
      </w:pPr>
      <w:rPr>
        <w:b w:val="0"/>
        <w:i w:val="0"/>
        <w:caps w:val="0"/>
        <w:smallCaps w:val="0"/>
        <w:strike w:val="0"/>
        <w:dstrike w:val="0"/>
        <w:vanish w:val="0"/>
        <w:u w:val="none"/>
        <w:vertAlign w:val="baseline"/>
      </w:rPr>
    </w:lvl>
    <w:lvl w:ilvl="6">
      <w:start w:val="1"/>
      <w:numFmt w:val="none"/>
      <w:suff w:val="nothing"/>
      <w:lvlText w:val="Not Defined"/>
      <w:lvlJc w:val="left"/>
      <w:pPr>
        <w:ind w:left="0" w:firstLine="0"/>
      </w:pPr>
      <w:rPr>
        <w:b w:val="0"/>
        <w:i w:val="0"/>
        <w:caps w:val="0"/>
        <w:smallCaps w:val="0"/>
        <w:strike w:val="0"/>
        <w:dstrike w:val="0"/>
        <w:vanish w:val="0"/>
        <w:u w:val="none"/>
        <w:vertAlign w:val="baseline"/>
      </w:rPr>
    </w:lvl>
    <w:lvl w:ilvl="7">
      <w:start w:val="1"/>
      <w:numFmt w:val="none"/>
      <w:suff w:val="nothing"/>
      <w:lvlText w:val="Not Defined"/>
      <w:lvlJc w:val="left"/>
      <w:pPr>
        <w:ind w:left="0" w:firstLine="0"/>
      </w:pPr>
      <w:rPr>
        <w:b w:val="0"/>
        <w:i w:val="0"/>
        <w:caps w:val="0"/>
        <w:smallCaps w:val="0"/>
        <w:strike w:val="0"/>
        <w:dstrike w:val="0"/>
        <w:vanish w:val="0"/>
        <w:u w:val="none"/>
        <w:vertAlign w:val="baseline"/>
      </w:rPr>
    </w:lvl>
    <w:lvl w:ilvl="8">
      <w:start w:val="1"/>
      <w:numFmt w:val="none"/>
      <w:suff w:val="nothing"/>
      <w:lvlText w:val="Not Defined"/>
      <w:lvlJc w:val="left"/>
      <w:pPr>
        <w:ind w:left="0" w:firstLine="0"/>
      </w:pPr>
      <w:rPr>
        <w:b w:val="0"/>
        <w:i w:val="0"/>
        <w:caps w:val="0"/>
        <w:smallCaps w:val="0"/>
        <w:strike w:val="0"/>
        <w:dstrike w:val="0"/>
        <w:vanish w:val="0"/>
        <w:u w:val="none"/>
        <w:vertAlign w:val="baseline"/>
      </w:rPr>
    </w:lvl>
  </w:abstractNum>
  <w:abstractNum w:abstractNumId="1" w15:restartNumberingAfterBreak="0">
    <w:nsid w:val="04B2584C"/>
    <w:multiLevelType w:val="multilevel"/>
    <w:tmpl w:val="04B2584C"/>
    <w:lvl w:ilvl="0">
      <w:start w:val="1"/>
      <w:numFmt w:val="bullet"/>
      <w:lvlText w:val=""/>
      <w:lvlJc w:val="left"/>
      <w:pPr>
        <w:ind w:left="360" w:hanging="360"/>
      </w:pPr>
      <w:rPr>
        <w:rFonts w:ascii="Wingdings" w:hAnsi="Wingdings" w:hint="default"/>
        <w:sz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991787"/>
    <w:multiLevelType w:val="multilevel"/>
    <w:tmpl w:val="089917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2967D96"/>
    <w:multiLevelType w:val="singleLevel"/>
    <w:tmpl w:val="32967D96"/>
    <w:lvl w:ilvl="0">
      <w:start w:val="1"/>
      <w:numFmt w:val="decimal"/>
      <w:pStyle w:val="Parties"/>
      <w:lvlText w:val="(%1)"/>
      <w:lvlJc w:val="left"/>
      <w:pPr>
        <w:tabs>
          <w:tab w:val="left" w:pos="709"/>
        </w:tabs>
        <w:ind w:left="709" w:hanging="709"/>
      </w:pPr>
      <w:rPr>
        <w:b w:val="0"/>
        <w:i w:val="0"/>
        <w:caps w:val="0"/>
        <w:smallCaps w:val="0"/>
        <w:strike w:val="0"/>
        <w:dstrike w:val="0"/>
        <w:vanish w:val="0"/>
        <w:u w:val="none"/>
        <w:vertAlign w:val="baseline"/>
      </w:rPr>
    </w:lvl>
  </w:abstractNum>
  <w:abstractNum w:abstractNumId="4" w15:restartNumberingAfterBreak="0">
    <w:nsid w:val="3E4D3E64"/>
    <w:multiLevelType w:val="multilevel"/>
    <w:tmpl w:val="3E4D3E6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B4E32B8"/>
    <w:multiLevelType w:val="multilevel"/>
    <w:tmpl w:val="4B4E32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4BAF316F"/>
    <w:multiLevelType w:val="multilevel"/>
    <w:tmpl w:val="4BAF316F"/>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7CE04DC"/>
    <w:multiLevelType w:val="multilevel"/>
    <w:tmpl w:val="67CE04DC"/>
    <w:lvl w:ilvl="0">
      <w:start w:val="1"/>
      <w:numFmt w:val="bullet"/>
      <w:lvlText w:val=""/>
      <w:lvlJc w:val="left"/>
      <w:pPr>
        <w:ind w:left="1485" w:hanging="360"/>
      </w:pPr>
      <w:rPr>
        <w:rFonts w:ascii="Symbol" w:hAnsi="Symbol"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8" w15:restartNumberingAfterBreak="0">
    <w:nsid w:val="7C022311"/>
    <w:multiLevelType w:val="multilevel"/>
    <w:tmpl w:val="7C0223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num>
  <w:num w:numId="3">
    <w:abstractNumId w:val="6"/>
  </w:num>
  <w:num w:numId="4">
    <w:abstractNumId w:val="2"/>
  </w:num>
  <w:num w:numId="5">
    <w:abstractNumId w:val="8"/>
  </w:num>
  <w:num w:numId="6">
    <w:abstractNumId w:val="5"/>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510DE"/>
    <w:rsid w:val="00025087"/>
    <w:rsid w:val="00030482"/>
    <w:rsid w:val="0003251B"/>
    <w:rsid w:val="00036E26"/>
    <w:rsid w:val="00063780"/>
    <w:rsid w:val="000641FF"/>
    <w:rsid w:val="00067E38"/>
    <w:rsid w:val="000950E6"/>
    <w:rsid w:val="000957D4"/>
    <w:rsid w:val="00096785"/>
    <w:rsid w:val="000C38C0"/>
    <w:rsid w:val="000D5E7F"/>
    <w:rsid w:val="000E202E"/>
    <w:rsid w:val="00124C7F"/>
    <w:rsid w:val="0012690D"/>
    <w:rsid w:val="00147E01"/>
    <w:rsid w:val="00160E06"/>
    <w:rsid w:val="001710A0"/>
    <w:rsid w:val="00180713"/>
    <w:rsid w:val="00195D09"/>
    <w:rsid w:val="001B0218"/>
    <w:rsid w:val="001C4314"/>
    <w:rsid w:val="001C703A"/>
    <w:rsid w:val="0029359B"/>
    <w:rsid w:val="0029650E"/>
    <w:rsid w:val="002D43CC"/>
    <w:rsid w:val="002D4519"/>
    <w:rsid w:val="002F3177"/>
    <w:rsid w:val="0031756C"/>
    <w:rsid w:val="003311BA"/>
    <w:rsid w:val="00334809"/>
    <w:rsid w:val="003377BF"/>
    <w:rsid w:val="003437D6"/>
    <w:rsid w:val="0034476A"/>
    <w:rsid w:val="00364AE2"/>
    <w:rsid w:val="003720F8"/>
    <w:rsid w:val="0038520F"/>
    <w:rsid w:val="003C21AB"/>
    <w:rsid w:val="003D632B"/>
    <w:rsid w:val="003E27FB"/>
    <w:rsid w:val="003F3A85"/>
    <w:rsid w:val="00404B8C"/>
    <w:rsid w:val="00417C5F"/>
    <w:rsid w:val="00431CC2"/>
    <w:rsid w:val="004417FA"/>
    <w:rsid w:val="004422DA"/>
    <w:rsid w:val="00474689"/>
    <w:rsid w:val="004908A3"/>
    <w:rsid w:val="00495C72"/>
    <w:rsid w:val="00496DE5"/>
    <w:rsid w:val="004B01A3"/>
    <w:rsid w:val="004C6A32"/>
    <w:rsid w:val="004D7197"/>
    <w:rsid w:val="004E5681"/>
    <w:rsid w:val="004E6CCC"/>
    <w:rsid w:val="004F3CE4"/>
    <w:rsid w:val="005073E5"/>
    <w:rsid w:val="0051588D"/>
    <w:rsid w:val="00516C3A"/>
    <w:rsid w:val="00516F3D"/>
    <w:rsid w:val="00566048"/>
    <w:rsid w:val="005768B8"/>
    <w:rsid w:val="005936BE"/>
    <w:rsid w:val="005B2ADD"/>
    <w:rsid w:val="005D136D"/>
    <w:rsid w:val="005D1CF3"/>
    <w:rsid w:val="005D1F48"/>
    <w:rsid w:val="005D510E"/>
    <w:rsid w:val="005D69DE"/>
    <w:rsid w:val="005E193E"/>
    <w:rsid w:val="005E2272"/>
    <w:rsid w:val="005F444E"/>
    <w:rsid w:val="00607982"/>
    <w:rsid w:val="00623A8D"/>
    <w:rsid w:val="00623B56"/>
    <w:rsid w:val="0062530A"/>
    <w:rsid w:val="00627960"/>
    <w:rsid w:val="006515F2"/>
    <w:rsid w:val="00655C6B"/>
    <w:rsid w:val="0067601C"/>
    <w:rsid w:val="00685B04"/>
    <w:rsid w:val="006A56AA"/>
    <w:rsid w:val="006A6079"/>
    <w:rsid w:val="00732679"/>
    <w:rsid w:val="00745287"/>
    <w:rsid w:val="00752B87"/>
    <w:rsid w:val="00752EAB"/>
    <w:rsid w:val="00761860"/>
    <w:rsid w:val="00772920"/>
    <w:rsid w:val="00781D68"/>
    <w:rsid w:val="007A72AA"/>
    <w:rsid w:val="007B065B"/>
    <w:rsid w:val="007D31E5"/>
    <w:rsid w:val="007F54A4"/>
    <w:rsid w:val="008114D2"/>
    <w:rsid w:val="00821D6F"/>
    <w:rsid w:val="00822CB5"/>
    <w:rsid w:val="00831234"/>
    <w:rsid w:val="00840E56"/>
    <w:rsid w:val="008538E1"/>
    <w:rsid w:val="00861247"/>
    <w:rsid w:val="00867198"/>
    <w:rsid w:val="008A065A"/>
    <w:rsid w:val="008C57DA"/>
    <w:rsid w:val="008D2795"/>
    <w:rsid w:val="008E087F"/>
    <w:rsid w:val="008F1E84"/>
    <w:rsid w:val="008F43F2"/>
    <w:rsid w:val="008F77E5"/>
    <w:rsid w:val="00904A02"/>
    <w:rsid w:val="00980786"/>
    <w:rsid w:val="009829F2"/>
    <w:rsid w:val="00987EDF"/>
    <w:rsid w:val="00990A44"/>
    <w:rsid w:val="00991BD4"/>
    <w:rsid w:val="00991D51"/>
    <w:rsid w:val="009A0788"/>
    <w:rsid w:val="009A3851"/>
    <w:rsid w:val="009A743E"/>
    <w:rsid w:val="009D674C"/>
    <w:rsid w:val="009E31D8"/>
    <w:rsid w:val="009E57EF"/>
    <w:rsid w:val="009E750E"/>
    <w:rsid w:val="009F3D29"/>
    <w:rsid w:val="009F5BA0"/>
    <w:rsid w:val="00A5616B"/>
    <w:rsid w:val="00A83AE5"/>
    <w:rsid w:val="00A90901"/>
    <w:rsid w:val="00AC510A"/>
    <w:rsid w:val="00AD2D99"/>
    <w:rsid w:val="00AE06AE"/>
    <w:rsid w:val="00AE0A43"/>
    <w:rsid w:val="00AF65C8"/>
    <w:rsid w:val="00AF6A0F"/>
    <w:rsid w:val="00B15B57"/>
    <w:rsid w:val="00B23632"/>
    <w:rsid w:val="00B32CF2"/>
    <w:rsid w:val="00B5002F"/>
    <w:rsid w:val="00B509BC"/>
    <w:rsid w:val="00B63FBD"/>
    <w:rsid w:val="00B66AE9"/>
    <w:rsid w:val="00B800D6"/>
    <w:rsid w:val="00BC04E3"/>
    <w:rsid w:val="00BC30A3"/>
    <w:rsid w:val="00BD06E3"/>
    <w:rsid w:val="00BD37F0"/>
    <w:rsid w:val="00BD5CAE"/>
    <w:rsid w:val="00BD7C35"/>
    <w:rsid w:val="00BE3865"/>
    <w:rsid w:val="00C03FC7"/>
    <w:rsid w:val="00C1710D"/>
    <w:rsid w:val="00C25E48"/>
    <w:rsid w:val="00C3445B"/>
    <w:rsid w:val="00C3570C"/>
    <w:rsid w:val="00C4391A"/>
    <w:rsid w:val="00C510DE"/>
    <w:rsid w:val="00C619D4"/>
    <w:rsid w:val="00C733C8"/>
    <w:rsid w:val="00C93E69"/>
    <w:rsid w:val="00C9504E"/>
    <w:rsid w:val="00CB6FA8"/>
    <w:rsid w:val="00CB7402"/>
    <w:rsid w:val="00CC30E9"/>
    <w:rsid w:val="00CC4D7D"/>
    <w:rsid w:val="00CC6E2B"/>
    <w:rsid w:val="00CE7B9B"/>
    <w:rsid w:val="00D20B23"/>
    <w:rsid w:val="00D42C5C"/>
    <w:rsid w:val="00D463E2"/>
    <w:rsid w:val="00D52600"/>
    <w:rsid w:val="00D53278"/>
    <w:rsid w:val="00D57D0B"/>
    <w:rsid w:val="00D9718B"/>
    <w:rsid w:val="00DB795B"/>
    <w:rsid w:val="00DC18C5"/>
    <w:rsid w:val="00DF5988"/>
    <w:rsid w:val="00E0292E"/>
    <w:rsid w:val="00E11977"/>
    <w:rsid w:val="00E11EE8"/>
    <w:rsid w:val="00E1444A"/>
    <w:rsid w:val="00E26E67"/>
    <w:rsid w:val="00E3155C"/>
    <w:rsid w:val="00E46A01"/>
    <w:rsid w:val="00E65116"/>
    <w:rsid w:val="00E826FE"/>
    <w:rsid w:val="00E84B6B"/>
    <w:rsid w:val="00E9246E"/>
    <w:rsid w:val="00E92881"/>
    <w:rsid w:val="00E96A63"/>
    <w:rsid w:val="00EA09F3"/>
    <w:rsid w:val="00EA22B1"/>
    <w:rsid w:val="00EA6D67"/>
    <w:rsid w:val="00EB16EA"/>
    <w:rsid w:val="00EC2203"/>
    <w:rsid w:val="00EC39EE"/>
    <w:rsid w:val="00ED4010"/>
    <w:rsid w:val="00EE01F8"/>
    <w:rsid w:val="00EE6651"/>
    <w:rsid w:val="00EF5764"/>
    <w:rsid w:val="00EF647C"/>
    <w:rsid w:val="00F30982"/>
    <w:rsid w:val="00F376DF"/>
    <w:rsid w:val="00F67AF0"/>
    <w:rsid w:val="00F80A90"/>
    <w:rsid w:val="00F86EF1"/>
    <w:rsid w:val="00FA6851"/>
    <w:rsid w:val="00FF021B"/>
    <w:rsid w:val="5F6D44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41" fillcolor="white">
      <v:fill color="white"/>
    </o:shapedefaults>
    <o:shapelayout v:ext="edit">
      <o:idmap v:ext="edit" data="1"/>
    </o:shapelayout>
  </w:shapeDefaults>
  <w:decimalSymbol w:val="."/>
  <w:listSeparator w:val=","/>
  <w15:docId w15:val="{FC8A4CFD-53D4-4FF9-ADF3-C988BD54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TOCHeading1">
    <w:name w:val="TOC Heading1"/>
    <w:basedOn w:val="Heading1"/>
    <w:next w:val="Normal"/>
    <w:uiPriority w:val="39"/>
    <w:unhideWhenUsed/>
    <w:qFormat/>
    <w:pPr>
      <w:outlineLvl w:val="9"/>
    </w:pPr>
    <w:rPr>
      <w:lang w:val="en-US"/>
    </w:rPr>
  </w:style>
  <w:style w:type="paragraph" w:styleId="ListParagraph">
    <w:name w:val="List Paragraph"/>
    <w:basedOn w:val="Normal"/>
    <w:uiPriority w:val="34"/>
    <w:qFormat/>
    <w:pPr>
      <w:spacing w:after="0" w:line="240" w:lineRule="auto"/>
      <w:ind w:left="720"/>
    </w:pPr>
    <w:rPr>
      <w:rFonts w:ascii="Calibri" w:eastAsia="Times New Roman" w:hAnsi="Calibri" w:cs="Times New Roman"/>
      <w:sz w:val="24"/>
      <w:szCs w:val="2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pPr>
      <w:spacing w:after="0" w:line="240" w:lineRule="auto"/>
    </w:pPr>
    <w:rPr>
      <w:sz w:val="22"/>
      <w:szCs w:val="22"/>
      <w:lang w:eastAsia="en-US"/>
    </w:rPr>
  </w:style>
  <w:style w:type="paragraph" w:customStyle="1" w:styleId="Body">
    <w:name w:val="Body"/>
    <w:basedOn w:val="Normal"/>
    <w:qFormat/>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qFormat/>
    <w:pPr>
      <w:ind w:left="709"/>
    </w:pPr>
  </w:style>
  <w:style w:type="paragraph" w:customStyle="1" w:styleId="Level1">
    <w:name w:val="Level 1"/>
    <w:basedOn w:val="Body1"/>
    <w:uiPriority w:val="99"/>
    <w:qFormat/>
    <w:pPr>
      <w:numPr>
        <w:numId w:val="1"/>
      </w:numPr>
    </w:pPr>
  </w:style>
  <w:style w:type="paragraph" w:customStyle="1" w:styleId="Body2">
    <w:name w:val="Body 2"/>
    <w:basedOn w:val="Body"/>
    <w:uiPriority w:val="99"/>
    <w:pPr>
      <w:ind w:left="709"/>
    </w:pPr>
  </w:style>
  <w:style w:type="paragraph" w:customStyle="1" w:styleId="Level2">
    <w:name w:val="Level 2"/>
    <w:basedOn w:val="Body2"/>
    <w:uiPriority w:val="99"/>
    <w:pPr>
      <w:numPr>
        <w:ilvl w:val="1"/>
        <w:numId w:val="1"/>
      </w:numPr>
    </w:pPr>
  </w:style>
  <w:style w:type="paragraph" w:customStyle="1" w:styleId="Level3">
    <w:name w:val="Level 3"/>
    <w:basedOn w:val="Normal"/>
    <w:uiPriority w:val="99"/>
    <w:pPr>
      <w:numPr>
        <w:ilvl w:val="2"/>
        <w:numId w:val="1"/>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pPr>
      <w:numPr>
        <w:ilvl w:val="3"/>
        <w:numId w:val="1"/>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qFormat/>
    <w:pPr>
      <w:numPr>
        <w:ilvl w:val="4"/>
        <w:numId w:val="1"/>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qFormat/>
    <w:pPr>
      <w:numPr>
        <w:ilvl w:val="5"/>
        <w:numId w:val="1"/>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qFormat/>
    <w:pPr>
      <w:numPr>
        <w:numId w:val="2"/>
      </w:numPr>
    </w:pPr>
  </w:style>
  <w:style w:type="character" w:customStyle="1" w:styleId="Level1asHeadingtext">
    <w:name w:val="Level 1 as Heading (text)"/>
    <w:basedOn w:val="DefaultParagraphFont"/>
    <w:uiPriority w:val="99"/>
    <w:qFormat/>
    <w:rPr>
      <w:b/>
      <w:bCs/>
      <w:caps/>
    </w:rPr>
  </w:style>
  <w:style w:type="character" w:customStyle="1" w:styleId="Level2asHeadingtext">
    <w:name w:val="Level 2 as Heading (text)"/>
    <w:basedOn w:val="DefaultParagraphFont"/>
    <w:uiPriority w:val="99"/>
    <w:qFormat/>
    <w:rPr>
      <w:b/>
      <w:bCs/>
    </w:rPr>
  </w:style>
  <w:style w:type="table" w:customStyle="1" w:styleId="GridTable1Light-Accent11">
    <w:name w:val="Grid Table 1 Light - Accent 11"/>
    <w:basedOn w:val="TableNormal"/>
    <w:uiPriority w:val="46"/>
    <w:qFormat/>
    <w:pPr>
      <w:spacing w:after="0" w:line="240" w:lineRule="auto"/>
    </w:pPr>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qFormat/>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istoricengland.org.uk/images-books/publications/conservation-principles-sustainable-management-historic-environmen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enders@nmrn.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st.procurement@nmrn.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T.procurement@nmrn.org.uk" TargetMode="External"/><Relationship Id="rId5" Type="http://schemas.openxmlformats.org/officeDocument/2006/relationships/settings" Target="settings.xml"/><Relationship Id="rId15" Type="http://schemas.openxmlformats.org/officeDocument/2006/relationships/hyperlink" Target="mailto:tenders@nmrn.org.uk" TargetMode="External"/><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hst.procurement@nmrn.org.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C283C4-8078-421B-8525-B632671FF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2631</Words>
  <Characters>15001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CPLUS;JJL</dc:creator>
  <cp:lastModifiedBy>Arabella Roberts</cp:lastModifiedBy>
  <cp:revision>10</cp:revision>
  <cp:lastPrinted>2017-08-18T13:49:00Z</cp:lastPrinted>
  <dcterms:created xsi:type="dcterms:W3CDTF">2018-06-10T11:26:00Z</dcterms:created>
  <dcterms:modified xsi:type="dcterms:W3CDTF">2018-06-12T15:21:00Z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2057-10.2.0.6020</vt:lpwstr>
  </property>
</Properties>
</file>