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D10" w:rsidRDefault="004107CC" w:rsidP="00726B4D">
      <w:pPr>
        <w:ind w:left="284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Document N</w:t>
      </w:r>
      <w:r w:rsidR="00743D10" w:rsidRPr="00472568">
        <w:rPr>
          <w:rFonts w:cs="Arial"/>
          <w:sz w:val="28"/>
          <w:szCs w:val="28"/>
        </w:rPr>
        <w:t>o. 05</w:t>
      </w:r>
      <w:r w:rsidR="00743D10">
        <w:rPr>
          <w:rFonts w:cs="Arial"/>
          <w:sz w:val="28"/>
          <w:szCs w:val="28"/>
        </w:rPr>
        <w:t xml:space="preserve">b </w:t>
      </w:r>
    </w:p>
    <w:p w:rsidR="00743D10" w:rsidRDefault="00743D10" w:rsidP="00726B4D">
      <w:pPr>
        <w:ind w:left="284"/>
        <w:rPr>
          <w:rFonts w:cs="Arial"/>
          <w:sz w:val="28"/>
          <w:szCs w:val="28"/>
        </w:rPr>
      </w:pPr>
    </w:p>
    <w:p w:rsidR="00726B4D" w:rsidRPr="00726B4D" w:rsidRDefault="00726B4D" w:rsidP="00726B4D">
      <w:pPr>
        <w:pStyle w:val="NoSpacing"/>
        <w:ind w:left="284"/>
        <w:jc w:val="both"/>
        <w:rPr>
          <w:rFonts w:cs="Arial"/>
          <w:sz w:val="24"/>
          <w:szCs w:val="24"/>
        </w:rPr>
      </w:pPr>
      <w:r w:rsidRPr="00726B4D">
        <w:rPr>
          <w:rFonts w:cs="Arial"/>
          <w:sz w:val="24"/>
          <w:szCs w:val="24"/>
        </w:rPr>
        <w:t>Invitation to offer for NHS National Framework for Generic Pharmaceuticals - Sevoflurane and Vaporisers)</w:t>
      </w:r>
    </w:p>
    <w:p w:rsidR="00726B4D" w:rsidRPr="00726B4D" w:rsidRDefault="00726B4D" w:rsidP="00726B4D">
      <w:pPr>
        <w:pStyle w:val="NoSpacing"/>
        <w:ind w:left="284"/>
        <w:jc w:val="both"/>
        <w:rPr>
          <w:rFonts w:cs="Arial"/>
          <w:sz w:val="24"/>
          <w:szCs w:val="24"/>
        </w:rPr>
      </w:pPr>
      <w:r w:rsidRPr="00726B4D">
        <w:rPr>
          <w:rFonts w:cs="Arial"/>
          <w:sz w:val="24"/>
          <w:szCs w:val="24"/>
        </w:rPr>
        <w:t>Offer reference number: CM/PHG/14/5455</w:t>
      </w:r>
    </w:p>
    <w:p w:rsidR="00726B4D" w:rsidRPr="00726B4D" w:rsidRDefault="00726B4D" w:rsidP="00726B4D">
      <w:pPr>
        <w:pStyle w:val="NoSpacing"/>
        <w:ind w:left="284"/>
        <w:jc w:val="both"/>
        <w:rPr>
          <w:rFonts w:cs="Arial"/>
          <w:sz w:val="24"/>
          <w:szCs w:val="24"/>
        </w:rPr>
      </w:pPr>
      <w:r w:rsidRPr="00726B4D">
        <w:rPr>
          <w:rFonts w:cs="Arial"/>
          <w:sz w:val="24"/>
          <w:szCs w:val="24"/>
        </w:rPr>
        <w:t>Period of framework agreement: 32 months with the possibility of an extension of up to a further 16 months</w:t>
      </w:r>
    </w:p>
    <w:p w:rsidR="00726B4D" w:rsidRPr="00726B4D" w:rsidRDefault="00726B4D" w:rsidP="00726B4D">
      <w:pPr>
        <w:pStyle w:val="NoSpacing"/>
        <w:ind w:left="284"/>
        <w:jc w:val="both"/>
        <w:rPr>
          <w:rFonts w:cs="Arial"/>
          <w:sz w:val="24"/>
          <w:szCs w:val="24"/>
        </w:rPr>
      </w:pPr>
      <w:r w:rsidRPr="00726B4D">
        <w:rPr>
          <w:rFonts w:cs="Arial"/>
          <w:sz w:val="24"/>
          <w:szCs w:val="24"/>
        </w:rPr>
        <w:t>Potential periods of call-offs under the framework agreement: 1 August 2016 to 31 March 2019</w:t>
      </w:r>
    </w:p>
    <w:p w:rsidR="00743D10" w:rsidRDefault="00743D10" w:rsidP="00726B4D">
      <w:pPr>
        <w:ind w:left="284"/>
        <w:jc w:val="both"/>
        <w:rPr>
          <w:rFonts w:cs="Arial"/>
          <w:b w:val="0"/>
          <w:szCs w:val="22"/>
        </w:rPr>
      </w:pPr>
    </w:p>
    <w:p w:rsidR="00726B4D" w:rsidRDefault="00726B4D" w:rsidP="00726B4D">
      <w:pPr>
        <w:ind w:left="284"/>
        <w:jc w:val="both"/>
        <w:rPr>
          <w:rFonts w:cs="Arial"/>
          <w:b w:val="0"/>
          <w:szCs w:val="22"/>
        </w:rPr>
      </w:pPr>
    </w:p>
    <w:p w:rsidR="00726B4D" w:rsidRPr="00726B4D" w:rsidRDefault="00726B4D" w:rsidP="00726B4D">
      <w:pPr>
        <w:ind w:left="284"/>
        <w:rPr>
          <w:rFonts w:cs="Arial"/>
          <w:sz w:val="24"/>
          <w:szCs w:val="24"/>
        </w:rPr>
      </w:pPr>
      <w:r w:rsidRPr="00726B4D">
        <w:rPr>
          <w:rFonts w:cs="Arial"/>
          <w:sz w:val="24"/>
          <w:szCs w:val="24"/>
        </w:rPr>
        <w:t xml:space="preserve">– </w:t>
      </w:r>
      <w:proofErr w:type="spellStart"/>
      <w:r w:rsidRPr="00726B4D">
        <w:rPr>
          <w:rFonts w:cs="Arial"/>
          <w:sz w:val="24"/>
          <w:szCs w:val="24"/>
        </w:rPr>
        <w:t>Supplemantary</w:t>
      </w:r>
      <w:proofErr w:type="spellEnd"/>
      <w:r w:rsidRPr="00726B4D">
        <w:rPr>
          <w:rFonts w:cs="Arial"/>
          <w:sz w:val="24"/>
          <w:szCs w:val="24"/>
        </w:rPr>
        <w:t xml:space="preserve"> Specification (Sevoflurane and Vaporisers)</w:t>
      </w:r>
    </w:p>
    <w:p w:rsidR="00726B4D" w:rsidRDefault="00726B4D" w:rsidP="00726B4D">
      <w:pPr>
        <w:ind w:left="284"/>
        <w:jc w:val="both"/>
        <w:rPr>
          <w:rFonts w:cs="Arial"/>
          <w:b w:val="0"/>
          <w:szCs w:val="22"/>
        </w:rPr>
      </w:pPr>
    </w:p>
    <w:p w:rsidR="00743D10" w:rsidRDefault="00743D10" w:rsidP="00726B4D">
      <w:pPr>
        <w:ind w:left="284"/>
        <w:jc w:val="both"/>
        <w:rPr>
          <w:rFonts w:cs="Arial"/>
          <w:b w:val="0"/>
          <w:szCs w:val="22"/>
        </w:rPr>
      </w:pPr>
    </w:p>
    <w:p w:rsidR="00743D10" w:rsidRDefault="00743D10" w:rsidP="00726B4D">
      <w:pPr>
        <w:ind w:left="284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 xml:space="preserve">Document </w:t>
      </w:r>
      <w:r w:rsidR="00BF093B">
        <w:rPr>
          <w:rFonts w:cs="Arial"/>
          <w:b w:val="0"/>
          <w:szCs w:val="22"/>
        </w:rPr>
        <w:t>0</w:t>
      </w:r>
      <w:r>
        <w:rPr>
          <w:rFonts w:cs="Arial"/>
          <w:b w:val="0"/>
          <w:szCs w:val="22"/>
        </w:rPr>
        <w:t>5</w:t>
      </w:r>
      <w:r w:rsidR="00BF093B">
        <w:rPr>
          <w:rFonts w:cs="Arial"/>
          <w:b w:val="0"/>
          <w:szCs w:val="22"/>
        </w:rPr>
        <w:t>b</w:t>
      </w:r>
      <w:r>
        <w:rPr>
          <w:rFonts w:cs="Arial"/>
          <w:b w:val="0"/>
          <w:szCs w:val="22"/>
        </w:rPr>
        <w:t xml:space="preserve"> – Specification </w:t>
      </w:r>
      <w:r w:rsidR="004107CC">
        <w:rPr>
          <w:rFonts w:cs="Arial"/>
          <w:b w:val="0"/>
          <w:szCs w:val="22"/>
        </w:rPr>
        <w:t>consists of two</w:t>
      </w:r>
      <w:r>
        <w:rPr>
          <w:rFonts w:cs="Arial"/>
          <w:b w:val="0"/>
          <w:szCs w:val="22"/>
        </w:rPr>
        <w:t xml:space="preserve"> sections</w:t>
      </w:r>
    </w:p>
    <w:p w:rsidR="00743D10" w:rsidRDefault="00743D10" w:rsidP="00726B4D">
      <w:pPr>
        <w:ind w:left="284"/>
        <w:jc w:val="both"/>
        <w:rPr>
          <w:rFonts w:cs="Arial"/>
          <w:b w:val="0"/>
          <w:szCs w:val="22"/>
        </w:rPr>
      </w:pPr>
    </w:p>
    <w:p w:rsidR="00743D10" w:rsidRDefault="00743D10" w:rsidP="00726B4D">
      <w:pPr>
        <w:ind w:left="284"/>
        <w:jc w:val="both"/>
        <w:rPr>
          <w:rFonts w:cs="Arial"/>
          <w:b w:val="0"/>
          <w:szCs w:val="22"/>
        </w:rPr>
      </w:pPr>
    </w:p>
    <w:p w:rsidR="00743D10" w:rsidRDefault="004107CC" w:rsidP="00726B4D">
      <w:pPr>
        <w:ind w:left="284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Section 1</w:t>
      </w:r>
      <w:r w:rsidR="00743D10">
        <w:rPr>
          <w:rFonts w:cs="Arial"/>
          <w:b w:val="0"/>
          <w:szCs w:val="22"/>
        </w:rPr>
        <w:t>:</w:t>
      </w:r>
      <w:r w:rsidR="00743D10">
        <w:rPr>
          <w:rFonts w:cs="Arial"/>
          <w:b w:val="0"/>
          <w:szCs w:val="22"/>
        </w:rPr>
        <w:tab/>
        <w:t>Product specification</w:t>
      </w:r>
    </w:p>
    <w:p w:rsidR="00743D10" w:rsidRPr="00544A29" w:rsidRDefault="00544A29" w:rsidP="00726B4D">
      <w:pPr>
        <w:numPr>
          <w:ilvl w:val="0"/>
          <w:numId w:val="3"/>
        </w:numPr>
        <w:ind w:left="284" w:firstLine="0"/>
        <w:jc w:val="both"/>
        <w:rPr>
          <w:rFonts w:cs="Arial"/>
          <w:szCs w:val="22"/>
        </w:rPr>
      </w:pPr>
      <w:r w:rsidRPr="00544A29">
        <w:rPr>
          <w:rFonts w:cs="Arial"/>
          <w:szCs w:val="22"/>
        </w:rPr>
        <w:t>Section 2</w:t>
      </w:r>
      <w:r w:rsidR="00743D10" w:rsidRPr="00544A29">
        <w:rPr>
          <w:rFonts w:cs="Arial"/>
          <w:szCs w:val="22"/>
        </w:rPr>
        <w:t xml:space="preserve"> – specification for the supply of Vaporisers </w:t>
      </w:r>
    </w:p>
    <w:p w:rsidR="00743D10" w:rsidRDefault="00743D10" w:rsidP="00726B4D">
      <w:pPr>
        <w:ind w:left="284"/>
        <w:jc w:val="both"/>
        <w:rPr>
          <w:rFonts w:cs="Arial"/>
          <w:b w:val="0"/>
          <w:szCs w:val="22"/>
        </w:rPr>
      </w:pPr>
    </w:p>
    <w:p w:rsidR="00743D10" w:rsidRDefault="004107CC" w:rsidP="00726B4D">
      <w:pPr>
        <w:ind w:left="284"/>
        <w:jc w:val="both"/>
        <w:rPr>
          <w:rFonts w:cs="Arial"/>
          <w:szCs w:val="22"/>
        </w:rPr>
      </w:pPr>
      <w:r>
        <w:rPr>
          <w:rFonts w:cs="Arial"/>
          <w:b w:val="0"/>
          <w:szCs w:val="22"/>
        </w:rPr>
        <w:t>Section 2</w:t>
      </w:r>
      <w:r w:rsidR="00743D10">
        <w:rPr>
          <w:rFonts w:cs="Arial"/>
          <w:b w:val="0"/>
          <w:szCs w:val="22"/>
        </w:rPr>
        <w:t>:</w:t>
      </w:r>
      <w:r w:rsidR="00743D10">
        <w:rPr>
          <w:rFonts w:cs="Arial"/>
          <w:b w:val="0"/>
          <w:szCs w:val="22"/>
        </w:rPr>
        <w:tab/>
        <w:t>Commercial specifications / structure of offer</w:t>
      </w:r>
    </w:p>
    <w:p w:rsidR="00743D10" w:rsidRDefault="00743D10" w:rsidP="00726B4D">
      <w:pPr>
        <w:numPr>
          <w:ilvl w:val="1"/>
          <w:numId w:val="1"/>
        </w:numPr>
        <w:ind w:left="284" w:firstLine="0"/>
        <w:jc w:val="both"/>
        <w:rPr>
          <w:rFonts w:cs="Arial"/>
          <w:b w:val="0"/>
          <w:szCs w:val="22"/>
        </w:rPr>
      </w:pPr>
      <w:r>
        <w:rPr>
          <w:rFonts w:cs="Arial"/>
          <w:szCs w:val="22"/>
        </w:rPr>
        <w:t>Supply of Sevoflurane</w:t>
      </w:r>
    </w:p>
    <w:p w:rsidR="00743D10" w:rsidRDefault="00743D10" w:rsidP="00726B4D">
      <w:pPr>
        <w:numPr>
          <w:ilvl w:val="1"/>
          <w:numId w:val="1"/>
        </w:numPr>
        <w:ind w:left="284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Supply of Sevoflurane to include loan of vaporisers </w:t>
      </w:r>
    </w:p>
    <w:p w:rsidR="00743D10" w:rsidRDefault="00743D10" w:rsidP="00726B4D">
      <w:pPr>
        <w:ind w:left="284"/>
        <w:jc w:val="both"/>
        <w:rPr>
          <w:rFonts w:cs="Arial"/>
          <w:b w:val="0"/>
          <w:sz w:val="28"/>
          <w:szCs w:val="28"/>
        </w:rPr>
      </w:pPr>
    </w:p>
    <w:p w:rsidR="00743D10" w:rsidRDefault="00743D10" w:rsidP="00726B4D">
      <w:pPr>
        <w:ind w:left="284"/>
        <w:jc w:val="both"/>
        <w:rPr>
          <w:rFonts w:cs="Arial"/>
          <w:b w:val="0"/>
          <w:sz w:val="28"/>
          <w:szCs w:val="28"/>
        </w:rPr>
      </w:pPr>
    </w:p>
    <w:p w:rsidR="00743D10" w:rsidRDefault="00743D10" w:rsidP="00726B4D">
      <w:pPr>
        <w:ind w:left="284"/>
        <w:jc w:val="both"/>
        <w:rPr>
          <w:rFonts w:cs="Arial"/>
          <w:b w:val="0"/>
          <w:sz w:val="28"/>
          <w:szCs w:val="28"/>
        </w:rPr>
      </w:pPr>
    </w:p>
    <w:p w:rsidR="00743D10" w:rsidRDefault="00743D10" w:rsidP="00726B4D">
      <w:pPr>
        <w:ind w:left="284"/>
        <w:jc w:val="both"/>
        <w:rPr>
          <w:rFonts w:cs="Arial"/>
          <w:b w:val="0"/>
          <w:sz w:val="28"/>
          <w:szCs w:val="28"/>
        </w:rPr>
      </w:pPr>
    </w:p>
    <w:p w:rsidR="00743D10" w:rsidRDefault="00743D10" w:rsidP="00726B4D">
      <w:pPr>
        <w:ind w:left="284"/>
        <w:jc w:val="both"/>
        <w:rPr>
          <w:rFonts w:cs="Arial"/>
          <w:b w:val="0"/>
          <w:sz w:val="28"/>
          <w:szCs w:val="28"/>
        </w:rPr>
      </w:pPr>
    </w:p>
    <w:p w:rsidR="00743D10" w:rsidRDefault="00743D10" w:rsidP="00726B4D">
      <w:pPr>
        <w:ind w:left="284"/>
        <w:jc w:val="both"/>
        <w:rPr>
          <w:rFonts w:cs="Arial"/>
          <w:b w:val="0"/>
          <w:sz w:val="28"/>
          <w:szCs w:val="28"/>
        </w:rPr>
      </w:pPr>
    </w:p>
    <w:p w:rsidR="00743D10" w:rsidRDefault="00743D10" w:rsidP="00726B4D">
      <w:pPr>
        <w:ind w:left="284"/>
        <w:jc w:val="both"/>
        <w:rPr>
          <w:rFonts w:cs="Arial"/>
          <w:b w:val="0"/>
          <w:sz w:val="28"/>
          <w:szCs w:val="28"/>
        </w:rPr>
      </w:pPr>
    </w:p>
    <w:p w:rsidR="00743D10" w:rsidRDefault="00743D10" w:rsidP="00726B4D">
      <w:pPr>
        <w:ind w:left="284"/>
        <w:jc w:val="both"/>
        <w:rPr>
          <w:rFonts w:cs="Arial"/>
          <w:b w:val="0"/>
          <w:sz w:val="28"/>
          <w:szCs w:val="28"/>
        </w:rPr>
      </w:pPr>
    </w:p>
    <w:p w:rsidR="00743D10" w:rsidRDefault="00743D10" w:rsidP="00726B4D">
      <w:pPr>
        <w:ind w:left="284"/>
        <w:jc w:val="both"/>
        <w:rPr>
          <w:rFonts w:cs="Arial"/>
          <w:b w:val="0"/>
          <w:sz w:val="28"/>
          <w:szCs w:val="28"/>
        </w:rPr>
      </w:pPr>
    </w:p>
    <w:p w:rsidR="00743D10" w:rsidRDefault="00743D10" w:rsidP="00726B4D">
      <w:pPr>
        <w:ind w:left="284"/>
        <w:jc w:val="both"/>
        <w:rPr>
          <w:rFonts w:cs="Arial"/>
          <w:b w:val="0"/>
          <w:sz w:val="28"/>
          <w:szCs w:val="28"/>
        </w:rPr>
      </w:pPr>
    </w:p>
    <w:p w:rsidR="00743D10" w:rsidRDefault="00743D10" w:rsidP="00726B4D">
      <w:pPr>
        <w:ind w:left="284"/>
        <w:jc w:val="both"/>
        <w:rPr>
          <w:rFonts w:cs="Arial"/>
          <w:b w:val="0"/>
          <w:sz w:val="28"/>
          <w:szCs w:val="28"/>
        </w:rPr>
      </w:pPr>
    </w:p>
    <w:p w:rsidR="00743D10" w:rsidRDefault="00743D10" w:rsidP="00726B4D">
      <w:pPr>
        <w:ind w:left="284"/>
        <w:jc w:val="both"/>
        <w:rPr>
          <w:rFonts w:cs="Arial"/>
          <w:b w:val="0"/>
          <w:sz w:val="28"/>
          <w:szCs w:val="28"/>
        </w:rPr>
      </w:pPr>
    </w:p>
    <w:p w:rsidR="00743D10" w:rsidRDefault="00743D10" w:rsidP="00726B4D">
      <w:pPr>
        <w:ind w:left="284"/>
        <w:jc w:val="both"/>
        <w:rPr>
          <w:rFonts w:cs="Arial"/>
          <w:b w:val="0"/>
          <w:sz w:val="28"/>
          <w:szCs w:val="28"/>
        </w:rPr>
      </w:pPr>
    </w:p>
    <w:p w:rsidR="00743D10" w:rsidRDefault="00743D10" w:rsidP="00726B4D">
      <w:pPr>
        <w:ind w:left="284"/>
        <w:jc w:val="both"/>
        <w:rPr>
          <w:rFonts w:cs="Arial"/>
          <w:b w:val="0"/>
          <w:sz w:val="28"/>
          <w:szCs w:val="28"/>
        </w:rPr>
      </w:pPr>
    </w:p>
    <w:p w:rsidR="00743D10" w:rsidRDefault="00743D10" w:rsidP="00726B4D">
      <w:pPr>
        <w:ind w:left="284"/>
        <w:jc w:val="both"/>
        <w:rPr>
          <w:rFonts w:cs="Arial"/>
          <w:b w:val="0"/>
          <w:sz w:val="28"/>
          <w:szCs w:val="28"/>
        </w:rPr>
      </w:pPr>
    </w:p>
    <w:p w:rsidR="00743D10" w:rsidRDefault="00743D10" w:rsidP="00726B4D">
      <w:pPr>
        <w:ind w:left="284"/>
        <w:jc w:val="both"/>
        <w:rPr>
          <w:rFonts w:cs="Arial"/>
          <w:b w:val="0"/>
          <w:sz w:val="28"/>
          <w:szCs w:val="28"/>
        </w:rPr>
      </w:pPr>
    </w:p>
    <w:p w:rsidR="00743D10" w:rsidRDefault="00743D10" w:rsidP="00726B4D">
      <w:pPr>
        <w:ind w:left="284"/>
        <w:jc w:val="both"/>
        <w:rPr>
          <w:rFonts w:cs="Arial"/>
          <w:b w:val="0"/>
          <w:sz w:val="28"/>
          <w:szCs w:val="28"/>
        </w:rPr>
      </w:pPr>
    </w:p>
    <w:p w:rsidR="00743D10" w:rsidRDefault="00743D10" w:rsidP="00726B4D">
      <w:pPr>
        <w:ind w:left="284"/>
        <w:jc w:val="both"/>
        <w:rPr>
          <w:rFonts w:cs="Arial"/>
          <w:b w:val="0"/>
          <w:sz w:val="28"/>
          <w:szCs w:val="28"/>
        </w:rPr>
      </w:pPr>
    </w:p>
    <w:p w:rsidR="00743D10" w:rsidRDefault="00743D10" w:rsidP="00726B4D">
      <w:pPr>
        <w:ind w:left="284"/>
        <w:jc w:val="both"/>
        <w:rPr>
          <w:rFonts w:cs="Arial"/>
          <w:b w:val="0"/>
          <w:sz w:val="28"/>
          <w:szCs w:val="28"/>
        </w:rPr>
      </w:pPr>
    </w:p>
    <w:p w:rsidR="00743D10" w:rsidRDefault="00743D10" w:rsidP="00726B4D">
      <w:pPr>
        <w:ind w:left="284"/>
        <w:jc w:val="both"/>
        <w:rPr>
          <w:rFonts w:cs="Arial"/>
          <w:b w:val="0"/>
          <w:sz w:val="28"/>
          <w:szCs w:val="28"/>
        </w:rPr>
      </w:pPr>
    </w:p>
    <w:p w:rsidR="00743D10" w:rsidRDefault="00743D10" w:rsidP="00726B4D">
      <w:pPr>
        <w:ind w:left="284"/>
        <w:jc w:val="both"/>
        <w:rPr>
          <w:rFonts w:cs="Arial"/>
          <w:b w:val="0"/>
          <w:sz w:val="28"/>
          <w:szCs w:val="28"/>
        </w:rPr>
      </w:pPr>
    </w:p>
    <w:p w:rsidR="00743D10" w:rsidRDefault="00743D10" w:rsidP="00726B4D">
      <w:pPr>
        <w:ind w:left="284"/>
        <w:jc w:val="both"/>
        <w:rPr>
          <w:rFonts w:cs="Arial"/>
          <w:b w:val="0"/>
          <w:sz w:val="28"/>
          <w:szCs w:val="28"/>
        </w:rPr>
      </w:pPr>
    </w:p>
    <w:p w:rsidR="00743D10" w:rsidRDefault="00743D10" w:rsidP="00726B4D">
      <w:pPr>
        <w:ind w:left="284"/>
        <w:jc w:val="both"/>
        <w:rPr>
          <w:rFonts w:cs="Arial"/>
          <w:b w:val="0"/>
          <w:sz w:val="28"/>
          <w:szCs w:val="28"/>
        </w:rPr>
      </w:pPr>
    </w:p>
    <w:p w:rsidR="00743D10" w:rsidRDefault="00743D10" w:rsidP="00726B4D">
      <w:pPr>
        <w:ind w:left="284"/>
        <w:jc w:val="both"/>
        <w:rPr>
          <w:rFonts w:cs="Arial"/>
          <w:b w:val="0"/>
          <w:sz w:val="28"/>
          <w:szCs w:val="28"/>
        </w:rPr>
      </w:pPr>
    </w:p>
    <w:p w:rsidR="00743D10" w:rsidRDefault="004107CC" w:rsidP="00726B4D">
      <w:pPr>
        <w:ind w:left="284"/>
        <w:jc w:val="both"/>
        <w:rPr>
          <w:rFonts w:cs="Arial"/>
          <w:sz w:val="28"/>
          <w:szCs w:val="28"/>
        </w:rPr>
      </w:pPr>
      <w:r>
        <w:rPr>
          <w:rFonts w:cs="Arial"/>
          <w:b w:val="0"/>
          <w:sz w:val="28"/>
          <w:szCs w:val="28"/>
        </w:rPr>
        <w:lastRenderedPageBreak/>
        <w:t>Section 1</w:t>
      </w:r>
      <w:r w:rsidR="00743D10">
        <w:rPr>
          <w:rFonts w:cs="Arial"/>
          <w:b w:val="0"/>
          <w:sz w:val="28"/>
          <w:szCs w:val="28"/>
        </w:rPr>
        <w:t xml:space="preserve"> – specification for the supply of vaporisers</w:t>
      </w:r>
    </w:p>
    <w:p w:rsidR="00743D10" w:rsidRDefault="00743D10" w:rsidP="00726B4D">
      <w:pPr>
        <w:ind w:left="284"/>
        <w:jc w:val="both"/>
        <w:rPr>
          <w:rFonts w:cs="Arial"/>
          <w:b w:val="0"/>
          <w:sz w:val="24"/>
          <w:szCs w:val="22"/>
        </w:rPr>
      </w:pPr>
    </w:p>
    <w:p w:rsidR="00743D10" w:rsidRDefault="00743D10" w:rsidP="00726B4D">
      <w:pPr>
        <w:ind w:left="284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Vaporisers &amp; Filling Tubes must be CE Marked.</w:t>
      </w:r>
    </w:p>
    <w:p w:rsidR="00743D10" w:rsidRDefault="00743D10" w:rsidP="00726B4D">
      <w:pPr>
        <w:ind w:left="284"/>
        <w:jc w:val="both"/>
        <w:rPr>
          <w:rFonts w:cs="Arial"/>
          <w:b w:val="0"/>
          <w:szCs w:val="22"/>
        </w:rPr>
      </w:pPr>
      <w:r>
        <w:rPr>
          <w:rFonts w:cs="Arial"/>
          <w:szCs w:val="22"/>
        </w:rPr>
        <w:t xml:space="preserve"> </w:t>
      </w:r>
    </w:p>
    <w:p w:rsidR="00743D10" w:rsidRPr="00153ACE" w:rsidRDefault="00743D10" w:rsidP="00726B4D">
      <w:pPr>
        <w:ind w:left="851" w:hanging="567"/>
        <w:jc w:val="both"/>
        <w:rPr>
          <w:rFonts w:cs="Arial"/>
          <w:bCs/>
          <w:szCs w:val="22"/>
          <w:lang w:eastAsia="en-GB"/>
        </w:rPr>
      </w:pPr>
      <w:r w:rsidRPr="00153ACE">
        <w:rPr>
          <w:rFonts w:cs="Arial"/>
          <w:bCs/>
          <w:szCs w:val="22"/>
          <w:lang w:eastAsia="en-GB"/>
        </w:rPr>
        <w:t>1</w:t>
      </w:r>
      <w:r w:rsidRPr="00153ACE">
        <w:rPr>
          <w:rFonts w:cs="Arial"/>
          <w:bCs/>
          <w:szCs w:val="22"/>
          <w:lang w:eastAsia="en-GB"/>
        </w:rPr>
        <w:tab/>
        <w:t>Specification for Sevoflurane Vaporisers</w:t>
      </w:r>
    </w:p>
    <w:p w:rsidR="00743D10" w:rsidRDefault="00743D10" w:rsidP="00726B4D">
      <w:pPr>
        <w:ind w:left="851" w:hanging="567"/>
        <w:jc w:val="both"/>
        <w:rPr>
          <w:rFonts w:cs="Arial"/>
          <w:b w:val="0"/>
          <w:szCs w:val="22"/>
          <w:lang w:eastAsia="en-GB"/>
        </w:rPr>
      </w:pPr>
    </w:p>
    <w:p w:rsidR="00743D10" w:rsidRPr="00153ACE" w:rsidRDefault="00743D10" w:rsidP="00726B4D">
      <w:pPr>
        <w:ind w:left="851" w:hanging="567"/>
        <w:jc w:val="both"/>
        <w:rPr>
          <w:rFonts w:cs="Arial"/>
          <w:b w:val="0"/>
          <w:szCs w:val="22"/>
          <w:lang w:eastAsia="en-GB"/>
        </w:rPr>
      </w:pPr>
      <w:r w:rsidRPr="00153ACE">
        <w:rPr>
          <w:rFonts w:cs="Arial"/>
          <w:b w:val="0"/>
          <w:szCs w:val="22"/>
          <w:lang w:eastAsia="en-GB"/>
        </w:rPr>
        <w:t>1.1</w:t>
      </w:r>
      <w:r w:rsidRPr="00153ACE">
        <w:rPr>
          <w:rFonts w:cs="Arial"/>
          <w:b w:val="0"/>
          <w:szCs w:val="22"/>
          <w:lang w:eastAsia="en-GB"/>
        </w:rPr>
        <w:tab/>
        <w:t>Vaporisers to BS/EN/ISO 8835 part IV for the delivery of Sevoflurane (Wet/Dry).</w:t>
      </w:r>
    </w:p>
    <w:p w:rsidR="00743D10" w:rsidRPr="00153ACE" w:rsidRDefault="00743D10" w:rsidP="00726B4D">
      <w:pPr>
        <w:ind w:left="851" w:hanging="567"/>
        <w:jc w:val="both"/>
        <w:rPr>
          <w:rFonts w:cs="Arial"/>
          <w:b w:val="0"/>
          <w:sz w:val="24"/>
          <w:szCs w:val="22"/>
          <w:lang w:eastAsia="en-GB"/>
        </w:rPr>
      </w:pPr>
    </w:p>
    <w:p w:rsidR="00743D10" w:rsidRPr="00153ACE" w:rsidRDefault="00743D10" w:rsidP="00726B4D">
      <w:pPr>
        <w:ind w:left="851" w:hanging="567"/>
        <w:jc w:val="both"/>
        <w:rPr>
          <w:rFonts w:cs="Arial"/>
          <w:b w:val="0"/>
          <w:szCs w:val="22"/>
          <w:lang w:eastAsia="en-GB"/>
        </w:rPr>
      </w:pPr>
      <w:r w:rsidRPr="00153ACE">
        <w:rPr>
          <w:rFonts w:cs="Arial"/>
          <w:b w:val="0"/>
          <w:szCs w:val="22"/>
          <w:lang w:eastAsia="en-GB"/>
        </w:rPr>
        <w:t>1.2</w:t>
      </w:r>
      <w:r w:rsidRPr="00153ACE">
        <w:rPr>
          <w:rFonts w:cs="Arial"/>
          <w:b w:val="0"/>
          <w:szCs w:val="22"/>
          <w:lang w:eastAsia="en-GB"/>
        </w:rPr>
        <w:tab/>
        <w:t xml:space="preserve">To be filled using either the standard key filler for Sevoflurane or the </w:t>
      </w:r>
      <w:proofErr w:type="spellStart"/>
      <w:r w:rsidRPr="00153ACE">
        <w:rPr>
          <w:rFonts w:cs="Arial"/>
          <w:b w:val="0"/>
          <w:szCs w:val="22"/>
          <w:lang w:eastAsia="en-GB"/>
        </w:rPr>
        <w:t>Quik</w:t>
      </w:r>
      <w:proofErr w:type="spellEnd"/>
      <w:r w:rsidRPr="00153ACE">
        <w:rPr>
          <w:rFonts w:cs="Arial"/>
          <w:b w:val="0"/>
          <w:szCs w:val="22"/>
          <w:lang w:eastAsia="en-GB"/>
        </w:rPr>
        <w:t xml:space="preserve"> Fil® (or equivalent) system.</w:t>
      </w:r>
    </w:p>
    <w:p w:rsidR="00743D10" w:rsidRPr="00153ACE" w:rsidRDefault="00743D10" w:rsidP="00726B4D">
      <w:pPr>
        <w:ind w:left="851" w:hanging="567"/>
        <w:jc w:val="both"/>
        <w:rPr>
          <w:rFonts w:cs="Arial"/>
          <w:b w:val="0"/>
          <w:szCs w:val="22"/>
          <w:lang w:eastAsia="en-GB"/>
        </w:rPr>
      </w:pPr>
    </w:p>
    <w:p w:rsidR="00743D10" w:rsidRPr="00153ACE" w:rsidRDefault="00743D10" w:rsidP="00726B4D">
      <w:pPr>
        <w:ind w:left="851" w:hanging="567"/>
        <w:jc w:val="both"/>
        <w:rPr>
          <w:rFonts w:cs="Arial"/>
          <w:b w:val="0"/>
          <w:sz w:val="24"/>
          <w:szCs w:val="22"/>
          <w:lang w:eastAsia="en-GB"/>
        </w:rPr>
      </w:pPr>
      <w:r w:rsidRPr="00153ACE">
        <w:rPr>
          <w:rFonts w:cs="Arial"/>
          <w:b w:val="0"/>
          <w:szCs w:val="22"/>
          <w:lang w:eastAsia="en-GB"/>
        </w:rPr>
        <w:t>1.3</w:t>
      </w:r>
      <w:r w:rsidRPr="00153ACE">
        <w:rPr>
          <w:rFonts w:cs="Arial"/>
          <w:b w:val="0"/>
          <w:szCs w:val="22"/>
          <w:lang w:eastAsia="en-GB"/>
        </w:rPr>
        <w:tab/>
        <w:t>To be capable of connection to the Anaesthetic machine using either</w:t>
      </w:r>
      <w:r>
        <w:rPr>
          <w:rFonts w:cs="Arial"/>
          <w:b w:val="0"/>
          <w:szCs w:val="22"/>
          <w:lang w:eastAsia="en-GB"/>
        </w:rPr>
        <w:t xml:space="preserve"> </w:t>
      </w:r>
      <w:r w:rsidRPr="00153ACE">
        <w:rPr>
          <w:rFonts w:cs="Arial"/>
          <w:b w:val="0"/>
          <w:szCs w:val="22"/>
          <w:lang w:eastAsia="en-GB"/>
        </w:rPr>
        <w:t>‘</w:t>
      </w:r>
      <w:proofErr w:type="spellStart"/>
      <w:r w:rsidRPr="00153ACE">
        <w:rPr>
          <w:rFonts w:cs="Arial"/>
          <w:b w:val="0"/>
          <w:szCs w:val="22"/>
          <w:lang w:eastAsia="en-GB"/>
        </w:rPr>
        <w:t>Draeger</w:t>
      </w:r>
      <w:proofErr w:type="spellEnd"/>
      <w:r w:rsidRPr="00153ACE">
        <w:rPr>
          <w:rFonts w:cs="Arial"/>
          <w:b w:val="0"/>
          <w:szCs w:val="22"/>
          <w:lang w:eastAsia="en-GB"/>
        </w:rPr>
        <w:t xml:space="preserve"> Plug In’ ® or ‘</w:t>
      </w:r>
      <w:proofErr w:type="spellStart"/>
      <w:r w:rsidRPr="00153ACE">
        <w:rPr>
          <w:rFonts w:cs="Arial"/>
          <w:b w:val="0"/>
          <w:szCs w:val="22"/>
          <w:lang w:eastAsia="en-GB"/>
        </w:rPr>
        <w:t>Selectatec</w:t>
      </w:r>
      <w:proofErr w:type="spellEnd"/>
      <w:r w:rsidRPr="00153ACE">
        <w:rPr>
          <w:rFonts w:cs="Arial"/>
          <w:b w:val="0"/>
          <w:szCs w:val="22"/>
          <w:lang w:eastAsia="en-GB"/>
        </w:rPr>
        <w:t>’ ® compatible systems.</w:t>
      </w:r>
    </w:p>
    <w:p w:rsidR="00743D10" w:rsidRDefault="00743D10" w:rsidP="00726B4D">
      <w:pPr>
        <w:ind w:left="851" w:hanging="567"/>
        <w:jc w:val="both"/>
        <w:rPr>
          <w:rFonts w:cs="Arial"/>
          <w:szCs w:val="22"/>
          <w:lang w:eastAsia="en-GB"/>
        </w:rPr>
      </w:pPr>
    </w:p>
    <w:p w:rsidR="00743D10" w:rsidRPr="00153ACE" w:rsidRDefault="00743D10" w:rsidP="00726B4D">
      <w:pPr>
        <w:overflowPunct w:val="0"/>
        <w:autoSpaceDE w:val="0"/>
        <w:autoSpaceDN w:val="0"/>
        <w:adjustRightInd w:val="0"/>
        <w:ind w:left="851" w:hanging="567"/>
        <w:jc w:val="both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>2.</w:t>
      </w:r>
      <w:r w:rsidRPr="00153ACE">
        <w:rPr>
          <w:rFonts w:cs="Arial"/>
          <w:szCs w:val="22"/>
        </w:rPr>
        <w:tab/>
        <w:t>Ex-demonstration / reconditioned machines</w:t>
      </w:r>
    </w:p>
    <w:p w:rsidR="00743D10" w:rsidRDefault="00743D10" w:rsidP="00726B4D">
      <w:pPr>
        <w:overflowPunct w:val="0"/>
        <w:autoSpaceDE w:val="0"/>
        <w:autoSpaceDN w:val="0"/>
        <w:adjustRightInd w:val="0"/>
        <w:ind w:left="851" w:hanging="567"/>
        <w:jc w:val="both"/>
        <w:textAlignment w:val="baseline"/>
        <w:rPr>
          <w:rFonts w:cs="Arial"/>
          <w:b w:val="0"/>
          <w:szCs w:val="22"/>
        </w:rPr>
      </w:pPr>
    </w:p>
    <w:p w:rsidR="00743D10" w:rsidRPr="00153ACE" w:rsidRDefault="00726B4D" w:rsidP="00726B4D">
      <w:pPr>
        <w:overflowPunct w:val="0"/>
        <w:autoSpaceDE w:val="0"/>
        <w:autoSpaceDN w:val="0"/>
        <w:adjustRightInd w:val="0"/>
        <w:ind w:left="851" w:hanging="567"/>
        <w:jc w:val="both"/>
        <w:textAlignment w:val="baseline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ab/>
      </w:r>
      <w:r w:rsidR="00BF093B">
        <w:rPr>
          <w:rFonts w:cs="Arial"/>
          <w:b w:val="0"/>
          <w:szCs w:val="22"/>
        </w:rPr>
        <w:t>Please detail in Document 06</w:t>
      </w:r>
      <w:r w:rsidR="00743D10" w:rsidRPr="00153ACE">
        <w:rPr>
          <w:rFonts w:cs="Arial"/>
          <w:b w:val="0"/>
          <w:szCs w:val="22"/>
        </w:rPr>
        <w:t xml:space="preserve"> your offers for ex-demonstration or reconditioned machines (which must include warranty.)</w:t>
      </w:r>
    </w:p>
    <w:p w:rsidR="00743D10" w:rsidRDefault="00743D10" w:rsidP="00726B4D">
      <w:pPr>
        <w:ind w:left="284"/>
        <w:jc w:val="both"/>
        <w:rPr>
          <w:rFonts w:cs="Arial"/>
          <w:sz w:val="28"/>
          <w:szCs w:val="28"/>
        </w:rPr>
      </w:pPr>
      <w:r>
        <w:br w:type="page"/>
      </w:r>
      <w:r w:rsidR="004107CC">
        <w:rPr>
          <w:rFonts w:cs="Arial"/>
          <w:b w:val="0"/>
          <w:sz w:val="28"/>
          <w:szCs w:val="28"/>
        </w:rPr>
        <w:lastRenderedPageBreak/>
        <w:t>Section 2</w:t>
      </w:r>
      <w:r>
        <w:rPr>
          <w:rFonts w:cs="Arial"/>
          <w:b w:val="0"/>
          <w:sz w:val="28"/>
          <w:szCs w:val="28"/>
        </w:rPr>
        <w:t xml:space="preserve"> – commercial specification</w:t>
      </w:r>
    </w:p>
    <w:p w:rsidR="004107CC" w:rsidRPr="004107CC" w:rsidRDefault="004107CC" w:rsidP="00726B4D">
      <w:pPr>
        <w:ind w:left="284"/>
        <w:jc w:val="both"/>
        <w:rPr>
          <w:rFonts w:cs="Arial"/>
          <w:sz w:val="28"/>
          <w:szCs w:val="28"/>
        </w:rPr>
      </w:pPr>
    </w:p>
    <w:p w:rsidR="00743D10" w:rsidRDefault="00743D10" w:rsidP="00726B4D">
      <w:pPr>
        <w:ind w:left="284"/>
        <w:jc w:val="both"/>
        <w:rPr>
          <w:rFonts w:cs="Arial"/>
          <w:b w:val="0"/>
          <w:szCs w:val="22"/>
        </w:rPr>
      </w:pPr>
    </w:p>
    <w:p w:rsidR="00743D10" w:rsidRDefault="00743D10" w:rsidP="00726B4D">
      <w:pPr>
        <w:numPr>
          <w:ilvl w:val="1"/>
          <w:numId w:val="1"/>
        </w:numPr>
        <w:tabs>
          <w:tab w:val="clear" w:pos="1440"/>
          <w:tab w:val="num" w:pos="1134"/>
        </w:tabs>
        <w:ind w:left="851" w:hanging="567"/>
        <w:jc w:val="both"/>
        <w:rPr>
          <w:rFonts w:cs="Arial"/>
          <w:szCs w:val="22"/>
        </w:rPr>
      </w:pPr>
      <w:r>
        <w:rPr>
          <w:rFonts w:cs="Arial"/>
          <w:szCs w:val="22"/>
        </w:rPr>
        <w:t>Su</w:t>
      </w:r>
      <w:r w:rsidR="00BF093B">
        <w:rPr>
          <w:rFonts w:cs="Arial"/>
          <w:szCs w:val="22"/>
        </w:rPr>
        <w:t>pply of Sevoflurane (document 06 (tab 6a</w:t>
      </w:r>
      <w:r>
        <w:rPr>
          <w:rFonts w:cs="Arial"/>
          <w:szCs w:val="22"/>
        </w:rPr>
        <w:t>)</w:t>
      </w:r>
      <w:r w:rsidR="00BF093B">
        <w:rPr>
          <w:rFonts w:cs="Arial"/>
          <w:szCs w:val="22"/>
        </w:rPr>
        <w:t>)</w:t>
      </w:r>
    </w:p>
    <w:p w:rsidR="00743D10" w:rsidRDefault="00743D10" w:rsidP="00726B4D">
      <w:pPr>
        <w:numPr>
          <w:ilvl w:val="1"/>
          <w:numId w:val="1"/>
        </w:numPr>
        <w:tabs>
          <w:tab w:val="clear" w:pos="1440"/>
          <w:tab w:val="num" w:pos="1134"/>
        </w:tabs>
        <w:ind w:left="851" w:hanging="567"/>
        <w:jc w:val="both"/>
        <w:rPr>
          <w:rFonts w:cs="Arial"/>
          <w:szCs w:val="22"/>
        </w:rPr>
      </w:pPr>
      <w:r>
        <w:rPr>
          <w:rFonts w:cs="Arial"/>
          <w:szCs w:val="22"/>
        </w:rPr>
        <w:t>Supply of Sevoflurane to include</w:t>
      </w:r>
      <w:r w:rsidR="00BF093B">
        <w:rPr>
          <w:rFonts w:cs="Arial"/>
          <w:szCs w:val="22"/>
        </w:rPr>
        <w:t xml:space="preserve"> loan of vaporisers (document 06</w:t>
      </w:r>
      <w:r w:rsidR="00544A29">
        <w:rPr>
          <w:rFonts w:cs="Arial"/>
          <w:szCs w:val="22"/>
        </w:rPr>
        <w:t xml:space="preserve"> (tab 6b)</w:t>
      </w:r>
      <w:r>
        <w:rPr>
          <w:rFonts w:cs="Arial"/>
          <w:szCs w:val="22"/>
        </w:rPr>
        <w:t>)</w:t>
      </w:r>
    </w:p>
    <w:p w:rsidR="00743D10" w:rsidRDefault="00743D10" w:rsidP="00726B4D">
      <w:pPr>
        <w:ind w:left="851" w:hanging="567"/>
        <w:jc w:val="both"/>
        <w:rPr>
          <w:rFonts w:cs="Arial"/>
          <w:sz w:val="24"/>
          <w:szCs w:val="22"/>
        </w:rPr>
      </w:pPr>
    </w:p>
    <w:p w:rsidR="004107CC" w:rsidRDefault="004107CC" w:rsidP="00726B4D">
      <w:pPr>
        <w:ind w:left="851" w:hanging="567"/>
        <w:jc w:val="both"/>
        <w:rPr>
          <w:rFonts w:cs="Arial"/>
          <w:sz w:val="24"/>
          <w:szCs w:val="22"/>
        </w:rPr>
      </w:pPr>
    </w:p>
    <w:p w:rsidR="00743D10" w:rsidRDefault="00743D10" w:rsidP="00726B4D">
      <w:pPr>
        <w:tabs>
          <w:tab w:val="left" w:pos="1701"/>
        </w:tabs>
        <w:ind w:left="851" w:hanging="567"/>
        <w:jc w:val="both"/>
        <w:rPr>
          <w:rFonts w:cs="Arial"/>
          <w:szCs w:val="24"/>
        </w:rPr>
      </w:pPr>
      <w:r>
        <w:rPr>
          <w:rFonts w:cs="Arial"/>
          <w:szCs w:val="22"/>
        </w:rPr>
        <w:t>1</w:t>
      </w:r>
      <w:r>
        <w:rPr>
          <w:rFonts w:cs="Arial"/>
          <w:b w:val="0"/>
          <w:szCs w:val="22"/>
        </w:rPr>
        <w:tab/>
      </w:r>
      <w:r w:rsidRPr="00153ACE">
        <w:rPr>
          <w:rFonts w:cs="Arial"/>
          <w:szCs w:val="24"/>
        </w:rPr>
        <w:t>Option 1 - Offers are invited</w:t>
      </w:r>
      <w:r w:rsidR="00BF093B">
        <w:rPr>
          <w:rFonts w:cs="Arial"/>
          <w:szCs w:val="24"/>
        </w:rPr>
        <w:t xml:space="preserve"> for the supply of Sevoflurane</w:t>
      </w:r>
    </w:p>
    <w:p w:rsidR="00743D10" w:rsidRDefault="00743D10" w:rsidP="00726B4D">
      <w:pPr>
        <w:tabs>
          <w:tab w:val="left" w:pos="1701"/>
        </w:tabs>
        <w:ind w:left="851" w:hanging="567"/>
        <w:jc w:val="both"/>
        <w:rPr>
          <w:rFonts w:cs="Arial"/>
          <w:b w:val="0"/>
          <w:szCs w:val="22"/>
        </w:rPr>
      </w:pPr>
    </w:p>
    <w:p w:rsidR="00743D10" w:rsidRPr="00153ACE" w:rsidRDefault="00743D10" w:rsidP="00726B4D">
      <w:pPr>
        <w:numPr>
          <w:ilvl w:val="1"/>
          <w:numId w:val="2"/>
        </w:numPr>
        <w:tabs>
          <w:tab w:val="left" w:pos="851"/>
        </w:tabs>
        <w:ind w:left="851" w:hanging="567"/>
        <w:jc w:val="both"/>
        <w:rPr>
          <w:rFonts w:cs="Arial"/>
          <w:b w:val="0"/>
          <w:szCs w:val="22"/>
        </w:rPr>
      </w:pPr>
      <w:r w:rsidRPr="00153ACE">
        <w:rPr>
          <w:rFonts w:cs="Arial"/>
          <w:b w:val="0"/>
          <w:szCs w:val="22"/>
        </w:rPr>
        <w:t>Availability of product</w:t>
      </w:r>
    </w:p>
    <w:p w:rsidR="00743D10" w:rsidRPr="00153ACE" w:rsidRDefault="00743D10" w:rsidP="00726B4D">
      <w:pPr>
        <w:tabs>
          <w:tab w:val="left" w:pos="1701"/>
        </w:tabs>
        <w:ind w:left="851" w:hanging="567"/>
        <w:jc w:val="both"/>
        <w:rPr>
          <w:rFonts w:cs="Arial"/>
          <w:szCs w:val="22"/>
        </w:rPr>
      </w:pPr>
    </w:p>
    <w:p w:rsidR="00743D10" w:rsidRPr="00153ACE" w:rsidRDefault="00743D10" w:rsidP="00726B4D">
      <w:pPr>
        <w:tabs>
          <w:tab w:val="left" w:pos="1701"/>
        </w:tabs>
        <w:ind w:left="851" w:hanging="567"/>
        <w:jc w:val="both"/>
        <w:rPr>
          <w:rFonts w:cs="Arial"/>
          <w:b w:val="0"/>
          <w:szCs w:val="22"/>
        </w:rPr>
      </w:pPr>
      <w:r>
        <w:rPr>
          <w:rFonts w:cs="Arial"/>
          <w:szCs w:val="22"/>
        </w:rPr>
        <w:tab/>
      </w:r>
      <w:r w:rsidRPr="00153ACE">
        <w:rPr>
          <w:rFonts w:cs="Arial"/>
          <w:b w:val="0"/>
          <w:szCs w:val="22"/>
        </w:rPr>
        <w:t>Those offering supply of Sevoflurane should state the number of bottles they anticipate having available for supply each month for the purpos</w:t>
      </w:r>
      <w:r w:rsidR="00BF093B">
        <w:rPr>
          <w:rFonts w:cs="Arial"/>
          <w:b w:val="0"/>
          <w:szCs w:val="22"/>
        </w:rPr>
        <w:t>es of this agreement. Document 06 (tab 6</w:t>
      </w:r>
      <w:r w:rsidR="00227063">
        <w:rPr>
          <w:rFonts w:cs="Arial"/>
          <w:b w:val="0"/>
          <w:szCs w:val="22"/>
        </w:rPr>
        <w:t>h</w:t>
      </w:r>
      <w:bookmarkStart w:id="0" w:name="_GoBack"/>
      <w:bookmarkEnd w:id="0"/>
      <w:r w:rsidR="00BF093B">
        <w:rPr>
          <w:rFonts w:cs="Arial"/>
          <w:b w:val="0"/>
          <w:szCs w:val="22"/>
        </w:rPr>
        <w:t>)</w:t>
      </w:r>
      <w:r w:rsidRPr="00153ACE">
        <w:rPr>
          <w:rFonts w:cs="Arial"/>
          <w:b w:val="0"/>
          <w:szCs w:val="22"/>
        </w:rPr>
        <w:t xml:space="preserve">. </w:t>
      </w:r>
    </w:p>
    <w:p w:rsidR="00743D10" w:rsidRDefault="00743D10" w:rsidP="00726B4D">
      <w:pPr>
        <w:tabs>
          <w:tab w:val="left" w:pos="1701"/>
        </w:tabs>
        <w:ind w:left="851" w:hanging="567"/>
        <w:jc w:val="both"/>
        <w:rPr>
          <w:rFonts w:cs="Arial"/>
          <w:sz w:val="24"/>
          <w:szCs w:val="22"/>
        </w:rPr>
      </w:pPr>
    </w:p>
    <w:p w:rsidR="00743D10" w:rsidRDefault="00743D10" w:rsidP="00726B4D">
      <w:pPr>
        <w:tabs>
          <w:tab w:val="left" w:pos="1701"/>
        </w:tabs>
        <w:ind w:left="851" w:hanging="567"/>
        <w:jc w:val="both"/>
        <w:rPr>
          <w:rFonts w:cs="Arial"/>
          <w:szCs w:val="22"/>
        </w:rPr>
      </w:pPr>
    </w:p>
    <w:p w:rsidR="00743D10" w:rsidRPr="00153ACE" w:rsidRDefault="00743D10" w:rsidP="00726B4D">
      <w:pPr>
        <w:tabs>
          <w:tab w:val="left" w:pos="1701"/>
        </w:tabs>
        <w:ind w:left="851" w:hanging="567"/>
        <w:jc w:val="both"/>
        <w:rPr>
          <w:rFonts w:cs="Arial"/>
          <w:szCs w:val="22"/>
        </w:rPr>
      </w:pPr>
      <w:r w:rsidRPr="00153ACE">
        <w:rPr>
          <w:rFonts w:cs="Arial"/>
          <w:szCs w:val="22"/>
        </w:rPr>
        <w:t>2</w:t>
      </w:r>
      <w:r w:rsidRPr="00153ACE">
        <w:rPr>
          <w:rFonts w:cs="Arial"/>
          <w:szCs w:val="22"/>
        </w:rPr>
        <w:tab/>
        <w:t>Option 2 - Offers are invited for the supply of Sevoflurane to include loan of vaporisers</w:t>
      </w:r>
    </w:p>
    <w:p w:rsidR="00743D10" w:rsidRDefault="00743D10" w:rsidP="00726B4D">
      <w:pPr>
        <w:ind w:left="851" w:hanging="567"/>
        <w:jc w:val="both"/>
        <w:rPr>
          <w:rFonts w:cs="Arial"/>
          <w:b w:val="0"/>
          <w:szCs w:val="22"/>
        </w:rPr>
      </w:pPr>
    </w:p>
    <w:p w:rsidR="00743D10" w:rsidRPr="00153ACE" w:rsidRDefault="00743D10" w:rsidP="00726B4D">
      <w:pPr>
        <w:ind w:left="851" w:hanging="567"/>
        <w:jc w:val="both"/>
        <w:rPr>
          <w:rFonts w:cs="Arial"/>
          <w:b w:val="0"/>
          <w:szCs w:val="22"/>
        </w:rPr>
      </w:pPr>
      <w:r w:rsidRPr="00153ACE">
        <w:rPr>
          <w:rFonts w:cs="Arial"/>
          <w:b w:val="0"/>
          <w:szCs w:val="22"/>
        </w:rPr>
        <w:t>2.1</w:t>
      </w:r>
      <w:r w:rsidRPr="00153ACE">
        <w:rPr>
          <w:rFonts w:cs="Arial"/>
          <w:b w:val="0"/>
          <w:szCs w:val="22"/>
        </w:rPr>
        <w:tab/>
        <w:t>Offerors who wish to offer Sevoflurane with vaporisers on loan (option 2 – 6b</w:t>
      </w:r>
      <w:r>
        <w:rPr>
          <w:rFonts w:cs="Arial"/>
          <w:b w:val="0"/>
          <w:szCs w:val="22"/>
        </w:rPr>
        <w:t xml:space="preserve"> of Document </w:t>
      </w:r>
      <w:r w:rsidR="00544A29">
        <w:rPr>
          <w:rFonts w:cs="Arial"/>
          <w:b w:val="0"/>
          <w:szCs w:val="22"/>
        </w:rPr>
        <w:t>0</w:t>
      </w:r>
      <w:r>
        <w:rPr>
          <w:rFonts w:cs="Arial"/>
          <w:b w:val="0"/>
          <w:szCs w:val="22"/>
        </w:rPr>
        <w:t xml:space="preserve">6 Offer Schedule) </w:t>
      </w:r>
      <w:r w:rsidRPr="00153ACE">
        <w:rPr>
          <w:rFonts w:cs="Arial"/>
          <w:b w:val="0"/>
          <w:szCs w:val="22"/>
        </w:rPr>
        <w:t xml:space="preserve">should </w:t>
      </w:r>
      <w:r>
        <w:rPr>
          <w:rFonts w:cs="Arial"/>
          <w:b w:val="0"/>
          <w:szCs w:val="22"/>
        </w:rPr>
        <w:t xml:space="preserve">also </w:t>
      </w:r>
      <w:r w:rsidRPr="00153ACE">
        <w:rPr>
          <w:rFonts w:cs="Arial"/>
          <w:b w:val="0"/>
          <w:szCs w:val="22"/>
        </w:rPr>
        <w:t>complete offers for the supply of Sevoflurane</w:t>
      </w:r>
      <w:r>
        <w:rPr>
          <w:rFonts w:cs="Arial"/>
          <w:b w:val="0"/>
          <w:szCs w:val="22"/>
        </w:rPr>
        <w:t xml:space="preserve"> only</w:t>
      </w:r>
      <w:r w:rsidRPr="00153ACE">
        <w:rPr>
          <w:rFonts w:cs="Arial"/>
          <w:b w:val="0"/>
          <w:szCs w:val="22"/>
        </w:rPr>
        <w:t xml:space="preserve"> (option 1 – 6a of Document 6 Offer Schedule) and the vaporisers Specification (6c of Document 6 Offer Schedule).</w:t>
      </w:r>
    </w:p>
    <w:p w:rsidR="00743D10" w:rsidRDefault="00743D10" w:rsidP="00726B4D">
      <w:pPr>
        <w:ind w:left="851" w:hanging="567"/>
        <w:jc w:val="both"/>
        <w:rPr>
          <w:rFonts w:cs="Arial"/>
          <w:szCs w:val="22"/>
        </w:rPr>
      </w:pPr>
    </w:p>
    <w:p w:rsidR="00743D10" w:rsidRPr="00153ACE" w:rsidRDefault="00743D10" w:rsidP="00726B4D">
      <w:pPr>
        <w:ind w:left="851" w:hanging="567"/>
        <w:jc w:val="both"/>
        <w:rPr>
          <w:rFonts w:cs="Arial"/>
          <w:b w:val="0"/>
          <w:szCs w:val="22"/>
        </w:rPr>
      </w:pPr>
      <w:r w:rsidRPr="00153ACE">
        <w:rPr>
          <w:rFonts w:cs="Arial"/>
          <w:b w:val="0"/>
          <w:szCs w:val="22"/>
        </w:rPr>
        <w:t>2.2</w:t>
      </w:r>
      <w:r w:rsidRPr="00153ACE">
        <w:rPr>
          <w:rFonts w:cs="Arial"/>
          <w:b w:val="0"/>
          <w:szCs w:val="22"/>
        </w:rPr>
        <w:tab/>
        <w:t>Indemnity certificates for equipment on loan</w:t>
      </w:r>
    </w:p>
    <w:p w:rsidR="00AF1809" w:rsidRDefault="00726B4D" w:rsidP="00726B4D">
      <w:pPr>
        <w:ind w:left="851" w:hanging="567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ab/>
      </w:r>
      <w:r w:rsidR="00743D10" w:rsidRPr="00153ACE">
        <w:rPr>
          <w:rFonts w:cs="Arial"/>
          <w:b w:val="0"/>
          <w:szCs w:val="22"/>
        </w:rPr>
        <w:t>Where offers are made for the provision of on-loan equipment suppliers must be on the Master Indemnity Agreement List of</w:t>
      </w:r>
      <w:r w:rsidR="00AF1809">
        <w:rPr>
          <w:rFonts w:cs="Arial"/>
          <w:b w:val="0"/>
          <w:szCs w:val="22"/>
        </w:rPr>
        <w:t xml:space="preserve"> Suppliers. Further information can be found at:</w:t>
      </w:r>
    </w:p>
    <w:p w:rsidR="00743D10" w:rsidRDefault="00726B4D" w:rsidP="00726B4D">
      <w:pPr>
        <w:ind w:left="851" w:hanging="567"/>
        <w:jc w:val="both"/>
        <w:rPr>
          <w:rFonts w:cs="Arial"/>
          <w:b w:val="0"/>
          <w:szCs w:val="22"/>
        </w:rPr>
      </w:pPr>
      <w:r>
        <w:tab/>
      </w:r>
      <w:hyperlink r:id="rId6" w:history="1">
        <w:r w:rsidR="00AF1809" w:rsidRPr="0084260D">
          <w:rPr>
            <w:rStyle w:val="Hyperlink"/>
            <w:rFonts w:cs="Arial"/>
            <w:b w:val="0"/>
            <w:szCs w:val="22"/>
          </w:rPr>
          <w:t>https://www.gov.uk/government/publications/master-indemnity-agreement-mia</w:t>
        </w:r>
      </w:hyperlink>
    </w:p>
    <w:p w:rsidR="00AF1809" w:rsidRDefault="00AF1809" w:rsidP="00726B4D">
      <w:pPr>
        <w:ind w:left="851" w:hanging="567"/>
        <w:jc w:val="both"/>
        <w:rPr>
          <w:rFonts w:cs="Arial"/>
          <w:b w:val="0"/>
          <w:szCs w:val="22"/>
        </w:rPr>
      </w:pPr>
    </w:p>
    <w:p w:rsidR="00743D10" w:rsidRPr="00153ACE" w:rsidRDefault="00743D10" w:rsidP="00726B4D">
      <w:pPr>
        <w:ind w:left="851" w:hanging="567"/>
        <w:jc w:val="both"/>
        <w:rPr>
          <w:rFonts w:cs="Arial"/>
          <w:b w:val="0"/>
          <w:szCs w:val="22"/>
        </w:rPr>
      </w:pPr>
    </w:p>
    <w:p w:rsidR="00743D10" w:rsidRPr="00153ACE" w:rsidRDefault="00743D10" w:rsidP="00726B4D">
      <w:pPr>
        <w:ind w:left="851" w:hanging="567"/>
        <w:jc w:val="both"/>
        <w:rPr>
          <w:rFonts w:cs="Arial"/>
          <w:b w:val="0"/>
          <w:szCs w:val="22"/>
        </w:rPr>
      </w:pPr>
      <w:r w:rsidRPr="00153ACE">
        <w:rPr>
          <w:rFonts w:cs="Arial"/>
          <w:b w:val="0"/>
          <w:szCs w:val="22"/>
        </w:rPr>
        <w:t>2.3</w:t>
      </w:r>
      <w:r w:rsidRPr="00153ACE">
        <w:rPr>
          <w:rFonts w:cs="Arial"/>
          <w:b w:val="0"/>
          <w:szCs w:val="22"/>
        </w:rPr>
        <w:tab/>
        <w:t>Agreement for the supply of loan vaporisers</w:t>
      </w:r>
    </w:p>
    <w:p w:rsidR="00743D10" w:rsidRPr="00153ACE" w:rsidRDefault="00726B4D" w:rsidP="00726B4D">
      <w:pPr>
        <w:ind w:left="851" w:hanging="567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ab/>
      </w:r>
      <w:r w:rsidR="00743D10" w:rsidRPr="00153ACE">
        <w:rPr>
          <w:rFonts w:cs="Arial"/>
          <w:b w:val="0"/>
          <w:szCs w:val="22"/>
        </w:rPr>
        <w:t xml:space="preserve">The template provided in Document </w:t>
      </w:r>
      <w:r w:rsidR="00743D10">
        <w:rPr>
          <w:rFonts w:cs="Arial"/>
          <w:b w:val="0"/>
          <w:szCs w:val="22"/>
        </w:rPr>
        <w:t>3b</w:t>
      </w:r>
      <w:r w:rsidR="00743D10" w:rsidRPr="00153ACE">
        <w:rPr>
          <w:rFonts w:cs="Arial"/>
          <w:b w:val="0"/>
          <w:szCs w:val="22"/>
        </w:rPr>
        <w:t xml:space="preserve"> is to be used by contractors and purchasing units where on loan vaporisers are provided.</w:t>
      </w:r>
    </w:p>
    <w:p w:rsidR="00743D10" w:rsidRPr="00153ACE" w:rsidRDefault="00743D10" w:rsidP="00726B4D">
      <w:pPr>
        <w:ind w:left="851" w:hanging="567"/>
        <w:jc w:val="both"/>
        <w:rPr>
          <w:rFonts w:cs="Arial"/>
          <w:b w:val="0"/>
          <w:sz w:val="24"/>
          <w:szCs w:val="22"/>
        </w:rPr>
      </w:pPr>
    </w:p>
    <w:p w:rsidR="00743D10" w:rsidRPr="00153ACE" w:rsidRDefault="00743D10" w:rsidP="00726B4D">
      <w:pPr>
        <w:ind w:left="851" w:hanging="567"/>
        <w:jc w:val="both"/>
        <w:rPr>
          <w:rFonts w:cs="Arial"/>
          <w:b w:val="0"/>
          <w:szCs w:val="22"/>
        </w:rPr>
      </w:pPr>
      <w:r w:rsidRPr="00153ACE">
        <w:rPr>
          <w:rFonts w:cs="Arial"/>
          <w:b w:val="0"/>
          <w:szCs w:val="22"/>
        </w:rPr>
        <w:t>2.4</w:t>
      </w:r>
      <w:r w:rsidRPr="00153ACE">
        <w:rPr>
          <w:rFonts w:cs="Arial"/>
          <w:b w:val="0"/>
          <w:szCs w:val="22"/>
        </w:rPr>
        <w:tab/>
        <w:t>Equipment failure</w:t>
      </w:r>
    </w:p>
    <w:p w:rsidR="00743D10" w:rsidRPr="00153ACE" w:rsidRDefault="00726B4D" w:rsidP="00726B4D">
      <w:pPr>
        <w:ind w:left="851" w:hanging="567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ab/>
      </w:r>
      <w:r w:rsidR="00743D10" w:rsidRPr="00153ACE">
        <w:rPr>
          <w:rFonts w:cs="Arial"/>
          <w:b w:val="0"/>
          <w:szCs w:val="22"/>
        </w:rPr>
        <w:t xml:space="preserve">Offerors should state company policy in relation to equipment failure where equipment is provided on loan (document </w:t>
      </w:r>
      <w:r w:rsidR="00544A29">
        <w:rPr>
          <w:rFonts w:cs="Arial"/>
          <w:b w:val="0"/>
          <w:szCs w:val="22"/>
        </w:rPr>
        <w:t xml:space="preserve">06, tab </w:t>
      </w:r>
      <w:r w:rsidR="00743D10" w:rsidRPr="00153ACE">
        <w:rPr>
          <w:rFonts w:cs="Arial"/>
          <w:b w:val="0"/>
          <w:szCs w:val="22"/>
        </w:rPr>
        <w:t>6d):</w:t>
      </w:r>
    </w:p>
    <w:p w:rsidR="00743D10" w:rsidRPr="00153ACE" w:rsidRDefault="00743D10" w:rsidP="00726B4D">
      <w:pPr>
        <w:ind w:left="851" w:hanging="567"/>
        <w:jc w:val="both"/>
        <w:rPr>
          <w:rFonts w:cs="Arial"/>
          <w:b w:val="0"/>
          <w:sz w:val="24"/>
        </w:rPr>
      </w:pPr>
    </w:p>
    <w:p w:rsidR="00743D10" w:rsidRPr="00153ACE" w:rsidRDefault="00743D10" w:rsidP="00726B4D">
      <w:pPr>
        <w:pStyle w:val="Outline2"/>
        <w:ind w:left="851"/>
      </w:pPr>
      <w:r w:rsidRPr="00153ACE">
        <w:t>2.5</w:t>
      </w:r>
      <w:r w:rsidRPr="00153ACE">
        <w:tab/>
        <w:t>It is acceptable for previously used vaporisers to be supplied as part of on-loan arrangements.</w:t>
      </w:r>
    </w:p>
    <w:p w:rsidR="00743D10" w:rsidRPr="00153ACE" w:rsidRDefault="00743D10" w:rsidP="00726B4D">
      <w:pPr>
        <w:ind w:left="851" w:hanging="567"/>
        <w:jc w:val="both"/>
        <w:rPr>
          <w:rFonts w:cs="Arial"/>
          <w:b w:val="0"/>
          <w:color w:val="000000"/>
          <w:szCs w:val="22"/>
        </w:rPr>
      </w:pPr>
      <w:r w:rsidRPr="00153ACE">
        <w:rPr>
          <w:rFonts w:cs="Arial"/>
          <w:b w:val="0"/>
          <w:color w:val="000000"/>
          <w:szCs w:val="22"/>
        </w:rPr>
        <w:t>2.6</w:t>
      </w:r>
      <w:r w:rsidRPr="00153ACE">
        <w:rPr>
          <w:rFonts w:cs="Arial"/>
          <w:b w:val="0"/>
          <w:color w:val="000000"/>
          <w:szCs w:val="22"/>
        </w:rPr>
        <w:tab/>
        <w:t>It is the responsibility of the supplier organisation to manage their asset base; they must provide reasonable notice prior to reclaiming their equipment.</w:t>
      </w:r>
    </w:p>
    <w:p w:rsidR="00743D10" w:rsidRDefault="00743D10" w:rsidP="00726B4D">
      <w:pPr>
        <w:ind w:left="851" w:hanging="567"/>
        <w:jc w:val="both"/>
        <w:rPr>
          <w:rFonts w:cs="Arial"/>
          <w:szCs w:val="22"/>
        </w:rPr>
      </w:pPr>
    </w:p>
    <w:p w:rsidR="00743D10" w:rsidRPr="00153ACE" w:rsidRDefault="00743D10" w:rsidP="00726B4D">
      <w:pPr>
        <w:ind w:left="851" w:hanging="567"/>
        <w:jc w:val="both"/>
        <w:rPr>
          <w:rFonts w:cs="Arial"/>
          <w:b w:val="0"/>
          <w:color w:val="FF0000"/>
          <w:szCs w:val="22"/>
        </w:rPr>
      </w:pPr>
      <w:r w:rsidRPr="00153ACE">
        <w:rPr>
          <w:rFonts w:cs="Arial"/>
          <w:b w:val="0"/>
          <w:szCs w:val="22"/>
        </w:rPr>
        <w:t>2.7</w:t>
      </w:r>
      <w:r w:rsidRPr="00153ACE">
        <w:rPr>
          <w:rFonts w:cs="Arial"/>
          <w:b w:val="0"/>
          <w:szCs w:val="22"/>
        </w:rPr>
        <w:tab/>
      </w:r>
      <w:r w:rsidRPr="00153ACE">
        <w:rPr>
          <w:rFonts w:cs="Arial"/>
          <w:b w:val="0"/>
          <w:color w:val="000000"/>
          <w:szCs w:val="22"/>
        </w:rPr>
        <w:t>Offerors must outline the mechanism by which they would calculate loss in the event that equipment provided on-loan under the terms of this agreement could not be returned due to total loss.</w:t>
      </w:r>
    </w:p>
    <w:p w:rsidR="0009307D" w:rsidRPr="00363E9F" w:rsidRDefault="0009307D" w:rsidP="00726B4D">
      <w:pPr>
        <w:ind w:left="851" w:hanging="567"/>
        <w:rPr>
          <w:rFonts w:cs="Arial"/>
          <w:szCs w:val="24"/>
        </w:rPr>
      </w:pPr>
    </w:p>
    <w:sectPr w:rsidR="0009307D" w:rsidRPr="00363E9F" w:rsidSect="00726B4D">
      <w:pgSz w:w="11906" w:h="16838"/>
      <w:pgMar w:top="1440" w:right="1133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D63D2"/>
    <w:multiLevelType w:val="hybridMultilevel"/>
    <w:tmpl w:val="346432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  <w:b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B938E4"/>
    <w:multiLevelType w:val="multilevel"/>
    <w:tmpl w:val="9B768DF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2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96" w:hanging="1800"/>
      </w:pPr>
      <w:rPr>
        <w:rFonts w:hint="default"/>
      </w:rPr>
    </w:lvl>
  </w:abstractNum>
  <w:abstractNum w:abstractNumId="2">
    <w:nsid w:val="4EC50F99"/>
    <w:multiLevelType w:val="hybridMultilevel"/>
    <w:tmpl w:val="0DCC9D48"/>
    <w:lvl w:ilvl="0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3D10"/>
    <w:rsid w:val="0009307D"/>
    <w:rsid w:val="000C596A"/>
    <w:rsid w:val="00227063"/>
    <w:rsid w:val="00363E9F"/>
    <w:rsid w:val="003F767D"/>
    <w:rsid w:val="004107CC"/>
    <w:rsid w:val="00544A29"/>
    <w:rsid w:val="00726B4D"/>
    <w:rsid w:val="00743D10"/>
    <w:rsid w:val="009438C6"/>
    <w:rsid w:val="009E70AC"/>
    <w:rsid w:val="00AF1809"/>
    <w:rsid w:val="00B571B0"/>
    <w:rsid w:val="00BF093B"/>
    <w:rsid w:val="00FE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D10"/>
    <w:rPr>
      <w:rFonts w:ascii="Arial" w:eastAsia="Times New Roman" w:hAnsi="Arial"/>
      <w:b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E9F"/>
    <w:pPr>
      <w:spacing w:before="480"/>
      <w:contextualSpacing/>
      <w:outlineLvl w:val="0"/>
    </w:pPr>
    <w:rPr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E9F"/>
    <w:pPr>
      <w:spacing w:before="200"/>
      <w:outlineLvl w:val="1"/>
    </w:pPr>
    <w:rPr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E9F"/>
    <w:pPr>
      <w:spacing w:before="200" w:line="271" w:lineRule="auto"/>
      <w:outlineLvl w:val="2"/>
    </w:pPr>
    <w:rPr>
      <w:rFonts w:ascii="Cambria" w:hAnsi="Cambria"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E9F"/>
    <w:pPr>
      <w:spacing w:before="200"/>
      <w:outlineLvl w:val="3"/>
    </w:pPr>
    <w:rPr>
      <w:rFonts w:ascii="Cambria" w:hAnsi="Cambria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E9F"/>
    <w:pPr>
      <w:spacing w:before="200"/>
      <w:outlineLvl w:val="4"/>
    </w:pPr>
    <w:rPr>
      <w:rFonts w:ascii="Cambria" w:hAnsi="Cambria"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E9F"/>
    <w:pPr>
      <w:spacing w:line="271" w:lineRule="auto"/>
      <w:outlineLvl w:val="5"/>
    </w:pPr>
    <w:rPr>
      <w:rFonts w:ascii="Cambria" w:hAnsi="Cambria"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E9F"/>
    <w:pPr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E9F"/>
    <w:pPr>
      <w:outlineLvl w:val="7"/>
    </w:pPr>
    <w:rPr>
      <w:rFonts w:ascii="Cambria" w:hAnsi="Cambria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E9F"/>
    <w:pPr>
      <w:outlineLvl w:val="8"/>
    </w:pPr>
    <w:rPr>
      <w:rFonts w:ascii="Cambria" w:hAnsi="Cambria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63E9F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363E9F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363E9F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363E9F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363E9F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363E9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363E9F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363E9F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363E9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363E9F"/>
    <w:rPr>
      <w:bCs/>
      <w:smallCaps/>
      <w:color w:val="1F497D"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63E9F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363E9F"/>
    <w:rPr>
      <w:rFonts w:ascii="Arial" w:eastAsia="Times New Roman" w:hAnsi="Arial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E9F"/>
    <w:pPr>
      <w:spacing w:after="600"/>
    </w:pPr>
    <w:rPr>
      <w:i/>
      <w:iCs/>
      <w:spacing w:val="13"/>
      <w:szCs w:val="24"/>
    </w:rPr>
  </w:style>
  <w:style w:type="character" w:customStyle="1" w:styleId="SubtitleChar">
    <w:name w:val="Subtitle Char"/>
    <w:link w:val="Subtitle"/>
    <w:uiPriority w:val="11"/>
    <w:rsid w:val="00363E9F"/>
    <w:rPr>
      <w:rFonts w:ascii="Arial" w:eastAsia="Times New Roman" w:hAnsi="Arial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63E9F"/>
    <w:rPr>
      <w:b/>
      <w:bCs/>
    </w:rPr>
  </w:style>
  <w:style w:type="character" w:styleId="Emphasis">
    <w:name w:val="Emphasis"/>
    <w:uiPriority w:val="20"/>
    <w:qFormat/>
    <w:rsid w:val="00363E9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363E9F"/>
  </w:style>
  <w:style w:type="character" w:customStyle="1" w:styleId="NoSpacingChar">
    <w:name w:val="No Spacing Char"/>
    <w:basedOn w:val="DefaultParagraphFont"/>
    <w:link w:val="NoSpacing"/>
    <w:uiPriority w:val="1"/>
    <w:rsid w:val="00363E9F"/>
  </w:style>
  <w:style w:type="paragraph" w:styleId="ListParagraph">
    <w:name w:val="List Paragraph"/>
    <w:basedOn w:val="Normal"/>
    <w:uiPriority w:val="34"/>
    <w:qFormat/>
    <w:rsid w:val="00363E9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63E9F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363E9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E9F"/>
    <w:pPr>
      <w:pBdr>
        <w:bottom w:val="single" w:sz="4" w:space="1" w:color="auto"/>
      </w:pBdr>
      <w:spacing w:before="200" w:after="280"/>
      <w:ind w:left="1008" w:right="1152"/>
      <w:jc w:val="both"/>
    </w:pPr>
    <w:rPr>
      <w:bCs/>
      <w:i/>
      <w:iCs/>
    </w:rPr>
  </w:style>
  <w:style w:type="character" w:customStyle="1" w:styleId="IntenseQuoteChar">
    <w:name w:val="Intense Quote Char"/>
    <w:link w:val="IntenseQuote"/>
    <w:uiPriority w:val="30"/>
    <w:rsid w:val="00363E9F"/>
    <w:rPr>
      <w:b/>
      <w:bCs/>
      <w:i/>
      <w:iCs/>
    </w:rPr>
  </w:style>
  <w:style w:type="character" w:styleId="SubtleEmphasis">
    <w:name w:val="Subtle Emphasis"/>
    <w:uiPriority w:val="19"/>
    <w:qFormat/>
    <w:rsid w:val="00363E9F"/>
    <w:rPr>
      <w:i/>
      <w:iCs/>
    </w:rPr>
  </w:style>
  <w:style w:type="character" w:styleId="IntenseEmphasis">
    <w:name w:val="Intense Emphasis"/>
    <w:uiPriority w:val="21"/>
    <w:qFormat/>
    <w:rsid w:val="00363E9F"/>
    <w:rPr>
      <w:b/>
      <w:bCs/>
    </w:rPr>
  </w:style>
  <w:style w:type="character" w:styleId="SubtleReference">
    <w:name w:val="Subtle Reference"/>
    <w:uiPriority w:val="31"/>
    <w:qFormat/>
    <w:rsid w:val="00363E9F"/>
    <w:rPr>
      <w:smallCaps/>
    </w:rPr>
  </w:style>
  <w:style w:type="character" w:styleId="IntenseReference">
    <w:name w:val="Intense Reference"/>
    <w:uiPriority w:val="32"/>
    <w:qFormat/>
    <w:rsid w:val="00363E9F"/>
    <w:rPr>
      <w:smallCaps/>
      <w:spacing w:val="5"/>
      <w:u w:val="single"/>
    </w:rPr>
  </w:style>
  <w:style w:type="character" w:styleId="BookTitle">
    <w:name w:val="Book Title"/>
    <w:uiPriority w:val="33"/>
    <w:qFormat/>
    <w:rsid w:val="00363E9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3E9F"/>
    <w:pPr>
      <w:outlineLvl w:val="9"/>
    </w:pPr>
  </w:style>
  <w:style w:type="character" w:styleId="Hyperlink">
    <w:name w:val="Hyperlink"/>
    <w:unhideWhenUsed/>
    <w:rsid w:val="00743D10"/>
    <w:rPr>
      <w:color w:val="0000FF"/>
      <w:u w:val="single"/>
    </w:rPr>
  </w:style>
  <w:style w:type="paragraph" w:customStyle="1" w:styleId="Outline2">
    <w:name w:val="Outline 2"/>
    <w:basedOn w:val="Normal"/>
    <w:autoRedefine/>
    <w:rsid w:val="00743D10"/>
    <w:pPr>
      <w:tabs>
        <w:tab w:val="left" w:pos="1134"/>
      </w:tabs>
      <w:spacing w:after="240"/>
      <w:ind w:left="1701" w:hanging="567"/>
      <w:jc w:val="both"/>
      <w:outlineLvl w:val="1"/>
    </w:pPr>
    <w:rPr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publications/master-indemnity-agreement-mi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PASA</Company>
  <LinksUpToDate>false</LinksUpToDate>
  <CharactersWithSpaces>3358</CharactersWithSpaces>
  <SharedDoc>false</SharedDoc>
  <HLinks>
    <vt:vector size="6" baseType="variant">
      <vt:variant>
        <vt:i4>6357027</vt:i4>
      </vt:variant>
      <vt:variant>
        <vt:i4>0</vt:i4>
      </vt:variant>
      <vt:variant>
        <vt:i4>0</vt:i4>
      </vt:variant>
      <vt:variant>
        <vt:i4>5</vt:i4>
      </vt:variant>
      <vt:variant>
        <vt:lpwstr>http://nhsmia.bipsolutions.com/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NHS Commercial Medicines Unit</dc:creator>
  <cp:keywords/>
  <dc:description/>
  <cp:lastModifiedBy>Brown, Anthony</cp:lastModifiedBy>
  <cp:revision>7</cp:revision>
  <dcterms:created xsi:type="dcterms:W3CDTF">2013-10-18T11:41:00Z</dcterms:created>
  <dcterms:modified xsi:type="dcterms:W3CDTF">2016-04-27T12:45:00Z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A2305893</vt:lpwstr>
  </property>
  <property fmtid="{D5CDD505-2E9C-101B-9397-08002B2CF9AE}" pid="3" name="Objective-Title">
    <vt:lpwstr>Document No. 05b - Supplementary Specification</vt:lpwstr>
  </property>
  <property fmtid="{D5CDD505-2E9C-101B-9397-08002B2CF9AE}" pid="4" name="Objective-Comment">
    <vt:lpwstr>
    </vt:lpwstr>
  </property>
  <property fmtid="{D5CDD505-2E9C-101B-9397-08002B2CF9AE}" pid="5" name="Objective-CreationStamp">
    <vt:filetime>2016-04-25T14:59:10Z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>
    </vt:lpwstr>
  </property>
  <property fmtid="{D5CDD505-2E9C-101B-9397-08002B2CF9AE}" pid="9" name="Objective-ModificationStamp">
    <vt:filetime>2016-04-27T12:41:41Z</vt:filetime>
  </property>
  <property fmtid="{D5CDD505-2E9C-101B-9397-08002B2CF9AE}" pid="10" name="Objective-Owner">
    <vt:lpwstr>Brown, Tony</vt:lpwstr>
  </property>
  <property fmtid="{D5CDD505-2E9C-101B-9397-08002B2CF9AE}" pid="11" name="Objective-Path">
    <vt:lpwstr>Global Folder:0001 Pharmacy Global Folder:03 Generic Medicine Projects and Contracts:Live Projects:13 Generic Pharmaceuticals Projects 2016:CM/PHG/14/5455 Generic Pharmaceuticals - Sevoflurane and Vaporisers:03 Tender for CM/PHG/14/5455 Generic Pharmaceut</vt:lpwstr>
  </property>
  <property fmtid="{D5CDD505-2E9C-101B-9397-08002B2CF9AE}" pid="12" name="Objective-Parent">
    <vt:lpwstr>03 Tender for CM/PHG/14/5455 Generic Pharmaceuticals (Sevoflurane and Vaporisers)</vt:lpwstr>
  </property>
  <property fmtid="{D5CDD505-2E9C-101B-9397-08002B2CF9AE}" pid="13" name="Objective-State">
    <vt:lpwstr>Being Edited</vt:lpwstr>
  </property>
  <property fmtid="{D5CDD505-2E9C-101B-9397-08002B2CF9AE}" pid="14" name="Objective-Version">
    <vt:lpwstr>3.1</vt:lpwstr>
  </property>
  <property fmtid="{D5CDD505-2E9C-101B-9397-08002B2CF9AE}" pid="15" name="Objective-VersionNumber">
    <vt:i4>4</vt:i4>
  </property>
  <property fmtid="{D5CDD505-2E9C-101B-9397-08002B2CF9AE}" pid="16" name="Objective-VersionComment">
    <vt:lpwstr>
    </vt:lpwstr>
  </property>
  <property fmtid="{D5CDD505-2E9C-101B-9397-08002B2CF9AE}" pid="17" name="Objective-FileNumber">
    <vt:lpwstr>qA18456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>
    </vt:lpwstr>
  </property>
</Properties>
</file>