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B0D74" w14:textId="77777777" w:rsidR="00244AE9" w:rsidRPr="00232E6E" w:rsidRDefault="00244AE9" w:rsidP="00232E6E">
      <w:pPr>
        <w:jc w:val="center"/>
        <w:rPr>
          <w:rFonts w:ascii="Arial" w:hAnsi="Arial" w:cs="Arial"/>
          <w:b/>
          <w:sz w:val="28"/>
          <w:szCs w:val="28"/>
          <w:u w:val="single"/>
        </w:rPr>
      </w:pPr>
      <w:r w:rsidRPr="00232E6E">
        <w:rPr>
          <w:rFonts w:ascii="Arial" w:hAnsi="Arial" w:cs="Arial"/>
          <w:b/>
          <w:sz w:val="28"/>
          <w:szCs w:val="28"/>
          <w:u w:val="single"/>
        </w:rPr>
        <w:t>IMPORTANT NOTICES</w:t>
      </w:r>
      <w:r w:rsidR="00F84669" w:rsidRPr="00232E6E">
        <w:rPr>
          <w:rFonts w:ascii="Arial" w:hAnsi="Arial" w:cs="Arial"/>
          <w:b/>
          <w:sz w:val="28"/>
          <w:szCs w:val="28"/>
          <w:u w:val="single"/>
        </w:rPr>
        <w:t xml:space="preserve"> FOR BIDDERS</w:t>
      </w:r>
    </w:p>
    <w:p w14:paraId="221006BD" w14:textId="77777777" w:rsidR="00244AE9" w:rsidRPr="00232E6E" w:rsidRDefault="00244AE9" w:rsidP="00232E6E">
      <w:pPr>
        <w:rPr>
          <w:rFonts w:ascii="Arial" w:hAnsi="Arial" w:cs="Arial"/>
          <w:b/>
          <w:sz w:val="22"/>
          <w:szCs w:val="22"/>
        </w:rPr>
      </w:pPr>
    </w:p>
    <w:p w14:paraId="5BDF5434" w14:textId="77777777" w:rsidR="00244AE9" w:rsidRPr="00232E6E" w:rsidRDefault="0016035F" w:rsidP="00232E6E">
      <w:pPr>
        <w:pStyle w:val="Style1"/>
        <w:keepNext w:val="0"/>
        <w:numPr>
          <w:ilvl w:val="0"/>
          <w:numId w:val="0"/>
        </w:numPr>
        <w:spacing w:before="120" w:after="120"/>
        <w:ind w:left="567" w:hanging="567"/>
        <w:jc w:val="left"/>
        <w:outlineLvl w:val="1"/>
        <w:rPr>
          <w:rFonts w:ascii="Arial" w:hAnsi="Arial"/>
          <w:sz w:val="22"/>
          <w:szCs w:val="22"/>
          <w:lang w:val="en-GB"/>
        </w:rPr>
      </w:pPr>
      <w:bookmarkStart w:id="0" w:name="_Toc341347941"/>
      <w:r w:rsidRPr="00232E6E">
        <w:rPr>
          <w:rFonts w:ascii="Arial" w:hAnsi="Arial"/>
          <w:sz w:val="22"/>
          <w:szCs w:val="22"/>
          <w:lang w:val="en-GB"/>
        </w:rPr>
        <w:t>1</w:t>
      </w:r>
      <w:r w:rsidR="00244AE9" w:rsidRPr="00232E6E">
        <w:rPr>
          <w:rFonts w:ascii="Arial" w:hAnsi="Arial"/>
          <w:sz w:val="22"/>
          <w:szCs w:val="22"/>
          <w:lang w:val="en-GB"/>
        </w:rPr>
        <w:t>.1</w:t>
      </w:r>
      <w:r w:rsidR="00244AE9" w:rsidRPr="00232E6E">
        <w:rPr>
          <w:rFonts w:ascii="Arial" w:hAnsi="Arial"/>
          <w:sz w:val="22"/>
          <w:szCs w:val="22"/>
          <w:lang w:val="en-GB"/>
        </w:rPr>
        <w:tab/>
        <w:t>general</w:t>
      </w:r>
      <w:bookmarkEnd w:id="0"/>
    </w:p>
    <w:p w14:paraId="21AE3D0A" w14:textId="77777777" w:rsidR="00244AE9" w:rsidRPr="00232E6E" w:rsidRDefault="00AD3C32" w:rsidP="00232E6E">
      <w:pPr>
        <w:spacing w:after="80"/>
        <w:rPr>
          <w:rFonts w:ascii="Arial" w:hAnsi="Arial" w:cs="Arial"/>
          <w:b/>
          <w:sz w:val="22"/>
          <w:szCs w:val="22"/>
        </w:rPr>
      </w:pPr>
      <w:bookmarkStart w:id="1" w:name="_Toc338678175"/>
      <w:bookmarkStart w:id="2" w:name="_Toc338678949"/>
      <w:bookmarkStart w:id="3" w:name="_Toc338679026"/>
      <w:bookmarkStart w:id="4" w:name="_Toc338679145"/>
      <w:r w:rsidRPr="00232E6E">
        <w:rPr>
          <w:rFonts w:ascii="Arial" w:hAnsi="Arial" w:cs="Arial"/>
          <w:b/>
          <w:sz w:val="22"/>
          <w:szCs w:val="22"/>
        </w:rPr>
        <w:t xml:space="preserve">BY SIGNING THE BID, THE BIDDER </w:t>
      </w:r>
      <w:r w:rsidR="00244AE9" w:rsidRPr="00232E6E">
        <w:rPr>
          <w:rFonts w:ascii="Arial" w:hAnsi="Arial" w:cs="Arial"/>
          <w:b/>
          <w:sz w:val="22"/>
          <w:szCs w:val="22"/>
        </w:rPr>
        <w:t>WARRANTS THAT, SAVE AS DISCLOSED IN WRITING TO THE CONTRACTING AUTHORITY WITH THE BID, ANY INFORMATION SUPPLIED BY IT REMAINS TRUE AND THAT IT HAS:</w:t>
      </w:r>
      <w:bookmarkEnd w:id="1"/>
      <w:bookmarkEnd w:id="2"/>
      <w:bookmarkEnd w:id="3"/>
      <w:bookmarkEnd w:id="4"/>
    </w:p>
    <w:p w14:paraId="34685C8F"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Not passed a resolution, nor is it the subject of an order by the court, for the company’s winding-up otherwise than for the purposes of bona fide reconstruction or amalgamation, nor has it had a receiver, manager or administrator on behalf of a creditor appointed in respect of its business or any part thereof, nor is it the subject of proceedings for any of the above procedures, nor is it the subject of similar procedures under the law of any other states;</w:t>
      </w:r>
    </w:p>
    <w:p w14:paraId="22B3AF12"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Not been convicted of a criminal offence relating to the conduct of its business or </w:t>
      </w:r>
      <w:proofErr w:type="gramStart"/>
      <w:r w:rsidRPr="00232E6E">
        <w:rPr>
          <w:rFonts w:ascii="Arial" w:hAnsi="Arial" w:cs="Arial"/>
          <w:sz w:val="22"/>
          <w:szCs w:val="22"/>
        </w:rPr>
        <w:t>profession;</w:t>
      </w:r>
      <w:proofErr w:type="gramEnd"/>
    </w:p>
    <w:p w14:paraId="62500633"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Not comm</w:t>
      </w:r>
      <w:r w:rsidR="0016035F" w:rsidRPr="00232E6E">
        <w:rPr>
          <w:rFonts w:ascii="Arial" w:hAnsi="Arial" w:cs="Arial"/>
          <w:sz w:val="22"/>
          <w:szCs w:val="22"/>
        </w:rPr>
        <w:t>itt</w:t>
      </w:r>
      <w:r w:rsidRPr="00232E6E">
        <w:rPr>
          <w:rFonts w:ascii="Arial" w:hAnsi="Arial" w:cs="Arial"/>
          <w:sz w:val="22"/>
          <w:szCs w:val="22"/>
        </w:rPr>
        <w:t xml:space="preserve">ed an act of grave misconduct in the course of its business or </w:t>
      </w:r>
      <w:proofErr w:type="gramStart"/>
      <w:r w:rsidRPr="00232E6E">
        <w:rPr>
          <w:rFonts w:ascii="Arial" w:hAnsi="Arial" w:cs="Arial"/>
          <w:sz w:val="22"/>
          <w:szCs w:val="22"/>
        </w:rPr>
        <w:t>profession;</w:t>
      </w:r>
      <w:proofErr w:type="gramEnd"/>
    </w:p>
    <w:p w14:paraId="330AC95D"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Fulfilled its obligations relating to the payment of social security contributions under the laws of England and Wales or the country in which it is established;</w:t>
      </w:r>
    </w:p>
    <w:p w14:paraId="3FDBD1C6"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Fulfilled its obligations relating to the payment of taxes under the laws of England and Wales or the country in which it is established;</w:t>
      </w:r>
    </w:p>
    <w:p w14:paraId="6F0B5C5D"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Not made any material misrepresentation in providing any of the information required in relation to the above; and</w:t>
      </w:r>
    </w:p>
    <w:p w14:paraId="21E347E9"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Not disclosed, copied, reproduced or distributed and will not disclose, copy, reproduce or distribute any information contained in this document or supplied by </w:t>
      </w:r>
      <w:r w:rsidR="00937898" w:rsidRPr="00232E6E">
        <w:rPr>
          <w:rFonts w:ascii="Arial" w:hAnsi="Arial" w:cs="Arial"/>
          <w:sz w:val="22"/>
          <w:szCs w:val="22"/>
        </w:rPr>
        <w:t xml:space="preserve">any representative of the Contracting Authority </w:t>
      </w:r>
      <w:r w:rsidRPr="00232E6E">
        <w:rPr>
          <w:rFonts w:ascii="Arial" w:hAnsi="Arial" w:cs="Arial"/>
          <w:sz w:val="22"/>
          <w:szCs w:val="22"/>
        </w:rPr>
        <w:t xml:space="preserve">on behalf of the Contracting Authority to any third party at any time except for the purpose of enabling a response to the </w:t>
      </w:r>
      <w:r w:rsidR="0016035F" w:rsidRPr="00232E6E">
        <w:rPr>
          <w:rFonts w:ascii="Arial" w:hAnsi="Arial" w:cs="Arial"/>
          <w:sz w:val="22"/>
          <w:szCs w:val="22"/>
        </w:rPr>
        <w:t>ITQ</w:t>
      </w:r>
      <w:r w:rsidRPr="00232E6E">
        <w:rPr>
          <w:rFonts w:ascii="Arial" w:hAnsi="Arial" w:cs="Arial"/>
          <w:sz w:val="22"/>
          <w:szCs w:val="22"/>
        </w:rPr>
        <w:t xml:space="preserve"> to be prepared.</w:t>
      </w:r>
      <w:bookmarkStart w:id="5" w:name="_Toc341347944"/>
    </w:p>
    <w:p w14:paraId="274A6D51"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r w:rsidRPr="00232E6E">
        <w:rPr>
          <w:rFonts w:ascii="Arial" w:hAnsi="Arial"/>
          <w:sz w:val="22"/>
          <w:szCs w:val="22"/>
          <w:lang w:val="en-GB"/>
        </w:rPr>
        <w:t>1</w:t>
      </w:r>
      <w:r w:rsidR="00244AE9" w:rsidRPr="00232E6E">
        <w:rPr>
          <w:rFonts w:ascii="Arial" w:hAnsi="Arial"/>
          <w:sz w:val="22"/>
          <w:szCs w:val="22"/>
        </w:rPr>
        <w:t>.</w:t>
      </w:r>
      <w:r w:rsidR="00244AE9" w:rsidRPr="00232E6E">
        <w:rPr>
          <w:rFonts w:ascii="Arial" w:hAnsi="Arial"/>
          <w:sz w:val="22"/>
          <w:szCs w:val="22"/>
          <w:lang w:val="en-GB"/>
        </w:rPr>
        <w:t>2</w:t>
      </w:r>
      <w:r w:rsidR="00244AE9" w:rsidRPr="00232E6E">
        <w:rPr>
          <w:rFonts w:ascii="Arial" w:hAnsi="Arial"/>
          <w:sz w:val="22"/>
          <w:szCs w:val="22"/>
        </w:rPr>
        <w:tab/>
        <w:t>freedom of information</w:t>
      </w:r>
      <w:bookmarkEnd w:id="5"/>
    </w:p>
    <w:p w14:paraId="6D5094B0" w14:textId="77777777" w:rsidR="00244AE9" w:rsidRPr="00232E6E" w:rsidRDefault="00244AE9" w:rsidP="00232E6E">
      <w:pPr>
        <w:spacing w:after="80"/>
        <w:ind w:left="-11"/>
        <w:rPr>
          <w:rFonts w:ascii="Arial" w:hAnsi="Arial" w:cs="Arial"/>
          <w:sz w:val="22"/>
          <w:szCs w:val="22"/>
        </w:rPr>
      </w:pPr>
      <w:r w:rsidRPr="00232E6E">
        <w:rPr>
          <w:rFonts w:ascii="Arial" w:hAnsi="Arial" w:cs="Arial"/>
          <w:sz w:val="22"/>
          <w:szCs w:val="22"/>
        </w:rPr>
        <w:t>In accordance with the obligations and duties placed upon public authorities by the Freedom of Information Act 2000 (the “FOIA”), all information subm</w:t>
      </w:r>
      <w:r w:rsidR="0016035F" w:rsidRPr="00232E6E">
        <w:rPr>
          <w:rFonts w:ascii="Arial" w:hAnsi="Arial" w:cs="Arial"/>
          <w:sz w:val="22"/>
          <w:szCs w:val="22"/>
        </w:rPr>
        <w:t>itt</w:t>
      </w:r>
      <w:r w:rsidRPr="00232E6E">
        <w:rPr>
          <w:rFonts w:ascii="Arial" w:hAnsi="Arial" w:cs="Arial"/>
          <w:sz w:val="22"/>
          <w:szCs w:val="22"/>
        </w:rPr>
        <w:t>ed may be disclosed in response to a request made pursuant to the FOIA.</w:t>
      </w:r>
    </w:p>
    <w:p w14:paraId="47652317" w14:textId="77777777" w:rsidR="00244AE9" w:rsidRPr="00232E6E" w:rsidRDefault="00244AE9" w:rsidP="00232E6E">
      <w:pPr>
        <w:spacing w:after="40"/>
        <w:rPr>
          <w:rFonts w:ascii="Arial" w:hAnsi="Arial" w:cs="Arial"/>
          <w:sz w:val="22"/>
          <w:szCs w:val="22"/>
        </w:rPr>
      </w:pPr>
      <w:r w:rsidRPr="00232E6E">
        <w:rPr>
          <w:rFonts w:ascii="Arial" w:hAnsi="Arial" w:cs="Arial"/>
          <w:sz w:val="22"/>
          <w:szCs w:val="22"/>
        </w:rPr>
        <w:t>In respect of any information subm</w:t>
      </w:r>
      <w:r w:rsidR="0016035F" w:rsidRPr="00232E6E">
        <w:rPr>
          <w:rFonts w:ascii="Arial" w:hAnsi="Arial" w:cs="Arial"/>
          <w:sz w:val="22"/>
          <w:szCs w:val="22"/>
        </w:rPr>
        <w:t>itt</w:t>
      </w:r>
      <w:r w:rsidRPr="00232E6E">
        <w:rPr>
          <w:rFonts w:ascii="Arial" w:hAnsi="Arial" w:cs="Arial"/>
          <w:sz w:val="22"/>
          <w:szCs w:val="22"/>
        </w:rPr>
        <w:t>ed b</w:t>
      </w:r>
      <w:r w:rsidR="00AD3C32" w:rsidRPr="00232E6E">
        <w:rPr>
          <w:rFonts w:ascii="Arial" w:hAnsi="Arial" w:cs="Arial"/>
          <w:sz w:val="22"/>
          <w:szCs w:val="22"/>
        </w:rPr>
        <w:t xml:space="preserve">y a Bidder that it considers to </w:t>
      </w:r>
      <w:r w:rsidRPr="00232E6E">
        <w:rPr>
          <w:rFonts w:ascii="Arial" w:hAnsi="Arial" w:cs="Arial"/>
          <w:sz w:val="22"/>
          <w:szCs w:val="22"/>
        </w:rPr>
        <w:t>be commercially sensitive the Bidder should:</w:t>
      </w:r>
    </w:p>
    <w:p w14:paraId="0E000CA4" w14:textId="77777777" w:rsidR="00244AE9" w:rsidRPr="00232E6E" w:rsidRDefault="00244AE9" w:rsidP="00232E6E">
      <w:pPr>
        <w:numPr>
          <w:ilvl w:val="0"/>
          <w:numId w:val="7"/>
        </w:numPr>
        <w:spacing w:after="40"/>
        <w:rPr>
          <w:rFonts w:ascii="Arial" w:hAnsi="Arial" w:cs="Arial"/>
          <w:sz w:val="22"/>
          <w:szCs w:val="22"/>
        </w:rPr>
      </w:pPr>
      <w:r w:rsidRPr="00232E6E">
        <w:rPr>
          <w:rFonts w:ascii="Arial" w:hAnsi="Arial" w:cs="Arial"/>
          <w:sz w:val="22"/>
          <w:szCs w:val="22"/>
        </w:rPr>
        <w:t xml:space="preserve">Clearly identify such information as commercially </w:t>
      </w:r>
      <w:proofErr w:type="gramStart"/>
      <w:r w:rsidRPr="00232E6E">
        <w:rPr>
          <w:rFonts w:ascii="Arial" w:hAnsi="Arial" w:cs="Arial"/>
          <w:sz w:val="22"/>
          <w:szCs w:val="22"/>
        </w:rPr>
        <w:t>sensitive;</w:t>
      </w:r>
      <w:proofErr w:type="gramEnd"/>
    </w:p>
    <w:p w14:paraId="32F1968B" w14:textId="77777777" w:rsidR="00244AE9" w:rsidRPr="00232E6E" w:rsidRDefault="00244AE9" w:rsidP="00232E6E">
      <w:pPr>
        <w:numPr>
          <w:ilvl w:val="0"/>
          <w:numId w:val="7"/>
        </w:numPr>
        <w:spacing w:after="40"/>
        <w:rPr>
          <w:rFonts w:ascii="Arial" w:hAnsi="Arial" w:cs="Arial"/>
          <w:sz w:val="22"/>
          <w:szCs w:val="22"/>
        </w:rPr>
      </w:pPr>
      <w:r w:rsidRPr="00232E6E">
        <w:rPr>
          <w:rFonts w:ascii="Arial" w:hAnsi="Arial" w:cs="Arial"/>
          <w:sz w:val="22"/>
          <w:szCs w:val="22"/>
        </w:rPr>
        <w:t xml:space="preserve">Explain the potential </w:t>
      </w:r>
      <w:proofErr w:type="gramStart"/>
      <w:r w:rsidRPr="00232E6E">
        <w:rPr>
          <w:rFonts w:ascii="Arial" w:hAnsi="Arial" w:cs="Arial"/>
          <w:sz w:val="22"/>
          <w:szCs w:val="22"/>
        </w:rPr>
        <w:t>implications  of</w:t>
      </w:r>
      <w:proofErr w:type="gramEnd"/>
      <w:r w:rsidRPr="00232E6E">
        <w:rPr>
          <w:rFonts w:ascii="Arial" w:hAnsi="Arial" w:cs="Arial"/>
          <w:sz w:val="22"/>
          <w:szCs w:val="22"/>
        </w:rPr>
        <w:t xml:space="preserve"> disclosure of such information; and</w:t>
      </w:r>
    </w:p>
    <w:p w14:paraId="7929175A" w14:textId="77777777" w:rsidR="00244AE9" w:rsidRPr="00232E6E" w:rsidRDefault="00244AE9" w:rsidP="00232E6E">
      <w:pPr>
        <w:numPr>
          <w:ilvl w:val="0"/>
          <w:numId w:val="7"/>
        </w:numPr>
        <w:spacing w:after="80"/>
        <w:rPr>
          <w:rFonts w:ascii="Arial" w:hAnsi="Arial" w:cs="Arial"/>
          <w:sz w:val="22"/>
          <w:szCs w:val="22"/>
        </w:rPr>
      </w:pPr>
      <w:r w:rsidRPr="00232E6E">
        <w:rPr>
          <w:rFonts w:ascii="Arial" w:hAnsi="Arial" w:cs="Arial"/>
          <w:sz w:val="22"/>
          <w:szCs w:val="22"/>
        </w:rPr>
        <w:t xml:space="preserve">Provide an estimate of the </w:t>
      </w:r>
      <w:proofErr w:type="gramStart"/>
      <w:r w:rsidRPr="00232E6E">
        <w:rPr>
          <w:rFonts w:ascii="Arial" w:hAnsi="Arial" w:cs="Arial"/>
          <w:sz w:val="22"/>
          <w:szCs w:val="22"/>
        </w:rPr>
        <w:t>period of time</w:t>
      </w:r>
      <w:proofErr w:type="gramEnd"/>
      <w:r w:rsidRPr="00232E6E">
        <w:rPr>
          <w:rFonts w:ascii="Arial" w:hAnsi="Arial" w:cs="Arial"/>
          <w:sz w:val="22"/>
          <w:szCs w:val="22"/>
        </w:rPr>
        <w:t xml:space="preserve"> during which the Bidder believes that such information will remain commercially sensitive.</w:t>
      </w:r>
    </w:p>
    <w:p w14:paraId="3871D520"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Where a Bidder identifies information as commercially sensitive, the Contracting Authority will endeavour to maintain confidentiality.  Bidders should note, however, that, even where information is identified as commercially sensitive, the Contracting Authority may be required to disclose such information in accordance with the FOIA or Environmental information Request (EIR). In particular, the Contracting Authority is required to form an independent judgement concerning whether the information is exempt from disclosure under the FOIA or the EIR and whether the public interest favours disclosure or not.  Accordingly, the Contracting Authority cannot guarantee that any information marked ‘confidential’ or ‘commercially sensitive’ will not be disclosed. </w:t>
      </w:r>
    </w:p>
    <w:p w14:paraId="020A092A"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6" w:name="_Toc341347945"/>
      <w:r w:rsidRPr="00232E6E">
        <w:rPr>
          <w:rFonts w:ascii="Arial" w:hAnsi="Arial"/>
          <w:sz w:val="22"/>
          <w:szCs w:val="22"/>
          <w:lang w:val="en-GB"/>
        </w:rPr>
        <w:t>1</w:t>
      </w:r>
      <w:r w:rsidR="00244AE9" w:rsidRPr="00232E6E">
        <w:rPr>
          <w:rFonts w:ascii="Arial" w:hAnsi="Arial"/>
          <w:sz w:val="22"/>
          <w:szCs w:val="22"/>
        </w:rPr>
        <w:t>.</w:t>
      </w:r>
      <w:r w:rsidR="00244AE9" w:rsidRPr="00232E6E">
        <w:rPr>
          <w:rFonts w:ascii="Arial" w:hAnsi="Arial"/>
          <w:sz w:val="22"/>
          <w:szCs w:val="22"/>
          <w:lang w:val="en-GB"/>
        </w:rPr>
        <w:t>3</w:t>
      </w:r>
      <w:r w:rsidR="00244AE9" w:rsidRPr="00232E6E">
        <w:rPr>
          <w:rFonts w:ascii="Arial" w:hAnsi="Arial"/>
          <w:sz w:val="22"/>
          <w:szCs w:val="22"/>
        </w:rPr>
        <w:tab/>
        <w:t>canvassing</w:t>
      </w:r>
      <w:bookmarkEnd w:id="6"/>
    </w:p>
    <w:p w14:paraId="560E503F"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The Contracting Authority reserves the right to disqualify (without prejudice to any other civil remedies available to the Contracting Authority and without prejudice to any criminal liability which such conduct by a Bidder or any of their Bidder Members may attract) any Bidder or Bidder Member who, in connection with this IT</w:t>
      </w:r>
      <w:r w:rsidR="0016035F" w:rsidRPr="00232E6E">
        <w:rPr>
          <w:rFonts w:ascii="Arial" w:hAnsi="Arial" w:cs="Arial"/>
          <w:sz w:val="22"/>
          <w:szCs w:val="22"/>
        </w:rPr>
        <w:t>Q</w:t>
      </w:r>
      <w:r w:rsidRPr="00232E6E">
        <w:rPr>
          <w:rFonts w:ascii="Arial" w:hAnsi="Arial" w:cs="Arial"/>
          <w:sz w:val="22"/>
          <w:szCs w:val="22"/>
        </w:rPr>
        <w:t>:</w:t>
      </w:r>
    </w:p>
    <w:p w14:paraId="7E295F5F" w14:textId="77777777" w:rsidR="00244AE9" w:rsidRPr="00232E6E" w:rsidRDefault="00244AE9" w:rsidP="00232E6E">
      <w:pPr>
        <w:numPr>
          <w:ilvl w:val="0"/>
          <w:numId w:val="6"/>
        </w:numPr>
        <w:spacing w:after="80"/>
        <w:rPr>
          <w:rFonts w:ascii="Arial" w:hAnsi="Arial" w:cs="Arial"/>
          <w:sz w:val="22"/>
          <w:szCs w:val="22"/>
        </w:rPr>
      </w:pPr>
      <w:r w:rsidRPr="00232E6E">
        <w:rPr>
          <w:rFonts w:ascii="Arial" w:hAnsi="Arial" w:cs="Arial"/>
          <w:sz w:val="22"/>
          <w:szCs w:val="22"/>
        </w:rPr>
        <w:lastRenderedPageBreak/>
        <w:t xml:space="preserve">Offers any inducement, fee or reward to any representatives or advisors of </w:t>
      </w:r>
      <w:r w:rsidR="00937898" w:rsidRPr="00232E6E">
        <w:rPr>
          <w:rFonts w:ascii="Arial" w:hAnsi="Arial" w:cs="Arial"/>
          <w:sz w:val="22"/>
          <w:szCs w:val="22"/>
        </w:rPr>
        <w:t xml:space="preserve">any representative of the Contracting Authority </w:t>
      </w:r>
      <w:r w:rsidRPr="00232E6E">
        <w:rPr>
          <w:rFonts w:ascii="Arial" w:hAnsi="Arial" w:cs="Arial"/>
          <w:sz w:val="22"/>
          <w:szCs w:val="22"/>
        </w:rPr>
        <w:t xml:space="preserve">or of the Contracting Authority or of any </w:t>
      </w:r>
      <w:r w:rsidR="00E71113" w:rsidRPr="00232E6E">
        <w:rPr>
          <w:rFonts w:ascii="Arial" w:hAnsi="Arial" w:cs="Arial"/>
          <w:sz w:val="22"/>
          <w:szCs w:val="22"/>
        </w:rPr>
        <w:t>ICB</w:t>
      </w:r>
      <w:r w:rsidRPr="00232E6E">
        <w:rPr>
          <w:rFonts w:ascii="Arial" w:hAnsi="Arial" w:cs="Arial"/>
          <w:sz w:val="22"/>
          <w:szCs w:val="22"/>
        </w:rPr>
        <w:t xml:space="preserve"> on whose behalf this exercise is being </w:t>
      </w:r>
      <w:proofErr w:type="gramStart"/>
      <w:r w:rsidRPr="00232E6E">
        <w:rPr>
          <w:rFonts w:ascii="Arial" w:hAnsi="Arial" w:cs="Arial"/>
          <w:sz w:val="22"/>
          <w:szCs w:val="22"/>
        </w:rPr>
        <w:t>undertaken;</w:t>
      </w:r>
      <w:proofErr w:type="gramEnd"/>
    </w:p>
    <w:p w14:paraId="143CB23B" w14:textId="77777777" w:rsidR="00244AE9" w:rsidRPr="00232E6E" w:rsidRDefault="00244AE9" w:rsidP="00232E6E">
      <w:pPr>
        <w:numPr>
          <w:ilvl w:val="0"/>
          <w:numId w:val="6"/>
        </w:numPr>
        <w:spacing w:after="80"/>
        <w:rPr>
          <w:rFonts w:ascii="Arial" w:hAnsi="Arial" w:cs="Arial"/>
          <w:sz w:val="22"/>
          <w:szCs w:val="22"/>
        </w:rPr>
      </w:pPr>
      <w:r w:rsidRPr="00232E6E">
        <w:rPr>
          <w:rFonts w:ascii="Arial" w:hAnsi="Arial" w:cs="Arial"/>
          <w:sz w:val="22"/>
          <w:szCs w:val="22"/>
        </w:rPr>
        <w:t xml:space="preserve">Does anything which would constitute a breach of the Bribery Act </w:t>
      </w:r>
      <w:proofErr w:type="gramStart"/>
      <w:r w:rsidRPr="00232E6E">
        <w:rPr>
          <w:rFonts w:ascii="Arial" w:hAnsi="Arial" w:cs="Arial"/>
          <w:sz w:val="22"/>
          <w:szCs w:val="22"/>
        </w:rPr>
        <w:t>2010;</w:t>
      </w:r>
      <w:proofErr w:type="gramEnd"/>
      <w:r w:rsidRPr="00232E6E">
        <w:rPr>
          <w:rFonts w:ascii="Arial" w:hAnsi="Arial" w:cs="Arial"/>
          <w:sz w:val="22"/>
          <w:szCs w:val="22"/>
        </w:rPr>
        <w:t xml:space="preserve"> </w:t>
      </w:r>
    </w:p>
    <w:p w14:paraId="778E3881" w14:textId="77777777" w:rsidR="00244AE9" w:rsidRPr="00232E6E" w:rsidRDefault="00244AE9" w:rsidP="00232E6E">
      <w:pPr>
        <w:numPr>
          <w:ilvl w:val="0"/>
          <w:numId w:val="6"/>
        </w:numPr>
        <w:spacing w:after="80"/>
        <w:rPr>
          <w:rFonts w:ascii="Arial" w:hAnsi="Arial" w:cs="Arial"/>
          <w:sz w:val="22"/>
          <w:szCs w:val="22"/>
        </w:rPr>
      </w:pPr>
      <w:r w:rsidRPr="00232E6E">
        <w:rPr>
          <w:rFonts w:ascii="Arial" w:hAnsi="Arial" w:cs="Arial"/>
          <w:sz w:val="22"/>
          <w:szCs w:val="22"/>
        </w:rPr>
        <w:t xml:space="preserve">Contacts any of the persons referred to above prior to conclusion of the Contract with the Recommended Bidder about any aspect of the </w:t>
      </w:r>
      <w:r w:rsidR="0016035F" w:rsidRPr="00232E6E">
        <w:rPr>
          <w:rFonts w:ascii="Arial" w:hAnsi="Arial" w:cs="Arial"/>
          <w:sz w:val="22"/>
          <w:szCs w:val="22"/>
        </w:rPr>
        <w:t>ITQ</w:t>
      </w:r>
      <w:r w:rsidRPr="00232E6E">
        <w:rPr>
          <w:rFonts w:ascii="Arial" w:hAnsi="Arial" w:cs="Arial"/>
          <w:sz w:val="22"/>
          <w:szCs w:val="22"/>
        </w:rPr>
        <w:t xml:space="preserve"> in a manner not </w:t>
      </w:r>
      <w:r w:rsidR="0016035F" w:rsidRPr="00232E6E">
        <w:rPr>
          <w:rFonts w:ascii="Arial" w:hAnsi="Arial" w:cs="Arial"/>
          <w:sz w:val="22"/>
          <w:szCs w:val="22"/>
        </w:rPr>
        <w:t>permitted</w:t>
      </w:r>
      <w:r w:rsidRPr="00232E6E">
        <w:rPr>
          <w:rFonts w:ascii="Arial" w:hAnsi="Arial" w:cs="Arial"/>
          <w:sz w:val="22"/>
          <w:szCs w:val="22"/>
        </w:rPr>
        <w:t xml:space="preserve"> by this </w:t>
      </w:r>
      <w:r w:rsidR="0016035F" w:rsidRPr="00232E6E">
        <w:rPr>
          <w:rFonts w:ascii="Arial" w:hAnsi="Arial" w:cs="Arial"/>
          <w:sz w:val="22"/>
          <w:szCs w:val="22"/>
        </w:rPr>
        <w:t>ITQ</w:t>
      </w:r>
      <w:r w:rsidRPr="00232E6E">
        <w:rPr>
          <w:rFonts w:ascii="Arial" w:hAnsi="Arial" w:cs="Arial"/>
          <w:sz w:val="22"/>
          <w:szCs w:val="22"/>
        </w:rPr>
        <w:t xml:space="preserve"> (including without limitation contact for the purposes of discussing the possible transfer to the employment of the Bidder of such person).</w:t>
      </w:r>
    </w:p>
    <w:p w14:paraId="261A9A1C" w14:textId="77777777" w:rsidR="00244AE9" w:rsidRPr="00232E6E" w:rsidRDefault="00244AE9" w:rsidP="00232E6E">
      <w:pPr>
        <w:pStyle w:val="ListParagraph"/>
        <w:spacing w:after="80"/>
        <w:ind w:left="0"/>
        <w:rPr>
          <w:rFonts w:ascii="Arial" w:hAnsi="Arial" w:cs="Arial"/>
          <w:sz w:val="22"/>
          <w:szCs w:val="22"/>
        </w:rPr>
      </w:pPr>
      <w:r w:rsidRPr="00232E6E">
        <w:rPr>
          <w:rFonts w:ascii="Arial" w:hAnsi="Arial" w:cs="Arial"/>
          <w:sz w:val="22"/>
          <w:szCs w:val="22"/>
        </w:rPr>
        <w:t>.</w:t>
      </w:r>
    </w:p>
    <w:p w14:paraId="6596F7B7"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7" w:name="_Toc341347946"/>
      <w:r w:rsidRPr="00232E6E">
        <w:rPr>
          <w:rFonts w:ascii="Arial" w:hAnsi="Arial"/>
          <w:sz w:val="22"/>
          <w:szCs w:val="22"/>
          <w:lang w:val="en-GB"/>
        </w:rPr>
        <w:t>1</w:t>
      </w:r>
      <w:r w:rsidR="00244AE9" w:rsidRPr="00232E6E">
        <w:rPr>
          <w:rFonts w:ascii="Arial" w:hAnsi="Arial"/>
          <w:sz w:val="22"/>
          <w:szCs w:val="22"/>
        </w:rPr>
        <w:t>.</w:t>
      </w:r>
      <w:r w:rsidR="00244AE9" w:rsidRPr="00232E6E">
        <w:rPr>
          <w:rFonts w:ascii="Arial" w:hAnsi="Arial"/>
          <w:sz w:val="22"/>
          <w:szCs w:val="22"/>
          <w:lang w:val="en-GB"/>
        </w:rPr>
        <w:t>4</w:t>
      </w:r>
      <w:r w:rsidR="00244AE9" w:rsidRPr="00232E6E">
        <w:rPr>
          <w:rFonts w:ascii="Arial" w:hAnsi="Arial"/>
          <w:sz w:val="22"/>
          <w:szCs w:val="22"/>
        </w:rPr>
        <w:tab/>
        <w:t xml:space="preserve">accuracy of </w:t>
      </w:r>
      <w:r w:rsidRPr="00232E6E">
        <w:rPr>
          <w:rFonts w:ascii="Arial" w:hAnsi="Arial"/>
          <w:sz w:val="22"/>
          <w:szCs w:val="22"/>
        </w:rPr>
        <w:t>ITQ</w:t>
      </w:r>
      <w:r w:rsidR="00244AE9" w:rsidRPr="00232E6E">
        <w:rPr>
          <w:rFonts w:ascii="Arial" w:hAnsi="Arial"/>
          <w:sz w:val="22"/>
          <w:szCs w:val="22"/>
        </w:rPr>
        <w:t xml:space="preserve"> information and liability</w:t>
      </w:r>
      <w:bookmarkEnd w:id="7"/>
    </w:p>
    <w:p w14:paraId="6BAA159F" w14:textId="77777777" w:rsidR="00244AE9" w:rsidRPr="00232E6E" w:rsidRDefault="00244AE9" w:rsidP="00232E6E">
      <w:pPr>
        <w:spacing w:after="80"/>
        <w:rPr>
          <w:rFonts w:ascii="Arial" w:hAnsi="Arial" w:cs="Arial"/>
          <w:sz w:val="22"/>
          <w:szCs w:val="22"/>
        </w:rPr>
      </w:pPr>
      <w:bookmarkStart w:id="8" w:name="_Toc171235026"/>
      <w:bookmarkStart w:id="9" w:name="_Toc171241595"/>
      <w:bookmarkStart w:id="10" w:name="_Toc171329434"/>
      <w:bookmarkStart w:id="11" w:name="_Toc171329720"/>
      <w:bookmarkStart w:id="12" w:name="_Toc171329972"/>
      <w:bookmarkStart w:id="13" w:name="_Toc171331433"/>
      <w:bookmarkStart w:id="14" w:name="_Toc171331683"/>
      <w:bookmarkStart w:id="15" w:name="_Toc171331933"/>
      <w:bookmarkStart w:id="16" w:name="_Toc171332183"/>
      <w:bookmarkStart w:id="17" w:name="_Toc171332428"/>
      <w:bookmarkStart w:id="18" w:name="_Toc171332673"/>
      <w:bookmarkStart w:id="19" w:name="_Toc171398586"/>
      <w:bookmarkStart w:id="20" w:name="_Toc171398855"/>
      <w:bookmarkStart w:id="21" w:name="_Toc171399333"/>
      <w:bookmarkStart w:id="22" w:name="_Toc171399600"/>
      <w:bookmarkStart w:id="23" w:name="_Toc171399866"/>
      <w:bookmarkStart w:id="24" w:name="_Toc171400133"/>
      <w:bookmarkStart w:id="25" w:name="_Toc171405115"/>
      <w:bookmarkStart w:id="26" w:name="_Toc171405623"/>
      <w:bookmarkStart w:id="27" w:name="_Toc171405903"/>
      <w:bookmarkStart w:id="28" w:name="_Toc171406183"/>
      <w:bookmarkStart w:id="29" w:name="_Toc171406463"/>
      <w:bookmarkStart w:id="30" w:name="_Toc171406738"/>
      <w:bookmarkStart w:id="31" w:name="_Toc171407009"/>
      <w:bookmarkStart w:id="32" w:name="_Toc171407281"/>
      <w:bookmarkStart w:id="33" w:name="_Toc171407551"/>
      <w:bookmarkStart w:id="34" w:name="_Toc171407822"/>
      <w:bookmarkStart w:id="35" w:name="_Toc171408091"/>
      <w:bookmarkStart w:id="36" w:name="_Toc171408365"/>
      <w:bookmarkStart w:id="37" w:name="_Toc171235027"/>
      <w:bookmarkStart w:id="38" w:name="_Toc171241596"/>
      <w:bookmarkStart w:id="39" w:name="_Toc171329435"/>
      <w:bookmarkStart w:id="40" w:name="_Toc171329721"/>
      <w:bookmarkStart w:id="41" w:name="_Toc171329973"/>
      <w:bookmarkStart w:id="42" w:name="_Toc171331434"/>
      <w:bookmarkStart w:id="43" w:name="_Toc171331684"/>
      <w:bookmarkStart w:id="44" w:name="_Toc171331934"/>
      <w:bookmarkStart w:id="45" w:name="_Toc171332184"/>
      <w:bookmarkStart w:id="46" w:name="_Toc171332429"/>
      <w:bookmarkStart w:id="47" w:name="_Toc171332674"/>
      <w:bookmarkStart w:id="48" w:name="_Toc171398587"/>
      <w:bookmarkStart w:id="49" w:name="_Toc171398856"/>
      <w:bookmarkStart w:id="50" w:name="_Toc171399334"/>
      <w:bookmarkStart w:id="51" w:name="_Toc171399601"/>
      <w:bookmarkStart w:id="52" w:name="_Toc171399867"/>
      <w:bookmarkStart w:id="53" w:name="_Toc171400134"/>
      <w:bookmarkStart w:id="54" w:name="_Toc171405116"/>
      <w:bookmarkStart w:id="55" w:name="_Toc171405624"/>
      <w:bookmarkStart w:id="56" w:name="_Toc171405904"/>
      <w:bookmarkStart w:id="57" w:name="_Toc171406184"/>
      <w:bookmarkStart w:id="58" w:name="_Toc171406464"/>
      <w:bookmarkStart w:id="59" w:name="_Toc171406739"/>
      <w:bookmarkStart w:id="60" w:name="_Toc171407010"/>
      <w:bookmarkStart w:id="61" w:name="_Toc171407282"/>
      <w:bookmarkStart w:id="62" w:name="_Toc171407552"/>
      <w:bookmarkStart w:id="63" w:name="_Toc171407823"/>
      <w:bookmarkStart w:id="64" w:name="_Toc171408092"/>
      <w:bookmarkStart w:id="65" w:name="_Toc171408366"/>
      <w:bookmarkStart w:id="66" w:name="_Toc160932197"/>
      <w:bookmarkStart w:id="67" w:name="_Toc160932198"/>
      <w:bookmarkStart w:id="68" w:name="_Toc160932199"/>
      <w:bookmarkStart w:id="69" w:name="_Toc160932200"/>
      <w:bookmarkStart w:id="70" w:name="_Toc160932201"/>
      <w:bookmarkStart w:id="71" w:name="_Toc160932202"/>
      <w:bookmarkStart w:id="72" w:name="_Toc160932203"/>
      <w:bookmarkStart w:id="73" w:name="_Toc160932204"/>
      <w:bookmarkStart w:id="74" w:name="_Toc160932205"/>
      <w:bookmarkStart w:id="75" w:name="_Toc160932206"/>
      <w:bookmarkStart w:id="76" w:name="_Toc160932207"/>
      <w:bookmarkStart w:id="77" w:name="_Toc160932208"/>
      <w:bookmarkStart w:id="78" w:name="_Toc160932209"/>
      <w:bookmarkStart w:id="79" w:name="_Toc160932210"/>
      <w:bookmarkStart w:id="80" w:name="_Toc160932211"/>
      <w:bookmarkStart w:id="81" w:name="_Toc160932212"/>
      <w:bookmarkStart w:id="82" w:name="QuickMark"/>
      <w:bookmarkStart w:id="83" w:name="_Toc171235028"/>
      <w:bookmarkStart w:id="84" w:name="_Toc171241597"/>
      <w:bookmarkStart w:id="85" w:name="_Toc171329436"/>
      <w:bookmarkStart w:id="86" w:name="_Toc171329722"/>
      <w:bookmarkStart w:id="87" w:name="_Toc171329974"/>
      <w:bookmarkStart w:id="88" w:name="_Toc171331435"/>
      <w:bookmarkStart w:id="89" w:name="_Toc171331685"/>
      <w:bookmarkStart w:id="90" w:name="_Toc171331935"/>
      <w:bookmarkStart w:id="91" w:name="_Toc171332185"/>
      <w:bookmarkStart w:id="92" w:name="_Toc171332430"/>
      <w:bookmarkStart w:id="93" w:name="_Toc171332675"/>
      <w:bookmarkStart w:id="94" w:name="_Toc171398588"/>
      <w:bookmarkStart w:id="95" w:name="_Toc171398857"/>
      <w:bookmarkStart w:id="96" w:name="_Toc171399335"/>
      <w:bookmarkStart w:id="97" w:name="_Toc171399602"/>
      <w:bookmarkStart w:id="98" w:name="_Toc171399868"/>
      <w:bookmarkStart w:id="99" w:name="_Toc171400135"/>
      <w:bookmarkStart w:id="100" w:name="_Toc171405117"/>
      <w:bookmarkStart w:id="101" w:name="_Toc171405625"/>
      <w:bookmarkStart w:id="102" w:name="_Toc171405905"/>
      <w:bookmarkStart w:id="103" w:name="_Toc171406185"/>
      <w:bookmarkStart w:id="104" w:name="_Toc171406465"/>
      <w:bookmarkStart w:id="105" w:name="_Toc171406740"/>
      <w:bookmarkStart w:id="106" w:name="_Toc171407011"/>
      <w:bookmarkStart w:id="107" w:name="_Toc171407283"/>
      <w:bookmarkStart w:id="108" w:name="_Toc171407553"/>
      <w:bookmarkStart w:id="109" w:name="_Toc171407824"/>
      <w:bookmarkStart w:id="110" w:name="_Toc171408093"/>
      <w:bookmarkStart w:id="111" w:name="_Toc171408367"/>
      <w:bookmarkStart w:id="112" w:name="_Toc171235031"/>
      <w:bookmarkStart w:id="113" w:name="_Toc171241600"/>
      <w:bookmarkStart w:id="114" w:name="_Toc171329439"/>
      <w:bookmarkStart w:id="115" w:name="_Toc171329725"/>
      <w:bookmarkStart w:id="116" w:name="_Toc171329977"/>
      <w:bookmarkStart w:id="117" w:name="_Toc171331438"/>
      <w:bookmarkStart w:id="118" w:name="_Toc171331688"/>
      <w:bookmarkStart w:id="119" w:name="_Toc171331938"/>
      <w:bookmarkStart w:id="120" w:name="_Toc171332188"/>
      <w:bookmarkStart w:id="121" w:name="_Toc171332433"/>
      <w:bookmarkStart w:id="122" w:name="_Toc171332678"/>
      <w:bookmarkStart w:id="123" w:name="_Toc171398591"/>
      <w:bookmarkStart w:id="124" w:name="_Toc171398860"/>
      <w:bookmarkStart w:id="125" w:name="_Toc171399338"/>
      <w:bookmarkStart w:id="126" w:name="_Toc171399605"/>
      <w:bookmarkStart w:id="127" w:name="_Toc171399871"/>
      <w:bookmarkStart w:id="128" w:name="_Toc171400138"/>
      <w:bookmarkStart w:id="129" w:name="_Toc171405120"/>
      <w:bookmarkStart w:id="130" w:name="_Toc171405628"/>
      <w:bookmarkStart w:id="131" w:name="_Toc171405908"/>
      <w:bookmarkStart w:id="132" w:name="_Toc171406188"/>
      <w:bookmarkStart w:id="133" w:name="_Toc171406468"/>
      <w:bookmarkStart w:id="134" w:name="_Toc171406743"/>
      <w:bookmarkStart w:id="135" w:name="_Toc171407014"/>
      <w:bookmarkStart w:id="136" w:name="_Toc171407286"/>
      <w:bookmarkStart w:id="137" w:name="_Toc171407556"/>
      <w:bookmarkStart w:id="138" w:name="_Toc171407827"/>
      <w:bookmarkStart w:id="139" w:name="_Toc171408096"/>
      <w:bookmarkStart w:id="140" w:name="_Toc171408370"/>
      <w:bookmarkStart w:id="141" w:name="_Toc171235034"/>
      <w:bookmarkStart w:id="142" w:name="_Toc171241603"/>
      <w:bookmarkStart w:id="143" w:name="_Toc171329442"/>
      <w:bookmarkStart w:id="144" w:name="_Toc171329728"/>
      <w:bookmarkStart w:id="145" w:name="_Toc171329980"/>
      <w:bookmarkStart w:id="146" w:name="_Toc171331441"/>
      <w:bookmarkStart w:id="147" w:name="_Toc171331691"/>
      <w:bookmarkStart w:id="148" w:name="_Toc171331941"/>
      <w:bookmarkStart w:id="149" w:name="_Toc171332191"/>
      <w:bookmarkStart w:id="150" w:name="_Toc171332436"/>
      <w:bookmarkStart w:id="151" w:name="_Toc171332681"/>
      <w:bookmarkStart w:id="152" w:name="_Toc171398594"/>
      <w:bookmarkStart w:id="153" w:name="_Toc171398863"/>
      <w:bookmarkStart w:id="154" w:name="_Toc171399341"/>
      <w:bookmarkStart w:id="155" w:name="_Toc171399608"/>
      <w:bookmarkStart w:id="156" w:name="_Toc171399874"/>
      <w:bookmarkStart w:id="157" w:name="_Toc171400141"/>
      <w:bookmarkStart w:id="158" w:name="_Toc171405123"/>
      <w:bookmarkStart w:id="159" w:name="_Toc171405631"/>
      <w:bookmarkStart w:id="160" w:name="_Toc171405911"/>
      <w:bookmarkStart w:id="161" w:name="_Toc171406191"/>
      <w:bookmarkStart w:id="162" w:name="_Toc171406471"/>
      <w:bookmarkStart w:id="163" w:name="_Toc171406746"/>
      <w:bookmarkStart w:id="164" w:name="_Toc171407017"/>
      <w:bookmarkStart w:id="165" w:name="_Toc171407289"/>
      <w:bookmarkStart w:id="166" w:name="_Toc171407559"/>
      <w:bookmarkStart w:id="167" w:name="_Toc171407830"/>
      <w:bookmarkStart w:id="168" w:name="_Toc171408099"/>
      <w:bookmarkStart w:id="169" w:name="_Toc171408373"/>
      <w:bookmarkStart w:id="170" w:name="_Toc171235036"/>
      <w:bookmarkStart w:id="171" w:name="_Toc171241605"/>
      <w:bookmarkStart w:id="172" w:name="_Toc171329444"/>
      <w:bookmarkStart w:id="173" w:name="_Toc171329730"/>
      <w:bookmarkStart w:id="174" w:name="_Toc171329982"/>
      <w:bookmarkStart w:id="175" w:name="_Toc171331443"/>
      <w:bookmarkStart w:id="176" w:name="_Toc171331693"/>
      <w:bookmarkStart w:id="177" w:name="_Toc171331943"/>
      <w:bookmarkStart w:id="178" w:name="_Toc171332193"/>
      <w:bookmarkStart w:id="179" w:name="_Toc171332438"/>
      <w:bookmarkStart w:id="180" w:name="_Toc171332683"/>
      <w:bookmarkStart w:id="181" w:name="_Toc171398596"/>
      <w:bookmarkStart w:id="182" w:name="_Toc171398865"/>
      <w:bookmarkStart w:id="183" w:name="_Toc171399343"/>
      <w:bookmarkStart w:id="184" w:name="_Toc171399610"/>
      <w:bookmarkStart w:id="185" w:name="_Toc171399876"/>
      <w:bookmarkStart w:id="186" w:name="_Toc171400143"/>
      <w:bookmarkStart w:id="187" w:name="_Toc171405125"/>
      <w:bookmarkStart w:id="188" w:name="_Toc171405633"/>
      <w:bookmarkStart w:id="189" w:name="_Toc171405913"/>
      <w:bookmarkStart w:id="190" w:name="_Toc171406193"/>
      <w:bookmarkStart w:id="191" w:name="_Toc171406473"/>
      <w:bookmarkStart w:id="192" w:name="_Toc171406748"/>
      <w:bookmarkStart w:id="193" w:name="_Toc171407019"/>
      <w:bookmarkStart w:id="194" w:name="_Toc171407291"/>
      <w:bookmarkStart w:id="195" w:name="_Toc171407561"/>
      <w:bookmarkStart w:id="196" w:name="_Toc171407832"/>
      <w:bookmarkStart w:id="197" w:name="_Toc171408101"/>
      <w:bookmarkStart w:id="198" w:name="_Toc171408375"/>
      <w:bookmarkStart w:id="199" w:name="_Toc171235038"/>
      <w:bookmarkStart w:id="200" w:name="_Toc171241607"/>
      <w:bookmarkStart w:id="201" w:name="_Toc171329446"/>
      <w:bookmarkStart w:id="202" w:name="_Toc171329732"/>
      <w:bookmarkStart w:id="203" w:name="_Toc171329984"/>
      <w:bookmarkStart w:id="204" w:name="_Toc171331445"/>
      <w:bookmarkStart w:id="205" w:name="_Toc171331695"/>
      <w:bookmarkStart w:id="206" w:name="_Toc171331945"/>
      <w:bookmarkStart w:id="207" w:name="_Toc171332195"/>
      <w:bookmarkStart w:id="208" w:name="_Toc171332440"/>
      <w:bookmarkStart w:id="209" w:name="_Toc171332685"/>
      <w:bookmarkStart w:id="210" w:name="_Toc171398598"/>
      <w:bookmarkStart w:id="211" w:name="_Toc171398867"/>
      <w:bookmarkStart w:id="212" w:name="_Toc171399345"/>
      <w:bookmarkStart w:id="213" w:name="_Toc171399612"/>
      <w:bookmarkStart w:id="214" w:name="_Toc171399878"/>
      <w:bookmarkStart w:id="215" w:name="_Toc171400145"/>
      <w:bookmarkStart w:id="216" w:name="_Toc171405127"/>
      <w:bookmarkStart w:id="217" w:name="_Toc171405635"/>
      <w:bookmarkStart w:id="218" w:name="_Toc171405915"/>
      <w:bookmarkStart w:id="219" w:name="_Toc171406195"/>
      <w:bookmarkStart w:id="220" w:name="_Toc171406475"/>
      <w:bookmarkStart w:id="221" w:name="_Toc171406750"/>
      <w:bookmarkStart w:id="222" w:name="_Toc171407021"/>
      <w:bookmarkStart w:id="223" w:name="_Toc171407293"/>
      <w:bookmarkStart w:id="224" w:name="_Toc171407563"/>
      <w:bookmarkStart w:id="225" w:name="_Toc171407834"/>
      <w:bookmarkStart w:id="226" w:name="_Toc171408103"/>
      <w:bookmarkStart w:id="227" w:name="_Toc171408377"/>
      <w:bookmarkStart w:id="228" w:name="_Toc171235039"/>
      <w:bookmarkStart w:id="229" w:name="_Toc171241608"/>
      <w:bookmarkStart w:id="230" w:name="_Toc171329447"/>
      <w:bookmarkStart w:id="231" w:name="_Toc171329733"/>
      <w:bookmarkStart w:id="232" w:name="_Toc171329985"/>
      <w:bookmarkStart w:id="233" w:name="_Toc171331446"/>
      <w:bookmarkStart w:id="234" w:name="_Toc171331696"/>
      <w:bookmarkStart w:id="235" w:name="_Toc171331946"/>
      <w:bookmarkStart w:id="236" w:name="_Toc171332196"/>
      <w:bookmarkStart w:id="237" w:name="_Toc171332441"/>
      <w:bookmarkStart w:id="238" w:name="_Toc171332686"/>
      <w:bookmarkStart w:id="239" w:name="_Toc171398599"/>
      <w:bookmarkStart w:id="240" w:name="_Toc171398868"/>
      <w:bookmarkStart w:id="241" w:name="_Toc171399346"/>
      <w:bookmarkStart w:id="242" w:name="_Toc171399613"/>
      <w:bookmarkStart w:id="243" w:name="_Toc171399879"/>
      <w:bookmarkStart w:id="244" w:name="_Toc171400146"/>
      <w:bookmarkStart w:id="245" w:name="_Toc171405128"/>
      <w:bookmarkStart w:id="246" w:name="_Toc171405636"/>
      <w:bookmarkStart w:id="247" w:name="_Toc171405916"/>
      <w:bookmarkStart w:id="248" w:name="_Toc171406196"/>
      <w:bookmarkStart w:id="249" w:name="_Toc171406476"/>
      <w:bookmarkStart w:id="250" w:name="_Toc171406751"/>
      <w:bookmarkStart w:id="251" w:name="_Toc171407022"/>
      <w:bookmarkStart w:id="252" w:name="_Toc171407294"/>
      <w:bookmarkStart w:id="253" w:name="_Toc171407564"/>
      <w:bookmarkStart w:id="254" w:name="_Toc171407835"/>
      <w:bookmarkStart w:id="255" w:name="_Toc171408104"/>
      <w:bookmarkStart w:id="256" w:name="_Toc171408378"/>
      <w:bookmarkStart w:id="257" w:name="_Toc171235041"/>
      <w:bookmarkStart w:id="258" w:name="_Toc171241610"/>
      <w:bookmarkStart w:id="259" w:name="_Toc171329449"/>
      <w:bookmarkStart w:id="260" w:name="_Toc171329735"/>
      <w:bookmarkStart w:id="261" w:name="_Toc171329987"/>
      <w:bookmarkStart w:id="262" w:name="_Toc171331448"/>
      <w:bookmarkStart w:id="263" w:name="_Toc171331698"/>
      <w:bookmarkStart w:id="264" w:name="_Toc171331948"/>
      <w:bookmarkStart w:id="265" w:name="_Toc171332198"/>
      <w:bookmarkStart w:id="266" w:name="_Toc171332443"/>
      <w:bookmarkStart w:id="267" w:name="_Toc171332688"/>
      <w:bookmarkStart w:id="268" w:name="_Toc171398601"/>
      <w:bookmarkStart w:id="269" w:name="_Toc171398870"/>
      <w:bookmarkStart w:id="270" w:name="_Toc171399348"/>
      <w:bookmarkStart w:id="271" w:name="_Toc171399615"/>
      <w:bookmarkStart w:id="272" w:name="_Toc171399881"/>
      <w:bookmarkStart w:id="273" w:name="_Toc171400148"/>
      <w:bookmarkStart w:id="274" w:name="_Toc171405130"/>
      <w:bookmarkStart w:id="275" w:name="_Toc171405638"/>
      <w:bookmarkStart w:id="276" w:name="_Toc171405918"/>
      <w:bookmarkStart w:id="277" w:name="_Toc171406198"/>
      <w:bookmarkStart w:id="278" w:name="_Toc171406478"/>
      <w:bookmarkStart w:id="279" w:name="_Toc171406753"/>
      <w:bookmarkStart w:id="280" w:name="_Toc171407024"/>
      <w:bookmarkStart w:id="281" w:name="_Toc171407296"/>
      <w:bookmarkStart w:id="282" w:name="_Toc171407566"/>
      <w:bookmarkStart w:id="283" w:name="_Toc171407837"/>
      <w:bookmarkStart w:id="284" w:name="_Toc171408106"/>
      <w:bookmarkStart w:id="285" w:name="_Toc171408380"/>
      <w:bookmarkStart w:id="286" w:name="_Toc171235044"/>
      <w:bookmarkStart w:id="287" w:name="_Toc171241613"/>
      <w:bookmarkStart w:id="288" w:name="_Toc171329452"/>
      <w:bookmarkStart w:id="289" w:name="_Toc171329738"/>
      <w:bookmarkStart w:id="290" w:name="_Toc171329990"/>
      <w:bookmarkStart w:id="291" w:name="_Toc171331451"/>
      <w:bookmarkStart w:id="292" w:name="_Toc171331701"/>
      <w:bookmarkStart w:id="293" w:name="_Toc171331951"/>
      <w:bookmarkStart w:id="294" w:name="_Toc171332201"/>
      <w:bookmarkStart w:id="295" w:name="_Toc171332446"/>
      <w:bookmarkStart w:id="296" w:name="_Toc171332691"/>
      <w:bookmarkStart w:id="297" w:name="_Toc171398604"/>
      <w:bookmarkStart w:id="298" w:name="_Toc171398873"/>
      <w:bookmarkStart w:id="299" w:name="_Toc171399351"/>
      <w:bookmarkStart w:id="300" w:name="_Toc171399618"/>
      <w:bookmarkStart w:id="301" w:name="_Toc171399884"/>
      <w:bookmarkStart w:id="302" w:name="_Toc171400151"/>
      <w:bookmarkStart w:id="303" w:name="_Toc171405133"/>
      <w:bookmarkStart w:id="304" w:name="_Toc171405641"/>
      <w:bookmarkStart w:id="305" w:name="_Toc171405921"/>
      <w:bookmarkStart w:id="306" w:name="_Toc171406201"/>
      <w:bookmarkStart w:id="307" w:name="_Toc171406481"/>
      <w:bookmarkStart w:id="308" w:name="_Toc171406756"/>
      <w:bookmarkStart w:id="309" w:name="_Toc171407027"/>
      <w:bookmarkStart w:id="310" w:name="_Toc171407299"/>
      <w:bookmarkStart w:id="311" w:name="_Toc171407569"/>
      <w:bookmarkStart w:id="312" w:name="_Toc171407840"/>
      <w:bookmarkStart w:id="313" w:name="_Toc171408109"/>
      <w:bookmarkStart w:id="314" w:name="_Toc171408383"/>
      <w:bookmarkStart w:id="315" w:name="_Toc171235046"/>
      <w:bookmarkStart w:id="316" w:name="_Toc171241615"/>
      <w:bookmarkStart w:id="317" w:name="_Toc171329454"/>
      <w:bookmarkStart w:id="318" w:name="_Toc171329740"/>
      <w:bookmarkStart w:id="319" w:name="_Toc171329992"/>
      <w:bookmarkStart w:id="320" w:name="_Toc171331453"/>
      <w:bookmarkStart w:id="321" w:name="_Toc171331703"/>
      <w:bookmarkStart w:id="322" w:name="_Toc171331953"/>
      <w:bookmarkStart w:id="323" w:name="_Toc171332203"/>
      <w:bookmarkStart w:id="324" w:name="_Toc171332448"/>
      <w:bookmarkStart w:id="325" w:name="_Toc171332693"/>
      <w:bookmarkStart w:id="326" w:name="_Toc171398606"/>
      <w:bookmarkStart w:id="327" w:name="_Toc171398875"/>
      <w:bookmarkStart w:id="328" w:name="_Toc171399353"/>
      <w:bookmarkStart w:id="329" w:name="_Toc171399620"/>
      <w:bookmarkStart w:id="330" w:name="_Toc171399886"/>
      <w:bookmarkStart w:id="331" w:name="_Toc171400153"/>
      <w:bookmarkStart w:id="332" w:name="_Toc171405135"/>
      <w:bookmarkStart w:id="333" w:name="_Toc171405643"/>
      <w:bookmarkStart w:id="334" w:name="_Toc171405923"/>
      <w:bookmarkStart w:id="335" w:name="_Toc171406203"/>
      <w:bookmarkStart w:id="336" w:name="_Toc171406483"/>
      <w:bookmarkStart w:id="337" w:name="_Toc171406758"/>
      <w:bookmarkStart w:id="338" w:name="_Toc171407029"/>
      <w:bookmarkStart w:id="339" w:name="_Toc171407301"/>
      <w:bookmarkStart w:id="340" w:name="_Toc171407571"/>
      <w:bookmarkStart w:id="341" w:name="_Toc171407842"/>
      <w:bookmarkStart w:id="342" w:name="_Toc171408111"/>
      <w:bookmarkStart w:id="343" w:name="_Toc171408385"/>
      <w:bookmarkStart w:id="344" w:name="_Toc171235047"/>
      <w:bookmarkStart w:id="345" w:name="_Toc171241616"/>
      <w:bookmarkStart w:id="346" w:name="_Toc171329455"/>
      <w:bookmarkStart w:id="347" w:name="_Toc171329741"/>
      <w:bookmarkStart w:id="348" w:name="_Toc171329993"/>
      <w:bookmarkStart w:id="349" w:name="_Toc171331454"/>
      <w:bookmarkStart w:id="350" w:name="_Toc171331704"/>
      <w:bookmarkStart w:id="351" w:name="_Toc171331954"/>
      <w:bookmarkStart w:id="352" w:name="_Toc171332204"/>
      <w:bookmarkStart w:id="353" w:name="_Toc171332449"/>
      <w:bookmarkStart w:id="354" w:name="_Toc171332694"/>
      <w:bookmarkStart w:id="355" w:name="_Toc171398607"/>
      <w:bookmarkStart w:id="356" w:name="_Toc171398876"/>
      <w:bookmarkStart w:id="357" w:name="_Toc171399354"/>
      <w:bookmarkStart w:id="358" w:name="_Toc171399621"/>
      <w:bookmarkStart w:id="359" w:name="_Toc171399887"/>
      <w:bookmarkStart w:id="360" w:name="_Toc171400154"/>
      <w:bookmarkStart w:id="361" w:name="_Toc171405136"/>
      <w:bookmarkStart w:id="362" w:name="_Toc171405644"/>
      <w:bookmarkStart w:id="363" w:name="_Toc171405924"/>
      <w:bookmarkStart w:id="364" w:name="_Toc171406204"/>
      <w:bookmarkStart w:id="365" w:name="_Toc171406484"/>
      <w:bookmarkStart w:id="366" w:name="_Toc171406759"/>
      <w:bookmarkStart w:id="367" w:name="_Toc171407030"/>
      <w:bookmarkStart w:id="368" w:name="_Toc171407302"/>
      <w:bookmarkStart w:id="369" w:name="_Toc171407572"/>
      <w:bookmarkStart w:id="370" w:name="_Toc171407843"/>
      <w:bookmarkStart w:id="371" w:name="_Toc171408112"/>
      <w:bookmarkStart w:id="372" w:name="_Toc171408386"/>
      <w:bookmarkStart w:id="373" w:name="_Toc171235048"/>
      <w:bookmarkStart w:id="374" w:name="_Toc171241617"/>
      <w:bookmarkStart w:id="375" w:name="_Toc171329456"/>
      <w:bookmarkStart w:id="376" w:name="_Toc171329742"/>
      <w:bookmarkStart w:id="377" w:name="_Toc171329994"/>
      <w:bookmarkStart w:id="378" w:name="_Toc171331455"/>
      <w:bookmarkStart w:id="379" w:name="_Toc171331705"/>
      <w:bookmarkStart w:id="380" w:name="_Toc171331955"/>
      <w:bookmarkStart w:id="381" w:name="_Toc171332205"/>
      <w:bookmarkStart w:id="382" w:name="_Toc171332450"/>
      <w:bookmarkStart w:id="383" w:name="_Toc171332695"/>
      <w:bookmarkStart w:id="384" w:name="_Toc171398608"/>
      <w:bookmarkStart w:id="385" w:name="_Toc171398877"/>
      <w:bookmarkStart w:id="386" w:name="_Toc171399355"/>
      <w:bookmarkStart w:id="387" w:name="_Toc171399622"/>
      <w:bookmarkStart w:id="388" w:name="_Toc171399888"/>
      <w:bookmarkStart w:id="389" w:name="_Toc171400155"/>
      <w:bookmarkStart w:id="390" w:name="_Toc171405137"/>
      <w:bookmarkStart w:id="391" w:name="_Toc171405645"/>
      <w:bookmarkStart w:id="392" w:name="_Toc171405925"/>
      <w:bookmarkStart w:id="393" w:name="_Toc171406205"/>
      <w:bookmarkStart w:id="394" w:name="_Toc171406485"/>
      <w:bookmarkStart w:id="395" w:name="_Toc171406760"/>
      <w:bookmarkStart w:id="396" w:name="_Toc171407031"/>
      <w:bookmarkStart w:id="397" w:name="_Toc171407303"/>
      <w:bookmarkStart w:id="398" w:name="_Toc171407573"/>
      <w:bookmarkStart w:id="399" w:name="_Toc171407844"/>
      <w:bookmarkStart w:id="400" w:name="_Toc171408113"/>
      <w:bookmarkStart w:id="401" w:name="_Toc171408387"/>
      <w:bookmarkStart w:id="402" w:name="_Toc171235049"/>
      <w:bookmarkStart w:id="403" w:name="_Toc171241618"/>
      <w:bookmarkStart w:id="404" w:name="_Toc171329457"/>
      <w:bookmarkStart w:id="405" w:name="_Toc171329743"/>
      <w:bookmarkStart w:id="406" w:name="_Toc171329995"/>
      <w:bookmarkStart w:id="407" w:name="_Toc171331456"/>
      <w:bookmarkStart w:id="408" w:name="_Toc171331706"/>
      <w:bookmarkStart w:id="409" w:name="_Toc171331956"/>
      <w:bookmarkStart w:id="410" w:name="_Toc171332206"/>
      <w:bookmarkStart w:id="411" w:name="_Toc171332451"/>
      <w:bookmarkStart w:id="412" w:name="_Toc171332696"/>
      <w:bookmarkStart w:id="413" w:name="_Toc171398609"/>
      <w:bookmarkStart w:id="414" w:name="_Toc171398878"/>
      <w:bookmarkStart w:id="415" w:name="_Toc171399356"/>
      <w:bookmarkStart w:id="416" w:name="_Toc171399623"/>
      <w:bookmarkStart w:id="417" w:name="_Toc171399889"/>
      <w:bookmarkStart w:id="418" w:name="_Toc171400156"/>
      <w:bookmarkStart w:id="419" w:name="_Toc171405138"/>
      <w:bookmarkStart w:id="420" w:name="_Toc171405646"/>
      <w:bookmarkStart w:id="421" w:name="_Toc171405926"/>
      <w:bookmarkStart w:id="422" w:name="_Toc171406206"/>
      <w:bookmarkStart w:id="423" w:name="_Toc171406486"/>
      <w:bookmarkStart w:id="424" w:name="_Toc171406761"/>
      <w:bookmarkStart w:id="425" w:name="_Toc171407032"/>
      <w:bookmarkStart w:id="426" w:name="_Toc171407304"/>
      <w:bookmarkStart w:id="427" w:name="_Toc171407574"/>
      <w:bookmarkStart w:id="428" w:name="_Toc171407845"/>
      <w:bookmarkStart w:id="429" w:name="_Toc171408114"/>
      <w:bookmarkStart w:id="430" w:name="_Toc171408388"/>
      <w:bookmarkStart w:id="431" w:name="_Toc171235051"/>
      <w:bookmarkStart w:id="432" w:name="_Toc171241620"/>
      <w:bookmarkStart w:id="433" w:name="_Toc171329459"/>
      <w:bookmarkStart w:id="434" w:name="_Toc171329745"/>
      <w:bookmarkStart w:id="435" w:name="_Toc171329997"/>
      <w:bookmarkStart w:id="436" w:name="_Toc171331458"/>
      <w:bookmarkStart w:id="437" w:name="_Toc171331708"/>
      <w:bookmarkStart w:id="438" w:name="_Toc171331958"/>
      <w:bookmarkStart w:id="439" w:name="_Toc171332208"/>
      <w:bookmarkStart w:id="440" w:name="_Toc171332453"/>
      <w:bookmarkStart w:id="441" w:name="_Toc171332698"/>
      <w:bookmarkStart w:id="442" w:name="_Toc171398611"/>
      <w:bookmarkStart w:id="443" w:name="_Toc171398880"/>
      <w:bookmarkStart w:id="444" w:name="_Toc171399358"/>
      <w:bookmarkStart w:id="445" w:name="_Toc171399625"/>
      <w:bookmarkStart w:id="446" w:name="_Toc171399891"/>
      <w:bookmarkStart w:id="447" w:name="_Toc171400158"/>
      <w:bookmarkStart w:id="448" w:name="_Toc171405140"/>
      <w:bookmarkStart w:id="449" w:name="_Toc171405648"/>
      <w:bookmarkStart w:id="450" w:name="_Toc171405928"/>
      <w:bookmarkStart w:id="451" w:name="_Toc171406208"/>
      <w:bookmarkStart w:id="452" w:name="_Toc171406488"/>
      <w:bookmarkStart w:id="453" w:name="_Toc171406763"/>
      <w:bookmarkStart w:id="454" w:name="_Toc171407034"/>
      <w:bookmarkStart w:id="455" w:name="_Toc171407306"/>
      <w:bookmarkStart w:id="456" w:name="_Toc171407576"/>
      <w:bookmarkStart w:id="457" w:name="_Toc171407847"/>
      <w:bookmarkStart w:id="458" w:name="_Toc171408116"/>
      <w:bookmarkStart w:id="459" w:name="_Toc171408390"/>
      <w:bookmarkStart w:id="460" w:name="_Toc171235052"/>
      <w:bookmarkStart w:id="461" w:name="_Toc171241621"/>
      <w:bookmarkStart w:id="462" w:name="_Toc171329460"/>
      <w:bookmarkStart w:id="463" w:name="_Toc171329746"/>
      <w:bookmarkStart w:id="464" w:name="_Toc171329998"/>
      <w:bookmarkStart w:id="465" w:name="_Toc171331459"/>
      <w:bookmarkStart w:id="466" w:name="_Toc171331709"/>
      <w:bookmarkStart w:id="467" w:name="_Toc171331959"/>
      <w:bookmarkStart w:id="468" w:name="_Toc171332209"/>
      <w:bookmarkStart w:id="469" w:name="_Toc171332454"/>
      <w:bookmarkStart w:id="470" w:name="_Toc171332699"/>
      <w:bookmarkStart w:id="471" w:name="_Toc171398612"/>
      <w:bookmarkStart w:id="472" w:name="_Toc171398881"/>
      <w:bookmarkStart w:id="473" w:name="_Toc171399359"/>
      <w:bookmarkStart w:id="474" w:name="_Toc171399626"/>
      <w:bookmarkStart w:id="475" w:name="_Toc171399892"/>
      <w:bookmarkStart w:id="476" w:name="_Toc171400159"/>
      <w:bookmarkStart w:id="477" w:name="_Toc171405141"/>
      <w:bookmarkStart w:id="478" w:name="_Toc171405649"/>
      <w:bookmarkStart w:id="479" w:name="_Toc171405929"/>
      <w:bookmarkStart w:id="480" w:name="_Toc171406209"/>
      <w:bookmarkStart w:id="481" w:name="_Toc171406489"/>
      <w:bookmarkStart w:id="482" w:name="_Toc171406764"/>
      <w:bookmarkStart w:id="483" w:name="_Toc171407035"/>
      <w:bookmarkStart w:id="484" w:name="_Toc171407307"/>
      <w:bookmarkStart w:id="485" w:name="_Toc171407577"/>
      <w:bookmarkStart w:id="486" w:name="_Toc171407848"/>
      <w:bookmarkStart w:id="487" w:name="_Toc171408117"/>
      <w:bookmarkStart w:id="488" w:name="_Toc171408391"/>
      <w:bookmarkStart w:id="489" w:name="_Toc171235053"/>
      <w:bookmarkStart w:id="490" w:name="_Toc171241622"/>
      <w:bookmarkStart w:id="491" w:name="_Toc171329461"/>
      <w:bookmarkStart w:id="492" w:name="_Toc171329747"/>
      <w:bookmarkStart w:id="493" w:name="_Toc171329999"/>
      <w:bookmarkStart w:id="494" w:name="_Toc171331460"/>
      <w:bookmarkStart w:id="495" w:name="_Toc171331710"/>
      <w:bookmarkStart w:id="496" w:name="_Toc171331960"/>
      <w:bookmarkStart w:id="497" w:name="_Toc171332210"/>
      <w:bookmarkStart w:id="498" w:name="_Toc171332455"/>
      <w:bookmarkStart w:id="499" w:name="_Toc171332700"/>
      <w:bookmarkStart w:id="500" w:name="_Toc171398613"/>
      <w:bookmarkStart w:id="501" w:name="_Toc171398882"/>
      <w:bookmarkStart w:id="502" w:name="_Toc171399360"/>
      <w:bookmarkStart w:id="503" w:name="_Toc171399627"/>
      <w:bookmarkStart w:id="504" w:name="_Toc171399893"/>
      <w:bookmarkStart w:id="505" w:name="_Toc171400160"/>
      <w:bookmarkStart w:id="506" w:name="_Toc171405142"/>
      <w:bookmarkStart w:id="507" w:name="_Toc171405650"/>
      <w:bookmarkStart w:id="508" w:name="_Toc171405930"/>
      <w:bookmarkStart w:id="509" w:name="_Toc171406210"/>
      <w:bookmarkStart w:id="510" w:name="_Toc171406490"/>
      <w:bookmarkStart w:id="511" w:name="_Toc171406765"/>
      <w:bookmarkStart w:id="512" w:name="_Toc171407036"/>
      <w:bookmarkStart w:id="513" w:name="_Toc171407308"/>
      <w:bookmarkStart w:id="514" w:name="_Toc171407578"/>
      <w:bookmarkStart w:id="515" w:name="_Toc171407849"/>
      <w:bookmarkStart w:id="516" w:name="_Toc171408118"/>
      <w:bookmarkStart w:id="517" w:name="_Toc171408392"/>
      <w:bookmarkStart w:id="518" w:name="_Toc171235055"/>
      <w:bookmarkStart w:id="519" w:name="_Toc171241624"/>
      <w:bookmarkStart w:id="520" w:name="_Toc171329463"/>
      <w:bookmarkStart w:id="521" w:name="_Toc171329749"/>
      <w:bookmarkStart w:id="522" w:name="_Toc171330001"/>
      <w:bookmarkStart w:id="523" w:name="_Toc171331462"/>
      <w:bookmarkStart w:id="524" w:name="_Toc171331712"/>
      <w:bookmarkStart w:id="525" w:name="_Toc171331962"/>
      <w:bookmarkStart w:id="526" w:name="_Toc171332212"/>
      <w:bookmarkStart w:id="527" w:name="_Toc171332457"/>
      <w:bookmarkStart w:id="528" w:name="_Toc171332702"/>
      <w:bookmarkStart w:id="529" w:name="_Toc171398615"/>
      <w:bookmarkStart w:id="530" w:name="_Toc171398884"/>
      <w:bookmarkStart w:id="531" w:name="_Toc171399362"/>
      <w:bookmarkStart w:id="532" w:name="_Toc171399629"/>
      <w:bookmarkStart w:id="533" w:name="_Toc171399895"/>
      <w:bookmarkStart w:id="534" w:name="_Toc171400162"/>
      <w:bookmarkStart w:id="535" w:name="_Toc171405144"/>
      <w:bookmarkStart w:id="536" w:name="_Toc171405652"/>
      <w:bookmarkStart w:id="537" w:name="_Toc171405932"/>
      <w:bookmarkStart w:id="538" w:name="_Toc171406212"/>
      <w:bookmarkStart w:id="539" w:name="_Toc171406492"/>
      <w:bookmarkStart w:id="540" w:name="_Toc171406767"/>
      <w:bookmarkStart w:id="541" w:name="_Toc171407038"/>
      <w:bookmarkStart w:id="542" w:name="_Toc171407310"/>
      <w:bookmarkStart w:id="543" w:name="_Toc171407580"/>
      <w:bookmarkStart w:id="544" w:name="_Toc171407851"/>
      <w:bookmarkStart w:id="545" w:name="_Toc171408120"/>
      <w:bookmarkStart w:id="546" w:name="_Toc171408394"/>
      <w:bookmarkStart w:id="547" w:name="_Toc171235056"/>
      <w:bookmarkStart w:id="548" w:name="_Toc171241625"/>
      <w:bookmarkStart w:id="549" w:name="_Toc171329464"/>
      <w:bookmarkStart w:id="550" w:name="_Toc171329750"/>
      <w:bookmarkStart w:id="551" w:name="_Toc171330002"/>
      <w:bookmarkStart w:id="552" w:name="_Toc171331463"/>
      <w:bookmarkStart w:id="553" w:name="_Toc171331713"/>
      <w:bookmarkStart w:id="554" w:name="_Toc171331963"/>
      <w:bookmarkStart w:id="555" w:name="_Toc171332213"/>
      <w:bookmarkStart w:id="556" w:name="_Toc171332458"/>
      <w:bookmarkStart w:id="557" w:name="_Toc171332703"/>
      <w:bookmarkStart w:id="558" w:name="_Toc171398616"/>
      <w:bookmarkStart w:id="559" w:name="_Toc171398885"/>
      <w:bookmarkStart w:id="560" w:name="_Toc171399363"/>
      <w:bookmarkStart w:id="561" w:name="_Toc171399630"/>
      <w:bookmarkStart w:id="562" w:name="_Toc171399896"/>
      <w:bookmarkStart w:id="563" w:name="_Toc171400163"/>
      <w:bookmarkStart w:id="564" w:name="_Toc171405145"/>
      <w:bookmarkStart w:id="565" w:name="_Toc171405653"/>
      <w:bookmarkStart w:id="566" w:name="_Toc171405933"/>
      <w:bookmarkStart w:id="567" w:name="_Toc171406213"/>
      <w:bookmarkStart w:id="568" w:name="_Toc171406493"/>
      <w:bookmarkStart w:id="569" w:name="_Toc171406768"/>
      <w:bookmarkStart w:id="570" w:name="_Toc171407039"/>
      <w:bookmarkStart w:id="571" w:name="_Toc171407311"/>
      <w:bookmarkStart w:id="572" w:name="_Toc171407581"/>
      <w:bookmarkStart w:id="573" w:name="_Toc171407852"/>
      <w:bookmarkStart w:id="574" w:name="_Toc171408121"/>
      <w:bookmarkStart w:id="575" w:name="_Toc171408395"/>
      <w:bookmarkStart w:id="576" w:name="_Toc171235057"/>
      <w:bookmarkStart w:id="577" w:name="_Toc171241626"/>
      <w:bookmarkStart w:id="578" w:name="_Toc171329465"/>
      <w:bookmarkStart w:id="579" w:name="_Toc171329751"/>
      <w:bookmarkStart w:id="580" w:name="_Toc171330003"/>
      <w:bookmarkStart w:id="581" w:name="_Toc171331464"/>
      <w:bookmarkStart w:id="582" w:name="_Toc171331714"/>
      <w:bookmarkStart w:id="583" w:name="_Toc171331964"/>
      <w:bookmarkStart w:id="584" w:name="_Toc171332214"/>
      <w:bookmarkStart w:id="585" w:name="_Toc171332459"/>
      <w:bookmarkStart w:id="586" w:name="_Toc171332704"/>
      <w:bookmarkStart w:id="587" w:name="_Toc171398617"/>
      <w:bookmarkStart w:id="588" w:name="_Toc171398886"/>
      <w:bookmarkStart w:id="589" w:name="_Toc171399364"/>
      <w:bookmarkStart w:id="590" w:name="_Toc171399631"/>
      <w:bookmarkStart w:id="591" w:name="_Toc171399897"/>
      <w:bookmarkStart w:id="592" w:name="_Toc171400164"/>
      <w:bookmarkStart w:id="593" w:name="_Toc171405146"/>
      <w:bookmarkStart w:id="594" w:name="_Toc171405654"/>
      <w:bookmarkStart w:id="595" w:name="_Toc171405934"/>
      <w:bookmarkStart w:id="596" w:name="_Toc171406214"/>
      <w:bookmarkStart w:id="597" w:name="_Toc171406494"/>
      <w:bookmarkStart w:id="598" w:name="_Toc171406769"/>
      <w:bookmarkStart w:id="599" w:name="_Toc171407040"/>
      <w:bookmarkStart w:id="600" w:name="_Toc171407312"/>
      <w:bookmarkStart w:id="601" w:name="_Toc171407582"/>
      <w:bookmarkStart w:id="602" w:name="_Toc171407853"/>
      <w:bookmarkStart w:id="603" w:name="_Toc171408122"/>
      <w:bookmarkStart w:id="604" w:name="_Toc171408396"/>
      <w:bookmarkStart w:id="605" w:name="_Toc171235059"/>
      <w:bookmarkStart w:id="606" w:name="_Toc171241628"/>
      <w:bookmarkStart w:id="607" w:name="_Toc171329467"/>
      <w:bookmarkStart w:id="608" w:name="_Toc171329753"/>
      <w:bookmarkStart w:id="609" w:name="_Toc171330005"/>
      <w:bookmarkStart w:id="610" w:name="_Toc171331466"/>
      <w:bookmarkStart w:id="611" w:name="_Toc171331716"/>
      <w:bookmarkStart w:id="612" w:name="_Toc171331966"/>
      <w:bookmarkStart w:id="613" w:name="_Toc171332216"/>
      <w:bookmarkStart w:id="614" w:name="_Toc171332461"/>
      <w:bookmarkStart w:id="615" w:name="_Toc171332706"/>
      <w:bookmarkStart w:id="616" w:name="_Toc171398619"/>
      <w:bookmarkStart w:id="617" w:name="_Toc171398888"/>
      <w:bookmarkStart w:id="618" w:name="_Toc171399366"/>
      <w:bookmarkStart w:id="619" w:name="_Toc171399633"/>
      <w:bookmarkStart w:id="620" w:name="_Toc171399899"/>
      <w:bookmarkStart w:id="621" w:name="_Toc171400166"/>
      <w:bookmarkStart w:id="622" w:name="_Toc171405148"/>
      <w:bookmarkStart w:id="623" w:name="_Toc171405656"/>
      <w:bookmarkStart w:id="624" w:name="_Toc171405936"/>
      <w:bookmarkStart w:id="625" w:name="_Toc171406216"/>
      <w:bookmarkStart w:id="626" w:name="_Toc171406496"/>
      <w:bookmarkStart w:id="627" w:name="_Toc171406771"/>
      <w:bookmarkStart w:id="628" w:name="_Toc171407042"/>
      <w:bookmarkStart w:id="629" w:name="_Toc171407314"/>
      <w:bookmarkStart w:id="630" w:name="_Toc171407584"/>
      <w:bookmarkStart w:id="631" w:name="_Toc171407855"/>
      <w:bookmarkStart w:id="632" w:name="_Toc171408124"/>
      <w:bookmarkStart w:id="633" w:name="_Toc171408398"/>
      <w:bookmarkStart w:id="634" w:name="_Toc171235061"/>
      <w:bookmarkStart w:id="635" w:name="_Toc171241630"/>
      <w:bookmarkStart w:id="636" w:name="_Toc171329469"/>
      <w:bookmarkStart w:id="637" w:name="_Toc171329755"/>
      <w:bookmarkStart w:id="638" w:name="_Toc171330007"/>
      <w:bookmarkStart w:id="639" w:name="_Toc171331468"/>
      <w:bookmarkStart w:id="640" w:name="_Toc171331718"/>
      <w:bookmarkStart w:id="641" w:name="_Toc171331968"/>
      <w:bookmarkStart w:id="642" w:name="_Toc171332218"/>
      <w:bookmarkStart w:id="643" w:name="_Toc171332463"/>
      <w:bookmarkStart w:id="644" w:name="_Toc171332708"/>
      <w:bookmarkStart w:id="645" w:name="_Toc171398621"/>
      <w:bookmarkStart w:id="646" w:name="_Toc171398890"/>
      <w:bookmarkStart w:id="647" w:name="_Toc171399368"/>
      <w:bookmarkStart w:id="648" w:name="_Toc171399635"/>
      <w:bookmarkStart w:id="649" w:name="_Toc171399901"/>
      <w:bookmarkStart w:id="650" w:name="_Toc171400168"/>
      <w:bookmarkStart w:id="651" w:name="_Toc171405150"/>
      <w:bookmarkStart w:id="652" w:name="_Toc171405658"/>
      <w:bookmarkStart w:id="653" w:name="_Toc171405938"/>
      <w:bookmarkStart w:id="654" w:name="_Toc171406218"/>
      <w:bookmarkStart w:id="655" w:name="_Toc171406498"/>
      <w:bookmarkStart w:id="656" w:name="_Toc171406773"/>
      <w:bookmarkStart w:id="657" w:name="_Toc171407044"/>
      <w:bookmarkStart w:id="658" w:name="_Toc171407316"/>
      <w:bookmarkStart w:id="659" w:name="_Toc171407586"/>
      <w:bookmarkStart w:id="660" w:name="_Toc171407857"/>
      <w:bookmarkStart w:id="661" w:name="_Toc171408126"/>
      <w:bookmarkStart w:id="662" w:name="_Toc171408400"/>
      <w:bookmarkStart w:id="663" w:name="_Toc171235062"/>
      <w:bookmarkStart w:id="664" w:name="_Toc171241631"/>
      <w:bookmarkStart w:id="665" w:name="_Toc171329470"/>
      <w:bookmarkStart w:id="666" w:name="_Toc171329756"/>
      <w:bookmarkStart w:id="667" w:name="_Toc171330008"/>
      <w:bookmarkStart w:id="668" w:name="_Toc171331469"/>
      <w:bookmarkStart w:id="669" w:name="_Toc171331719"/>
      <w:bookmarkStart w:id="670" w:name="_Toc171331969"/>
      <w:bookmarkStart w:id="671" w:name="_Toc171332219"/>
      <w:bookmarkStart w:id="672" w:name="_Toc171332464"/>
      <w:bookmarkStart w:id="673" w:name="_Toc171332709"/>
      <w:bookmarkStart w:id="674" w:name="_Toc171398622"/>
      <w:bookmarkStart w:id="675" w:name="_Toc171398891"/>
      <w:bookmarkStart w:id="676" w:name="_Toc171399369"/>
      <w:bookmarkStart w:id="677" w:name="_Toc171399636"/>
      <w:bookmarkStart w:id="678" w:name="_Toc171399902"/>
      <w:bookmarkStart w:id="679" w:name="_Toc171400169"/>
      <w:bookmarkStart w:id="680" w:name="_Toc171405151"/>
      <w:bookmarkStart w:id="681" w:name="_Toc171405659"/>
      <w:bookmarkStart w:id="682" w:name="_Toc171405939"/>
      <w:bookmarkStart w:id="683" w:name="_Toc171406219"/>
      <w:bookmarkStart w:id="684" w:name="_Toc171406499"/>
      <w:bookmarkStart w:id="685" w:name="_Toc171406774"/>
      <w:bookmarkStart w:id="686" w:name="_Toc171407045"/>
      <w:bookmarkStart w:id="687" w:name="_Toc171407317"/>
      <w:bookmarkStart w:id="688" w:name="_Toc171407587"/>
      <w:bookmarkStart w:id="689" w:name="_Toc171407858"/>
      <w:bookmarkStart w:id="690" w:name="_Toc171408127"/>
      <w:bookmarkStart w:id="691" w:name="_Toc171408401"/>
      <w:bookmarkStart w:id="692" w:name="_Toc171235063"/>
      <w:bookmarkStart w:id="693" w:name="_Toc171241632"/>
      <w:bookmarkStart w:id="694" w:name="_Toc171329471"/>
      <w:bookmarkStart w:id="695" w:name="_Toc171329757"/>
      <w:bookmarkStart w:id="696" w:name="_Toc171330009"/>
      <w:bookmarkStart w:id="697" w:name="_Toc171331470"/>
      <w:bookmarkStart w:id="698" w:name="_Toc171331720"/>
      <w:bookmarkStart w:id="699" w:name="_Toc171331970"/>
      <w:bookmarkStart w:id="700" w:name="_Toc171332220"/>
      <w:bookmarkStart w:id="701" w:name="_Toc171332465"/>
      <w:bookmarkStart w:id="702" w:name="_Toc171332710"/>
      <w:bookmarkStart w:id="703" w:name="_Toc171398623"/>
      <w:bookmarkStart w:id="704" w:name="_Toc171398892"/>
      <w:bookmarkStart w:id="705" w:name="_Toc171399370"/>
      <w:bookmarkStart w:id="706" w:name="_Toc171399637"/>
      <w:bookmarkStart w:id="707" w:name="_Toc171399903"/>
      <w:bookmarkStart w:id="708" w:name="_Toc171400170"/>
      <w:bookmarkStart w:id="709" w:name="_Toc171405152"/>
      <w:bookmarkStart w:id="710" w:name="_Toc171405660"/>
      <w:bookmarkStart w:id="711" w:name="_Toc171405940"/>
      <w:bookmarkStart w:id="712" w:name="_Toc171406220"/>
      <w:bookmarkStart w:id="713" w:name="_Toc171406500"/>
      <w:bookmarkStart w:id="714" w:name="_Toc171406775"/>
      <w:bookmarkStart w:id="715" w:name="_Toc171407046"/>
      <w:bookmarkStart w:id="716" w:name="_Toc171407318"/>
      <w:bookmarkStart w:id="717" w:name="_Toc171407588"/>
      <w:bookmarkStart w:id="718" w:name="_Toc171407859"/>
      <w:bookmarkStart w:id="719" w:name="_Toc171408128"/>
      <w:bookmarkStart w:id="720" w:name="_Toc171408402"/>
      <w:bookmarkStart w:id="721" w:name="_Toc161719998"/>
      <w:bookmarkStart w:id="722" w:name="_Toc161719999"/>
      <w:bookmarkStart w:id="723" w:name="_Toc161720000"/>
      <w:bookmarkStart w:id="724" w:name="_Toc161720001"/>
      <w:bookmarkStart w:id="725" w:name="_Toc161720002"/>
      <w:bookmarkStart w:id="726" w:name="_Toc161720003"/>
      <w:bookmarkStart w:id="727" w:name="_Toc161720004"/>
      <w:bookmarkStart w:id="728" w:name="_Toc161720005"/>
      <w:bookmarkStart w:id="729" w:name="_Toc161720006"/>
      <w:bookmarkStart w:id="730" w:name="_Toc161720007"/>
      <w:bookmarkStart w:id="731" w:name="_Toc161720008"/>
      <w:bookmarkStart w:id="732" w:name="_Toc161720009"/>
      <w:bookmarkStart w:id="733" w:name="_Toc161720010"/>
      <w:bookmarkStart w:id="734" w:name="_Toc161720011"/>
      <w:bookmarkStart w:id="735" w:name="_Toc161720012"/>
      <w:bookmarkStart w:id="736" w:name="_Toc161720013"/>
      <w:bookmarkStart w:id="737" w:name="_Toc161720014"/>
      <w:bookmarkStart w:id="738" w:name="_Toc161720015"/>
      <w:bookmarkStart w:id="739" w:name="_Toc161720017"/>
      <w:bookmarkStart w:id="740" w:name="_Toc161720018"/>
      <w:bookmarkStart w:id="741" w:name="_Toc161720020"/>
      <w:bookmarkStart w:id="742" w:name="_Toc161720022"/>
      <w:bookmarkStart w:id="743" w:name="_Toc161720023"/>
      <w:bookmarkStart w:id="744" w:name="_Toc161720024"/>
      <w:bookmarkStart w:id="745" w:name="_Toc161720025"/>
      <w:bookmarkStart w:id="746" w:name="_Toc161720027"/>
      <w:bookmarkStart w:id="747" w:name="_Toc161720030"/>
      <w:bookmarkStart w:id="748" w:name="_Toc161720032"/>
      <w:bookmarkStart w:id="749" w:name="_Toc161720033"/>
      <w:bookmarkStart w:id="750" w:name="_Toc161720034"/>
      <w:bookmarkStart w:id="751" w:name="_Toc161720035"/>
      <w:bookmarkStart w:id="752" w:name="_Toc161720042"/>
      <w:bookmarkStart w:id="753" w:name="_Toc161720044"/>
      <w:bookmarkStart w:id="754" w:name="_Toc161720050"/>
      <w:bookmarkStart w:id="755" w:name="_Toc161720053"/>
      <w:bookmarkStart w:id="756" w:name="_Toc161720055"/>
      <w:bookmarkStart w:id="757" w:name="_Toc161720056"/>
      <w:bookmarkStart w:id="758" w:name="_Toc161720057"/>
      <w:bookmarkStart w:id="759" w:name="_Toc161720058"/>
      <w:bookmarkStart w:id="760" w:name="_Toc161720061"/>
      <w:bookmarkStart w:id="761" w:name="_Toc161720063"/>
      <w:bookmarkStart w:id="762" w:name="_Toc161720064"/>
      <w:bookmarkStart w:id="763" w:name="_Toc161720065"/>
      <w:bookmarkStart w:id="764" w:name="_Toc161720066"/>
      <w:bookmarkStart w:id="765" w:name="_Toc161720067"/>
      <w:bookmarkStart w:id="766" w:name="_Toc161720068"/>
      <w:bookmarkStart w:id="767" w:name="_Toc161720069"/>
      <w:bookmarkStart w:id="768" w:name="_Toc161720070"/>
      <w:bookmarkStart w:id="769" w:name="_Toc161720071"/>
      <w:bookmarkStart w:id="770" w:name="_Toc171235066"/>
      <w:bookmarkStart w:id="771" w:name="_Toc171241635"/>
      <w:bookmarkStart w:id="772" w:name="_Toc171329474"/>
      <w:bookmarkStart w:id="773" w:name="_Toc171329760"/>
      <w:bookmarkStart w:id="774" w:name="_Toc171330012"/>
      <w:bookmarkStart w:id="775" w:name="_Toc171331473"/>
      <w:bookmarkStart w:id="776" w:name="_Toc171331723"/>
      <w:bookmarkStart w:id="777" w:name="_Toc171331973"/>
      <w:bookmarkStart w:id="778" w:name="_Toc171332223"/>
      <w:bookmarkStart w:id="779" w:name="_Toc171332468"/>
      <w:bookmarkStart w:id="780" w:name="_Toc171332713"/>
      <w:bookmarkStart w:id="781" w:name="_Toc171398626"/>
      <w:bookmarkStart w:id="782" w:name="_Toc171398895"/>
      <w:bookmarkStart w:id="783" w:name="_Toc171399373"/>
      <w:bookmarkStart w:id="784" w:name="_Toc171399640"/>
      <w:bookmarkStart w:id="785" w:name="_Toc171399906"/>
      <w:bookmarkStart w:id="786" w:name="_Toc171400173"/>
      <w:bookmarkStart w:id="787" w:name="_Toc171405155"/>
      <w:bookmarkStart w:id="788" w:name="_Toc171405663"/>
      <w:bookmarkStart w:id="789" w:name="_Toc171405943"/>
      <w:bookmarkStart w:id="790" w:name="_Toc171406223"/>
      <w:bookmarkStart w:id="791" w:name="_Toc171406503"/>
      <w:bookmarkStart w:id="792" w:name="_Toc171406778"/>
      <w:bookmarkStart w:id="793" w:name="_Toc171407049"/>
      <w:bookmarkStart w:id="794" w:name="_Toc171407321"/>
      <w:bookmarkStart w:id="795" w:name="_Toc171407591"/>
      <w:bookmarkStart w:id="796" w:name="_Toc171407862"/>
      <w:bookmarkStart w:id="797" w:name="_Toc171408131"/>
      <w:bookmarkStart w:id="798" w:name="_Toc171408405"/>
      <w:bookmarkStart w:id="799" w:name="_Toc171235068"/>
      <w:bookmarkStart w:id="800" w:name="_Toc171241637"/>
      <w:bookmarkStart w:id="801" w:name="_Toc171329476"/>
      <w:bookmarkStart w:id="802" w:name="_Toc171329762"/>
      <w:bookmarkStart w:id="803" w:name="_Toc171330014"/>
      <w:bookmarkStart w:id="804" w:name="_Toc171331475"/>
      <w:bookmarkStart w:id="805" w:name="_Toc171331725"/>
      <w:bookmarkStart w:id="806" w:name="_Toc171331975"/>
      <w:bookmarkStart w:id="807" w:name="_Toc171332225"/>
      <w:bookmarkStart w:id="808" w:name="_Toc171332470"/>
      <w:bookmarkStart w:id="809" w:name="_Toc171332715"/>
      <w:bookmarkStart w:id="810" w:name="_Toc171398628"/>
      <w:bookmarkStart w:id="811" w:name="_Toc171398897"/>
      <w:bookmarkStart w:id="812" w:name="_Toc171399375"/>
      <w:bookmarkStart w:id="813" w:name="_Toc171399642"/>
      <w:bookmarkStart w:id="814" w:name="_Toc171399908"/>
      <w:bookmarkStart w:id="815" w:name="_Toc171400175"/>
      <w:bookmarkStart w:id="816" w:name="_Toc171405157"/>
      <w:bookmarkStart w:id="817" w:name="_Toc171405665"/>
      <w:bookmarkStart w:id="818" w:name="_Toc171405945"/>
      <w:bookmarkStart w:id="819" w:name="_Toc171406225"/>
      <w:bookmarkStart w:id="820" w:name="_Toc171406505"/>
      <w:bookmarkStart w:id="821" w:name="_Toc171406780"/>
      <w:bookmarkStart w:id="822" w:name="_Toc171407051"/>
      <w:bookmarkStart w:id="823" w:name="_Toc171407323"/>
      <w:bookmarkStart w:id="824" w:name="_Toc171407593"/>
      <w:bookmarkStart w:id="825" w:name="_Toc171407864"/>
      <w:bookmarkStart w:id="826" w:name="_Toc171408133"/>
      <w:bookmarkStart w:id="827" w:name="_Toc171408407"/>
      <w:bookmarkStart w:id="828" w:name="_Toc171235069"/>
      <w:bookmarkStart w:id="829" w:name="_Toc171241638"/>
      <w:bookmarkStart w:id="830" w:name="_Toc171329477"/>
      <w:bookmarkStart w:id="831" w:name="_Toc171329763"/>
      <w:bookmarkStart w:id="832" w:name="_Toc171330015"/>
      <w:bookmarkStart w:id="833" w:name="_Toc171331476"/>
      <w:bookmarkStart w:id="834" w:name="_Toc171331726"/>
      <w:bookmarkStart w:id="835" w:name="_Toc171331976"/>
      <w:bookmarkStart w:id="836" w:name="_Toc171332226"/>
      <w:bookmarkStart w:id="837" w:name="_Toc171332471"/>
      <w:bookmarkStart w:id="838" w:name="_Toc171332716"/>
      <w:bookmarkStart w:id="839" w:name="_Toc171398629"/>
      <w:bookmarkStart w:id="840" w:name="_Toc171398898"/>
      <w:bookmarkStart w:id="841" w:name="_Toc171399376"/>
      <w:bookmarkStart w:id="842" w:name="_Toc171399643"/>
      <w:bookmarkStart w:id="843" w:name="_Toc171399909"/>
      <w:bookmarkStart w:id="844" w:name="_Toc171400176"/>
      <w:bookmarkStart w:id="845" w:name="_Toc171405158"/>
      <w:bookmarkStart w:id="846" w:name="_Toc171405666"/>
      <w:bookmarkStart w:id="847" w:name="_Toc171405946"/>
      <w:bookmarkStart w:id="848" w:name="_Toc171406226"/>
      <w:bookmarkStart w:id="849" w:name="_Toc171406506"/>
      <w:bookmarkStart w:id="850" w:name="_Toc171406781"/>
      <w:bookmarkStart w:id="851" w:name="_Toc171407052"/>
      <w:bookmarkStart w:id="852" w:name="_Toc171407324"/>
      <w:bookmarkStart w:id="853" w:name="_Toc171407594"/>
      <w:bookmarkStart w:id="854" w:name="_Toc171407865"/>
      <w:bookmarkStart w:id="855" w:name="_Toc171408134"/>
      <w:bookmarkStart w:id="856" w:name="_Toc171408408"/>
      <w:bookmarkStart w:id="857" w:name="_Toc171235070"/>
      <w:bookmarkStart w:id="858" w:name="_Toc171241639"/>
      <w:bookmarkStart w:id="859" w:name="_Toc171329478"/>
      <w:bookmarkStart w:id="860" w:name="_Toc171329764"/>
      <w:bookmarkStart w:id="861" w:name="_Toc171330016"/>
      <w:bookmarkStart w:id="862" w:name="_Toc171331477"/>
      <w:bookmarkStart w:id="863" w:name="_Toc171331727"/>
      <w:bookmarkStart w:id="864" w:name="_Toc171331977"/>
      <w:bookmarkStart w:id="865" w:name="_Toc171332227"/>
      <w:bookmarkStart w:id="866" w:name="_Toc171332472"/>
      <w:bookmarkStart w:id="867" w:name="_Toc171332717"/>
      <w:bookmarkStart w:id="868" w:name="_Toc171398630"/>
      <w:bookmarkStart w:id="869" w:name="_Toc171398899"/>
      <w:bookmarkStart w:id="870" w:name="_Toc171399377"/>
      <w:bookmarkStart w:id="871" w:name="_Toc171399644"/>
      <w:bookmarkStart w:id="872" w:name="_Toc171399910"/>
      <w:bookmarkStart w:id="873" w:name="_Toc171400177"/>
      <w:bookmarkStart w:id="874" w:name="_Toc171405159"/>
      <w:bookmarkStart w:id="875" w:name="_Toc171405667"/>
      <w:bookmarkStart w:id="876" w:name="_Toc171405947"/>
      <w:bookmarkStart w:id="877" w:name="_Toc171406227"/>
      <w:bookmarkStart w:id="878" w:name="_Toc171406507"/>
      <w:bookmarkStart w:id="879" w:name="_Toc171406782"/>
      <w:bookmarkStart w:id="880" w:name="_Toc171407053"/>
      <w:bookmarkStart w:id="881" w:name="_Toc171407325"/>
      <w:bookmarkStart w:id="882" w:name="_Toc171407595"/>
      <w:bookmarkStart w:id="883" w:name="_Toc171407866"/>
      <w:bookmarkStart w:id="884" w:name="_Toc171408135"/>
      <w:bookmarkStart w:id="885" w:name="_Toc171408409"/>
      <w:bookmarkStart w:id="886" w:name="_Toc161720073"/>
      <w:bookmarkStart w:id="887" w:name="_Toc161720074"/>
      <w:bookmarkStart w:id="888" w:name="_Toc161720075"/>
      <w:bookmarkStart w:id="889" w:name="_Toc161720076"/>
      <w:bookmarkStart w:id="890" w:name="_Toc161720078"/>
      <w:bookmarkStart w:id="891" w:name="_Toc161720079"/>
      <w:bookmarkStart w:id="892" w:name="_Toc161720081"/>
      <w:bookmarkStart w:id="893" w:name="_Toc161720082"/>
      <w:bookmarkStart w:id="894" w:name="_Toc161720083"/>
      <w:bookmarkStart w:id="895" w:name="_Toc161720084"/>
      <w:bookmarkStart w:id="896" w:name="_Toc161720086"/>
      <w:bookmarkStart w:id="897" w:name="_Toc161720088"/>
      <w:bookmarkStart w:id="898" w:name="_Toc161720089"/>
      <w:bookmarkStart w:id="899" w:name="_Toc161720090"/>
      <w:bookmarkStart w:id="900" w:name="_Toc161720096"/>
      <w:bookmarkStart w:id="901" w:name="_Toc161720098"/>
      <w:bookmarkStart w:id="902" w:name="_Toc161720101"/>
      <w:bookmarkStart w:id="903" w:name="_Toc161720107"/>
      <w:bookmarkStart w:id="904" w:name="_Toc161720108"/>
      <w:bookmarkStart w:id="905" w:name="_Toc161720109"/>
      <w:bookmarkStart w:id="906" w:name="_Toc171235073"/>
      <w:bookmarkStart w:id="907" w:name="_Toc171241642"/>
      <w:bookmarkStart w:id="908" w:name="_Toc171329481"/>
      <w:bookmarkStart w:id="909" w:name="_Toc171329767"/>
      <w:bookmarkStart w:id="910" w:name="_Toc171330019"/>
      <w:bookmarkStart w:id="911" w:name="_Toc171331480"/>
      <w:bookmarkStart w:id="912" w:name="_Toc171331730"/>
      <w:bookmarkStart w:id="913" w:name="_Toc171331980"/>
      <w:bookmarkStart w:id="914" w:name="_Toc171332230"/>
      <w:bookmarkStart w:id="915" w:name="_Toc171332475"/>
      <w:bookmarkStart w:id="916" w:name="_Toc171332720"/>
      <w:bookmarkStart w:id="917" w:name="_Toc171398633"/>
      <w:bookmarkStart w:id="918" w:name="_Toc171398902"/>
      <w:bookmarkStart w:id="919" w:name="_Toc171399380"/>
      <w:bookmarkStart w:id="920" w:name="_Toc171399647"/>
      <w:bookmarkStart w:id="921" w:name="_Toc171399913"/>
      <w:bookmarkStart w:id="922" w:name="_Toc171400180"/>
      <w:bookmarkStart w:id="923" w:name="_Toc171405162"/>
      <w:bookmarkStart w:id="924" w:name="_Toc171405670"/>
      <w:bookmarkStart w:id="925" w:name="_Toc171405950"/>
      <w:bookmarkStart w:id="926" w:name="_Toc171406230"/>
      <w:bookmarkStart w:id="927" w:name="_Toc171406510"/>
      <w:bookmarkStart w:id="928" w:name="_Toc171406785"/>
      <w:bookmarkStart w:id="929" w:name="_Toc171407056"/>
      <w:bookmarkStart w:id="930" w:name="_Toc171407328"/>
      <w:bookmarkStart w:id="931" w:name="_Toc171407598"/>
      <w:bookmarkStart w:id="932" w:name="_Toc171407869"/>
      <w:bookmarkStart w:id="933" w:name="_Toc171408138"/>
      <w:bookmarkStart w:id="934" w:name="_Toc171408412"/>
      <w:bookmarkStart w:id="935" w:name="_Toc171235076"/>
      <w:bookmarkStart w:id="936" w:name="_Toc171241645"/>
      <w:bookmarkStart w:id="937" w:name="_Toc171329484"/>
      <w:bookmarkStart w:id="938" w:name="_Toc171329770"/>
      <w:bookmarkStart w:id="939" w:name="_Toc171330022"/>
      <w:bookmarkStart w:id="940" w:name="_Toc171331483"/>
      <w:bookmarkStart w:id="941" w:name="_Toc171331733"/>
      <w:bookmarkStart w:id="942" w:name="_Toc171331983"/>
      <w:bookmarkStart w:id="943" w:name="_Toc171332233"/>
      <w:bookmarkStart w:id="944" w:name="_Toc171332478"/>
      <w:bookmarkStart w:id="945" w:name="_Toc171332723"/>
      <w:bookmarkStart w:id="946" w:name="_Toc171398636"/>
      <w:bookmarkStart w:id="947" w:name="_Toc171398905"/>
      <w:bookmarkStart w:id="948" w:name="_Toc171399383"/>
      <w:bookmarkStart w:id="949" w:name="_Toc171399650"/>
      <w:bookmarkStart w:id="950" w:name="_Toc171399916"/>
      <w:bookmarkStart w:id="951" w:name="_Toc171400183"/>
      <w:bookmarkStart w:id="952" w:name="_Toc171405165"/>
      <w:bookmarkStart w:id="953" w:name="_Toc171405673"/>
      <w:bookmarkStart w:id="954" w:name="_Toc171405953"/>
      <w:bookmarkStart w:id="955" w:name="_Toc171406233"/>
      <w:bookmarkStart w:id="956" w:name="_Toc171406513"/>
      <w:bookmarkStart w:id="957" w:name="_Toc171406788"/>
      <w:bookmarkStart w:id="958" w:name="_Toc171407059"/>
      <w:bookmarkStart w:id="959" w:name="_Toc171407331"/>
      <w:bookmarkStart w:id="960" w:name="_Toc171407601"/>
      <w:bookmarkStart w:id="961" w:name="_Toc171407872"/>
      <w:bookmarkStart w:id="962" w:name="_Toc171408141"/>
      <w:bookmarkStart w:id="963" w:name="_Toc171408415"/>
      <w:bookmarkStart w:id="964" w:name="_Toc161720114"/>
      <w:bookmarkStart w:id="965" w:name="_Toc161720139"/>
      <w:bookmarkStart w:id="966" w:name="_Toc161720140"/>
      <w:bookmarkStart w:id="967" w:name="_Toc161720141"/>
      <w:bookmarkStart w:id="968" w:name="_Toc1617201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232E6E">
        <w:rPr>
          <w:rFonts w:ascii="Arial" w:hAnsi="Arial" w:cs="Arial"/>
          <w:sz w:val="22"/>
          <w:szCs w:val="22"/>
        </w:rPr>
        <w:t xml:space="preserve">Whilst the information in this </w:t>
      </w:r>
      <w:r w:rsidR="0016035F" w:rsidRPr="00232E6E">
        <w:rPr>
          <w:rFonts w:ascii="Arial" w:hAnsi="Arial" w:cs="Arial"/>
          <w:sz w:val="22"/>
          <w:szCs w:val="22"/>
        </w:rPr>
        <w:t>ITQ</w:t>
      </w:r>
      <w:r w:rsidRPr="00232E6E">
        <w:rPr>
          <w:rFonts w:ascii="Arial" w:hAnsi="Arial" w:cs="Arial"/>
          <w:sz w:val="22"/>
          <w:szCs w:val="22"/>
        </w:rPr>
        <w:t xml:space="preserve"> and supporting information has been prepared by the Contracting Authority in good faith, it does not purport to be comprehensive or to have been independently verified. </w:t>
      </w:r>
    </w:p>
    <w:p w14:paraId="770C7569"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Neither the Contracting Authority, nor </w:t>
      </w:r>
      <w:r w:rsidR="00937898" w:rsidRPr="00232E6E">
        <w:rPr>
          <w:rFonts w:ascii="Arial" w:hAnsi="Arial" w:cs="Arial"/>
          <w:sz w:val="22"/>
          <w:szCs w:val="22"/>
        </w:rPr>
        <w:t>any representative of the Contracting Authority</w:t>
      </w:r>
      <w:r w:rsidRPr="00232E6E">
        <w:rPr>
          <w:rFonts w:ascii="Arial" w:hAnsi="Arial" w:cs="Arial"/>
          <w:sz w:val="22"/>
          <w:szCs w:val="22"/>
        </w:rPr>
        <w:t>, nor any of their respective directors, officers, members, partners, employees, advisors, other staff or agents:</w:t>
      </w:r>
    </w:p>
    <w:p w14:paraId="340138B4" w14:textId="77777777" w:rsidR="00244AE9" w:rsidRPr="00232E6E" w:rsidRDefault="00244AE9" w:rsidP="00232E6E">
      <w:pPr>
        <w:numPr>
          <w:ilvl w:val="0"/>
          <w:numId w:val="5"/>
        </w:numPr>
        <w:spacing w:after="80"/>
        <w:rPr>
          <w:rFonts w:ascii="Arial" w:hAnsi="Arial" w:cs="Arial"/>
          <w:sz w:val="22"/>
          <w:szCs w:val="22"/>
        </w:rPr>
      </w:pPr>
      <w:r w:rsidRPr="00232E6E">
        <w:rPr>
          <w:rFonts w:ascii="Arial" w:hAnsi="Arial" w:cs="Arial"/>
          <w:sz w:val="22"/>
          <w:szCs w:val="22"/>
        </w:rPr>
        <w:t xml:space="preserve">Makes any representation or warranty (express or implied) as to the accuracy, reasonableness or completeness of the </w:t>
      </w:r>
      <w:r w:rsidR="0016035F" w:rsidRPr="00232E6E">
        <w:rPr>
          <w:rFonts w:ascii="Arial" w:hAnsi="Arial" w:cs="Arial"/>
          <w:sz w:val="22"/>
          <w:szCs w:val="22"/>
        </w:rPr>
        <w:t>ITQ</w:t>
      </w:r>
      <w:r w:rsidRPr="00232E6E">
        <w:rPr>
          <w:rFonts w:ascii="Arial" w:hAnsi="Arial" w:cs="Arial"/>
          <w:sz w:val="22"/>
          <w:szCs w:val="22"/>
        </w:rPr>
        <w:t>; or</w:t>
      </w:r>
    </w:p>
    <w:p w14:paraId="2DE91919" w14:textId="77777777" w:rsidR="00244AE9" w:rsidRPr="00232E6E" w:rsidRDefault="00244AE9" w:rsidP="00232E6E">
      <w:pPr>
        <w:numPr>
          <w:ilvl w:val="0"/>
          <w:numId w:val="5"/>
        </w:numPr>
        <w:spacing w:after="80"/>
        <w:rPr>
          <w:rFonts w:ascii="Arial" w:hAnsi="Arial" w:cs="Arial"/>
          <w:sz w:val="22"/>
          <w:szCs w:val="22"/>
        </w:rPr>
      </w:pPr>
      <w:r w:rsidRPr="00232E6E">
        <w:rPr>
          <w:rFonts w:ascii="Arial" w:hAnsi="Arial" w:cs="Arial"/>
          <w:sz w:val="22"/>
          <w:szCs w:val="22"/>
        </w:rPr>
        <w:t>Accepts any responsibility for the information contained or for the fairness, accuracy or completeness of that information nor shall any of them be liable for any loss or damage (other than in respect of fraudulent misrepresentation) arising as a result of reliance on such information or any subsequent communication.</w:t>
      </w:r>
    </w:p>
    <w:p w14:paraId="6274A767"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Bidders must obtain for themselves, at their own responsibility and expense, all information necessary for the preparation and submission of Bids throughout the </w:t>
      </w:r>
      <w:r w:rsidR="0016035F" w:rsidRPr="00232E6E">
        <w:rPr>
          <w:rFonts w:ascii="Arial" w:hAnsi="Arial" w:cs="Arial"/>
          <w:sz w:val="22"/>
          <w:szCs w:val="22"/>
        </w:rPr>
        <w:t xml:space="preserve">ITQ </w:t>
      </w:r>
      <w:r w:rsidRPr="00232E6E">
        <w:rPr>
          <w:rFonts w:ascii="Arial" w:hAnsi="Arial" w:cs="Arial"/>
          <w:sz w:val="22"/>
          <w:szCs w:val="22"/>
        </w:rPr>
        <w:t xml:space="preserve">process. Bidders are solely responsible for all costs and expenses incurred in connection with the preparation and submission of their Bid and all other stages of the </w:t>
      </w:r>
      <w:r w:rsidR="0028163C" w:rsidRPr="00232E6E">
        <w:rPr>
          <w:rFonts w:ascii="Arial" w:hAnsi="Arial" w:cs="Arial"/>
          <w:sz w:val="22"/>
          <w:szCs w:val="22"/>
        </w:rPr>
        <w:t>ITQ process</w:t>
      </w:r>
      <w:r w:rsidRPr="00232E6E">
        <w:rPr>
          <w:rFonts w:ascii="Arial" w:hAnsi="Arial" w:cs="Arial"/>
          <w:sz w:val="22"/>
          <w:szCs w:val="22"/>
        </w:rPr>
        <w:t xml:space="preserve">.  Under no circumstances will the Contracting Authority, or any </w:t>
      </w:r>
      <w:r w:rsidR="00E71113" w:rsidRPr="00232E6E">
        <w:rPr>
          <w:rFonts w:ascii="Arial" w:hAnsi="Arial" w:cs="Arial"/>
          <w:sz w:val="22"/>
          <w:szCs w:val="22"/>
        </w:rPr>
        <w:t>ICB</w:t>
      </w:r>
      <w:r w:rsidRPr="00232E6E">
        <w:rPr>
          <w:rFonts w:ascii="Arial" w:hAnsi="Arial" w:cs="Arial"/>
          <w:sz w:val="22"/>
          <w:szCs w:val="22"/>
        </w:rPr>
        <w:t xml:space="preserve"> on whose behalf this exercise is being undertaken, </w:t>
      </w:r>
      <w:r w:rsidR="00937898" w:rsidRPr="00232E6E">
        <w:rPr>
          <w:rFonts w:ascii="Arial" w:hAnsi="Arial" w:cs="Arial"/>
          <w:sz w:val="22"/>
          <w:szCs w:val="22"/>
        </w:rPr>
        <w:t xml:space="preserve">any representative of the Contracting Authority </w:t>
      </w:r>
      <w:r w:rsidRPr="00232E6E">
        <w:rPr>
          <w:rFonts w:ascii="Arial" w:hAnsi="Arial" w:cs="Arial"/>
          <w:sz w:val="22"/>
          <w:szCs w:val="22"/>
        </w:rPr>
        <w:t>or any of their advisors or representatives, be liable for any costs or expenses borne by Bidders and/or any of their Bidder Members in this process.</w:t>
      </w:r>
    </w:p>
    <w:p w14:paraId="3046F3A9"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The Contracting Authority relies on Bidders’ own analysis and review of information provided.  Consequently, Bidders are solely responsible for obtaining the information which they consider necessary and to undertake any investigations they consider are required in order to verify any information provided to them during the Procurement (“Due Diligence”).</w:t>
      </w:r>
    </w:p>
    <w:p w14:paraId="2CFE5AAF"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Bidders must form their own opinions, making such investigations and taking such advice (including professional advice) as is appropriate, regarding the </w:t>
      </w:r>
      <w:r w:rsidR="00222FD9" w:rsidRPr="00232E6E">
        <w:rPr>
          <w:rFonts w:ascii="Arial" w:hAnsi="Arial" w:cs="Arial"/>
          <w:sz w:val="22"/>
          <w:szCs w:val="22"/>
        </w:rPr>
        <w:t>process</w:t>
      </w:r>
      <w:r w:rsidRPr="00232E6E">
        <w:rPr>
          <w:rFonts w:ascii="Arial" w:hAnsi="Arial" w:cs="Arial"/>
          <w:b/>
          <w:sz w:val="22"/>
          <w:szCs w:val="22"/>
        </w:rPr>
        <w:t xml:space="preserve"> </w:t>
      </w:r>
      <w:r w:rsidRPr="00232E6E">
        <w:rPr>
          <w:rFonts w:ascii="Arial" w:hAnsi="Arial" w:cs="Arial"/>
          <w:sz w:val="22"/>
          <w:szCs w:val="22"/>
        </w:rPr>
        <w:t xml:space="preserve">and their Bid, without reliance upon any opinion or other information provided by the Contracting Authority, </w:t>
      </w:r>
      <w:r w:rsidR="00937898" w:rsidRPr="00232E6E">
        <w:rPr>
          <w:rFonts w:ascii="Arial" w:hAnsi="Arial" w:cs="Arial"/>
          <w:sz w:val="22"/>
          <w:szCs w:val="22"/>
        </w:rPr>
        <w:t xml:space="preserve">any representative of the Contracting Authority </w:t>
      </w:r>
      <w:r w:rsidRPr="00232E6E">
        <w:rPr>
          <w:rFonts w:ascii="Arial" w:hAnsi="Arial" w:cs="Arial"/>
          <w:sz w:val="22"/>
          <w:szCs w:val="22"/>
        </w:rPr>
        <w:t xml:space="preserve">or any of their advisors and representatives.  Bidders should notify the Contracting Authority promptly of any perceived ambiguity, inconsistency or omission in this </w:t>
      </w:r>
      <w:r w:rsidR="0016035F" w:rsidRPr="00232E6E">
        <w:rPr>
          <w:rFonts w:ascii="Arial" w:hAnsi="Arial" w:cs="Arial"/>
          <w:sz w:val="22"/>
          <w:szCs w:val="22"/>
        </w:rPr>
        <w:t>ITQ</w:t>
      </w:r>
      <w:r w:rsidRPr="00232E6E">
        <w:rPr>
          <w:rFonts w:ascii="Arial" w:hAnsi="Arial" w:cs="Arial"/>
          <w:sz w:val="22"/>
          <w:szCs w:val="22"/>
        </w:rPr>
        <w:t>, any of its associated documents and/or any other information issued to them during the Procurement.</w:t>
      </w:r>
    </w:p>
    <w:p w14:paraId="34E9BF92"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Any persons considering </w:t>
      </w:r>
      <w:proofErr w:type="gramStart"/>
      <w:r w:rsidRPr="00232E6E">
        <w:rPr>
          <w:rFonts w:ascii="Arial" w:hAnsi="Arial" w:cs="Arial"/>
          <w:sz w:val="22"/>
          <w:szCs w:val="22"/>
        </w:rPr>
        <w:t>making a decision</w:t>
      </w:r>
      <w:proofErr w:type="gramEnd"/>
      <w:r w:rsidRPr="00232E6E">
        <w:rPr>
          <w:rFonts w:ascii="Arial" w:hAnsi="Arial" w:cs="Arial"/>
          <w:sz w:val="22"/>
          <w:szCs w:val="22"/>
        </w:rPr>
        <w:t xml:space="preserve"> to enter into a contractual relationship with the Contracting Authority should make their own investigations and their own independent assessment of the Authority and its requirements for the service and should seek their own professional financial and legal advice.  For the avoidance of doubt the provision of clarification or further information in relation to the </w:t>
      </w:r>
      <w:r w:rsidR="0016035F" w:rsidRPr="00232E6E">
        <w:rPr>
          <w:rFonts w:ascii="Arial" w:hAnsi="Arial" w:cs="Arial"/>
          <w:sz w:val="22"/>
          <w:szCs w:val="22"/>
        </w:rPr>
        <w:t>ITQ</w:t>
      </w:r>
      <w:r w:rsidRPr="00232E6E">
        <w:rPr>
          <w:rFonts w:ascii="Arial" w:hAnsi="Arial" w:cs="Arial"/>
          <w:sz w:val="22"/>
          <w:szCs w:val="22"/>
        </w:rPr>
        <w:t xml:space="preserve"> or any other associated documents is only authorised to be provided following a clarification query.</w:t>
      </w:r>
    </w:p>
    <w:p w14:paraId="06670F45"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The Contract concluded as a result of this </w:t>
      </w:r>
      <w:r w:rsidR="0016035F" w:rsidRPr="00232E6E">
        <w:rPr>
          <w:rFonts w:ascii="Arial" w:hAnsi="Arial" w:cs="Arial"/>
          <w:sz w:val="22"/>
          <w:szCs w:val="22"/>
        </w:rPr>
        <w:t>ITQ</w:t>
      </w:r>
      <w:r w:rsidRPr="00232E6E">
        <w:rPr>
          <w:rFonts w:ascii="Arial" w:hAnsi="Arial" w:cs="Arial"/>
          <w:sz w:val="22"/>
          <w:szCs w:val="22"/>
        </w:rPr>
        <w:t xml:space="preserve"> shall be governed by English law and shall be subject to the exclusive jurisdiction of the English Courts. </w:t>
      </w:r>
    </w:p>
    <w:p w14:paraId="3AC18BA1"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lastRenderedPageBreak/>
        <w:t>All Bidders, Bidder Members, sub-contractors, funders and any of their respective advisers shall be responsible for all costs incurred by them in connection with all stages of this procurement.</w:t>
      </w:r>
    </w:p>
    <w:p w14:paraId="2E1676DB"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Under no circumstances will the Contracting Authority, the </w:t>
      </w:r>
      <w:r w:rsidR="00E71113" w:rsidRPr="00232E6E">
        <w:rPr>
          <w:rFonts w:ascii="Arial" w:hAnsi="Arial" w:cs="Arial"/>
          <w:sz w:val="22"/>
          <w:szCs w:val="22"/>
        </w:rPr>
        <w:t>ICB</w:t>
      </w:r>
      <w:r w:rsidRPr="00232E6E">
        <w:rPr>
          <w:rFonts w:ascii="Arial" w:hAnsi="Arial" w:cs="Arial"/>
          <w:sz w:val="22"/>
          <w:szCs w:val="22"/>
        </w:rPr>
        <w:t xml:space="preserve">s or </w:t>
      </w:r>
      <w:r w:rsidR="00937898" w:rsidRPr="00232E6E">
        <w:rPr>
          <w:rFonts w:ascii="Arial" w:hAnsi="Arial" w:cs="Arial"/>
          <w:sz w:val="22"/>
          <w:szCs w:val="22"/>
        </w:rPr>
        <w:t xml:space="preserve">any representative of the Contracting Authority </w:t>
      </w:r>
      <w:r w:rsidRPr="00232E6E">
        <w:rPr>
          <w:rFonts w:ascii="Arial" w:hAnsi="Arial" w:cs="Arial"/>
          <w:sz w:val="22"/>
          <w:szCs w:val="22"/>
        </w:rPr>
        <w:t>or any of their respective advisers be liable for any costs or expenses incurred by a Bidder, its Bidder Members, sub-contractors, funders and/or their respective advisers arising directly or indirectly from the procurement process or termination thereof, including, without limitation, any changes or adjustments made to the procurement process or documentation, or disqualification of a Bidder.</w:t>
      </w:r>
    </w:p>
    <w:p w14:paraId="2EDA8175"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69" w:name="_Toc341347947"/>
      <w:r w:rsidRPr="00232E6E">
        <w:rPr>
          <w:rFonts w:ascii="Arial" w:hAnsi="Arial"/>
          <w:sz w:val="22"/>
          <w:szCs w:val="22"/>
          <w:lang w:val="en-GB"/>
        </w:rPr>
        <w:t>1</w:t>
      </w:r>
      <w:r w:rsidR="00244AE9" w:rsidRPr="00232E6E">
        <w:rPr>
          <w:rFonts w:ascii="Arial" w:hAnsi="Arial"/>
          <w:sz w:val="22"/>
          <w:szCs w:val="22"/>
        </w:rPr>
        <w:t>.</w:t>
      </w:r>
      <w:r w:rsidR="00244AE9" w:rsidRPr="00232E6E">
        <w:rPr>
          <w:rFonts w:ascii="Arial" w:hAnsi="Arial"/>
          <w:sz w:val="22"/>
          <w:szCs w:val="22"/>
          <w:lang w:val="en-GB"/>
        </w:rPr>
        <w:t>5</w:t>
      </w:r>
      <w:r w:rsidR="00244AE9" w:rsidRPr="00232E6E">
        <w:rPr>
          <w:rFonts w:ascii="Arial" w:hAnsi="Arial"/>
          <w:sz w:val="22"/>
          <w:szCs w:val="22"/>
        </w:rPr>
        <w:tab/>
      </w:r>
      <w:proofErr w:type="gramStart"/>
      <w:r w:rsidR="00244AE9" w:rsidRPr="00232E6E">
        <w:rPr>
          <w:rFonts w:ascii="Arial" w:hAnsi="Arial"/>
          <w:sz w:val="22"/>
          <w:szCs w:val="22"/>
        </w:rPr>
        <w:t>non collusion</w:t>
      </w:r>
      <w:bookmarkEnd w:id="969"/>
      <w:proofErr w:type="gramEnd"/>
    </w:p>
    <w:p w14:paraId="0FA52D70" w14:textId="77777777" w:rsidR="00244AE9" w:rsidRPr="00232E6E" w:rsidRDefault="00244AE9" w:rsidP="00232E6E">
      <w:pPr>
        <w:spacing w:after="40"/>
        <w:rPr>
          <w:rFonts w:ascii="Arial" w:hAnsi="Arial" w:cs="Arial"/>
          <w:sz w:val="22"/>
          <w:szCs w:val="22"/>
        </w:rPr>
      </w:pPr>
      <w:r w:rsidRPr="00232E6E">
        <w:rPr>
          <w:rFonts w:ascii="Arial" w:hAnsi="Arial" w:cs="Arial"/>
          <w:sz w:val="22"/>
          <w:szCs w:val="22"/>
        </w:rPr>
        <w:t xml:space="preserve">The Contracting Authority reserves the right to disqualify (without prejudice to any other civil remedies available to them and without prejudice to any criminal liability which such conduct by a Bidder may attract) any Bidder or Bidder Member who, in connection with this </w:t>
      </w:r>
      <w:r w:rsidR="0016035F" w:rsidRPr="00232E6E">
        <w:rPr>
          <w:rFonts w:ascii="Arial" w:hAnsi="Arial" w:cs="Arial"/>
          <w:sz w:val="22"/>
          <w:szCs w:val="22"/>
        </w:rPr>
        <w:t>ITQ</w:t>
      </w:r>
      <w:r w:rsidRPr="00232E6E">
        <w:rPr>
          <w:rFonts w:ascii="Arial" w:hAnsi="Arial" w:cs="Arial"/>
          <w:sz w:val="22"/>
          <w:szCs w:val="22"/>
        </w:rPr>
        <w:t>:</w:t>
      </w:r>
    </w:p>
    <w:p w14:paraId="4ECCE38D" w14:textId="77777777" w:rsidR="00244AE9" w:rsidRPr="00232E6E" w:rsidRDefault="00244AE9" w:rsidP="00232E6E">
      <w:pPr>
        <w:numPr>
          <w:ilvl w:val="0"/>
          <w:numId w:val="4"/>
        </w:numPr>
        <w:spacing w:after="40"/>
        <w:rPr>
          <w:rFonts w:ascii="Arial" w:hAnsi="Arial" w:cs="Arial"/>
          <w:sz w:val="22"/>
          <w:szCs w:val="22"/>
        </w:rPr>
      </w:pPr>
      <w:r w:rsidRPr="00232E6E">
        <w:rPr>
          <w:rFonts w:ascii="Arial" w:hAnsi="Arial" w:cs="Arial"/>
          <w:sz w:val="22"/>
          <w:szCs w:val="22"/>
        </w:rPr>
        <w:t>Fixes or adjusts the amount of their Bid by or in accordance with any agreement or arrangement with any other Bidder or Bidder Member of another Bidder (other than a Bidder’s own Bidder Members); or</w:t>
      </w:r>
    </w:p>
    <w:p w14:paraId="2542651A" w14:textId="77777777" w:rsidR="00244AE9" w:rsidRPr="00232E6E" w:rsidRDefault="00244AE9" w:rsidP="00232E6E">
      <w:pPr>
        <w:numPr>
          <w:ilvl w:val="0"/>
          <w:numId w:val="4"/>
        </w:numPr>
        <w:spacing w:after="40"/>
        <w:rPr>
          <w:rFonts w:ascii="Arial" w:hAnsi="Arial" w:cs="Arial"/>
          <w:sz w:val="22"/>
          <w:szCs w:val="22"/>
        </w:rPr>
      </w:pPr>
      <w:r w:rsidRPr="00232E6E">
        <w:rPr>
          <w:rFonts w:ascii="Arial" w:hAnsi="Arial" w:cs="Arial"/>
          <w:sz w:val="22"/>
          <w:szCs w:val="22"/>
        </w:rPr>
        <w:t>Enters into any agreement or arrangement with any other Bidder or Bidder Member of another Bidder to the effect that they shall refrain from subm</w:t>
      </w:r>
      <w:r w:rsidR="0016035F" w:rsidRPr="00232E6E">
        <w:rPr>
          <w:rFonts w:ascii="Arial" w:hAnsi="Arial" w:cs="Arial"/>
          <w:sz w:val="22"/>
          <w:szCs w:val="22"/>
        </w:rPr>
        <w:t>itt</w:t>
      </w:r>
      <w:r w:rsidRPr="00232E6E">
        <w:rPr>
          <w:rFonts w:ascii="Arial" w:hAnsi="Arial" w:cs="Arial"/>
          <w:sz w:val="22"/>
          <w:szCs w:val="22"/>
        </w:rPr>
        <w:t>ing a Bid or as to the amount of any Bid to be subm</w:t>
      </w:r>
      <w:r w:rsidR="0016035F" w:rsidRPr="00232E6E">
        <w:rPr>
          <w:rFonts w:ascii="Arial" w:hAnsi="Arial" w:cs="Arial"/>
          <w:sz w:val="22"/>
          <w:szCs w:val="22"/>
        </w:rPr>
        <w:t>itt</w:t>
      </w:r>
      <w:r w:rsidRPr="00232E6E">
        <w:rPr>
          <w:rFonts w:ascii="Arial" w:hAnsi="Arial" w:cs="Arial"/>
          <w:sz w:val="22"/>
          <w:szCs w:val="22"/>
        </w:rPr>
        <w:t>ed; or</w:t>
      </w:r>
    </w:p>
    <w:p w14:paraId="7F2D57DB" w14:textId="77777777" w:rsidR="00244AE9" w:rsidRPr="00232E6E" w:rsidRDefault="00244AE9" w:rsidP="00232E6E">
      <w:pPr>
        <w:numPr>
          <w:ilvl w:val="0"/>
          <w:numId w:val="4"/>
        </w:numPr>
        <w:spacing w:after="40"/>
        <w:rPr>
          <w:rFonts w:ascii="Arial" w:hAnsi="Arial" w:cs="Arial"/>
          <w:sz w:val="22"/>
          <w:szCs w:val="22"/>
        </w:rPr>
      </w:pPr>
      <w:r w:rsidRPr="00232E6E">
        <w:rPr>
          <w:rFonts w:ascii="Arial" w:hAnsi="Arial" w:cs="Arial"/>
          <w:sz w:val="22"/>
          <w:szCs w:val="22"/>
        </w:rPr>
        <w:t>Offers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Contracting Authority and without prejudice to any criminal liability which such conduct by a Bidder or Bidder Member may attract) relating to any other Bid or proposed Bid for the Insert Procurement Title; or</w:t>
      </w:r>
    </w:p>
    <w:p w14:paraId="09905C5B" w14:textId="77777777" w:rsidR="00244AE9" w:rsidRPr="00232E6E" w:rsidRDefault="00244AE9" w:rsidP="00232E6E">
      <w:pPr>
        <w:numPr>
          <w:ilvl w:val="0"/>
          <w:numId w:val="4"/>
        </w:numPr>
        <w:spacing w:after="40"/>
        <w:rPr>
          <w:rFonts w:ascii="Arial" w:hAnsi="Arial" w:cs="Arial"/>
          <w:sz w:val="22"/>
          <w:szCs w:val="22"/>
        </w:rPr>
      </w:pPr>
      <w:r w:rsidRPr="00232E6E">
        <w:rPr>
          <w:rFonts w:ascii="Arial" w:hAnsi="Arial" w:cs="Arial"/>
          <w:sz w:val="22"/>
          <w:szCs w:val="22"/>
        </w:rPr>
        <w:t>Causes or induces any person to enter such agreement or to inform the Bidder or Bidder Member of the amount or approximate amount of any rival Bid; or</w:t>
      </w:r>
    </w:p>
    <w:p w14:paraId="0233C2D7" w14:textId="77777777" w:rsidR="00244AE9" w:rsidRPr="00232E6E" w:rsidRDefault="00244AE9" w:rsidP="00232E6E">
      <w:pPr>
        <w:numPr>
          <w:ilvl w:val="0"/>
          <w:numId w:val="4"/>
        </w:numPr>
        <w:spacing w:after="80"/>
        <w:rPr>
          <w:rFonts w:ascii="Arial" w:hAnsi="Arial" w:cs="Arial"/>
          <w:sz w:val="22"/>
          <w:szCs w:val="22"/>
        </w:rPr>
      </w:pPr>
      <w:r w:rsidRPr="00232E6E">
        <w:rPr>
          <w:rFonts w:ascii="Arial" w:hAnsi="Arial" w:cs="Arial"/>
          <w:sz w:val="22"/>
          <w:szCs w:val="22"/>
        </w:rPr>
        <w:t xml:space="preserve">Canvasses any of the persons referred to in Section </w:t>
      </w:r>
      <w:r w:rsidR="0016035F" w:rsidRPr="00232E6E">
        <w:rPr>
          <w:rFonts w:ascii="Arial" w:hAnsi="Arial" w:cs="Arial"/>
          <w:sz w:val="22"/>
          <w:szCs w:val="22"/>
        </w:rPr>
        <w:t>1</w:t>
      </w:r>
      <w:r w:rsidRPr="00232E6E">
        <w:rPr>
          <w:rFonts w:ascii="Arial" w:hAnsi="Arial" w:cs="Arial"/>
          <w:sz w:val="22"/>
          <w:szCs w:val="22"/>
        </w:rPr>
        <w:t xml:space="preserve">.5 (Canvassing) in connection with this </w:t>
      </w:r>
      <w:r w:rsidR="0016035F" w:rsidRPr="00232E6E">
        <w:rPr>
          <w:rFonts w:ascii="Arial" w:hAnsi="Arial" w:cs="Arial"/>
          <w:sz w:val="22"/>
          <w:szCs w:val="22"/>
        </w:rPr>
        <w:t>ITQ</w:t>
      </w:r>
      <w:r w:rsidRPr="00232E6E">
        <w:rPr>
          <w:rFonts w:ascii="Arial" w:hAnsi="Arial" w:cs="Arial"/>
          <w:sz w:val="22"/>
          <w:szCs w:val="22"/>
        </w:rPr>
        <w:t>.</w:t>
      </w:r>
    </w:p>
    <w:p w14:paraId="16C652ED"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70" w:name="_Toc341347948"/>
      <w:r w:rsidRPr="00232E6E">
        <w:rPr>
          <w:rFonts w:ascii="Arial" w:hAnsi="Arial"/>
          <w:sz w:val="22"/>
          <w:szCs w:val="22"/>
          <w:lang w:val="en-GB"/>
        </w:rPr>
        <w:t>1</w:t>
      </w:r>
      <w:r w:rsidR="00244AE9" w:rsidRPr="00232E6E">
        <w:rPr>
          <w:rFonts w:ascii="Arial" w:hAnsi="Arial"/>
          <w:sz w:val="22"/>
          <w:szCs w:val="22"/>
        </w:rPr>
        <w:t>.</w:t>
      </w:r>
      <w:r w:rsidR="00244AE9" w:rsidRPr="00232E6E">
        <w:rPr>
          <w:rFonts w:ascii="Arial" w:hAnsi="Arial"/>
          <w:sz w:val="22"/>
          <w:szCs w:val="22"/>
          <w:lang w:val="en-GB"/>
        </w:rPr>
        <w:t>6</w:t>
      </w:r>
      <w:r w:rsidR="00244AE9" w:rsidRPr="00232E6E">
        <w:rPr>
          <w:rFonts w:ascii="Arial" w:hAnsi="Arial"/>
          <w:sz w:val="22"/>
          <w:szCs w:val="22"/>
        </w:rPr>
        <w:tab/>
        <w:t>no inducement or incentive</w:t>
      </w:r>
      <w:bookmarkEnd w:id="970"/>
    </w:p>
    <w:p w14:paraId="51681701"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This </w:t>
      </w:r>
      <w:r w:rsidR="0016035F" w:rsidRPr="00232E6E">
        <w:rPr>
          <w:rFonts w:ascii="Arial" w:hAnsi="Arial" w:cs="Arial"/>
          <w:sz w:val="22"/>
          <w:szCs w:val="22"/>
        </w:rPr>
        <w:t>ITQ</w:t>
      </w:r>
      <w:r w:rsidRPr="00232E6E">
        <w:rPr>
          <w:rFonts w:ascii="Arial" w:hAnsi="Arial" w:cs="Arial"/>
          <w:sz w:val="22"/>
          <w:szCs w:val="22"/>
        </w:rPr>
        <w:t xml:space="preserve"> is issued on the basis that nothing contained in it shall constitute an inducement or incentive nor shall have in any other way persuaded a Bidder or Bidder Member to submit a Bid or enter into any contractual agreement.</w:t>
      </w:r>
    </w:p>
    <w:p w14:paraId="21476818"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71" w:name="_Toc341347949"/>
      <w:bookmarkStart w:id="972" w:name="_Toc286912238"/>
      <w:bookmarkStart w:id="973" w:name="_Toc286912493"/>
      <w:bookmarkStart w:id="974" w:name="_Toc286996438"/>
      <w:bookmarkStart w:id="975" w:name="_Toc287001380"/>
      <w:bookmarkStart w:id="976" w:name="_Toc287342217"/>
      <w:bookmarkStart w:id="977" w:name="_Toc287615153"/>
      <w:r w:rsidRPr="00232E6E">
        <w:rPr>
          <w:rFonts w:ascii="Arial" w:hAnsi="Arial"/>
          <w:sz w:val="22"/>
          <w:szCs w:val="22"/>
          <w:lang w:val="en-GB"/>
        </w:rPr>
        <w:t>1</w:t>
      </w:r>
      <w:r w:rsidR="00244AE9" w:rsidRPr="00232E6E">
        <w:rPr>
          <w:rFonts w:ascii="Arial" w:hAnsi="Arial"/>
          <w:sz w:val="22"/>
          <w:szCs w:val="22"/>
        </w:rPr>
        <w:t>.</w:t>
      </w:r>
      <w:r w:rsidR="00244AE9" w:rsidRPr="00232E6E">
        <w:rPr>
          <w:rFonts w:ascii="Arial" w:hAnsi="Arial"/>
          <w:sz w:val="22"/>
          <w:szCs w:val="22"/>
          <w:lang w:val="en-GB"/>
        </w:rPr>
        <w:t>7</w:t>
      </w:r>
      <w:r w:rsidR="00244AE9" w:rsidRPr="00232E6E">
        <w:rPr>
          <w:rFonts w:ascii="Arial" w:hAnsi="Arial"/>
          <w:sz w:val="22"/>
          <w:szCs w:val="22"/>
        </w:rPr>
        <w:tab/>
        <w:t>bidder changes</w:t>
      </w:r>
      <w:bookmarkEnd w:id="971"/>
    </w:p>
    <w:p w14:paraId="4B711551" w14:textId="77777777" w:rsidR="00244AE9" w:rsidRPr="00232E6E" w:rsidRDefault="00244AE9" w:rsidP="00232E6E">
      <w:pPr>
        <w:tabs>
          <w:tab w:val="num" w:pos="720"/>
        </w:tabs>
        <w:spacing w:after="80"/>
        <w:rPr>
          <w:rFonts w:ascii="Arial" w:hAnsi="Arial" w:cs="Arial"/>
          <w:sz w:val="22"/>
          <w:szCs w:val="22"/>
        </w:rPr>
      </w:pPr>
      <w:r w:rsidRPr="00232E6E">
        <w:rPr>
          <w:rFonts w:ascii="Arial" w:hAnsi="Arial" w:cs="Arial"/>
          <w:sz w:val="22"/>
          <w:szCs w:val="22"/>
        </w:rPr>
        <w:t>Bidders are subject to an on-going obligation to notify the Contracting Authority of any material changes in their financial or other circumstances.  This includes, but is not limited to, changes to the identity of Bidder Members, sub-contractors or the ownership or financial or other circumstances thereof and solvency of the Bidder.  The Contracting Authority should be notified of any material change as soon as it becomes apparent.</w:t>
      </w:r>
      <w:bookmarkEnd w:id="972"/>
      <w:bookmarkEnd w:id="973"/>
      <w:bookmarkEnd w:id="974"/>
      <w:bookmarkEnd w:id="975"/>
      <w:bookmarkEnd w:id="976"/>
      <w:bookmarkEnd w:id="977"/>
      <w:r w:rsidRPr="00232E6E">
        <w:rPr>
          <w:rFonts w:ascii="Arial" w:hAnsi="Arial" w:cs="Arial"/>
          <w:sz w:val="22"/>
          <w:szCs w:val="22"/>
        </w:rPr>
        <w:t xml:space="preserve"> </w:t>
      </w:r>
    </w:p>
    <w:p w14:paraId="4C4BB1E5" w14:textId="77777777" w:rsidR="00244AE9" w:rsidRPr="00232E6E" w:rsidRDefault="00244AE9" w:rsidP="00232E6E">
      <w:pPr>
        <w:tabs>
          <w:tab w:val="num" w:pos="720"/>
        </w:tabs>
        <w:spacing w:after="80"/>
        <w:rPr>
          <w:rFonts w:ascii="Arial" w:hAnsi="Arial" w:cs="Arial"/>
          <w:sz w:val="22"/>
          <w:szCs w:val="22"/>
        </w:rPr>
      </w:pPr>
      <w:bookmarkStart w:id="978" w:name="_Toc287615154"/>
      <w:r w:rsidRPr="00232E6E">
        <w:rPr>
          <w:rFonts w:ascii="Arial" w:hAnsi="Arial" w:cs="Arial"/>
          <w:sz w:val="22"/>
          <w:szCs w:val="22"/>
        </w:rPr>
        <w:t>Bidders are reminded that any future changes in relation to their Bidder Members must be notified to the Contracting Authority.</w:t>
      </w:r>
      <w:bookmarkEnd w:id="978"/>
      <w:r w:rsidRPr="00232E6E">
        <w:rPr>
          <w:rFonts w:ascii="Arial" w:hAnsi="Arial" w:cs="Arial"/>
          <w:sz w:val="22"/>
          <w:szCs w:val="22"/>
        </w:rPr>
        <w:t xml:space="preserve">  </w:t>
      </w:r>
      <w:bookmarkStart w:id="979" w:name="_Toc286912239"/>
      <w:bookmarkStart w:id="980" w:name="_Toc286912494"/>
      <w:bookmarkStart w:id="981" w:name="_Toc286996439"/>
      <w:bookmarkStart w:id="982" w:name="_Toc287001381"/>
      <w:bookmarkStart w:id="983" w:name="_Toc287342218"/>
      <w:bookmarkStart w:id="984" w:name="_Toc287615155"/>
      <w:r w:rsidRPr="00232E6E">
        <w:rPr>
          <w:rFonts w:ascii="Arial" w:hAnsi="Arial" w:cs="Arial"/>
          <w:sz w:val="22"/>
          <w:szCs w:val="22"/>
        </w:rPr>
        <w:t>Failure to notify the Contracting Authority of any material changes or to comply with any of these provisions may lead to a Bidder being liable for disqualification.</w:t>
      </w:r>
      <w:bookmarkEnd w:id="979"/>
      <w:bookmarkEnd w:id="980"/>
      <w:bookmarkEnd w:id="981"/>
      <w:bookmarkEnd w:id="982"/>
      <w:bookmarkEnd w:id="983"/>
      <w:bookmarkEnd w:id="984"/>
    </w:p>
    <w:p w14:paraId="0EF4867F" w14:textId="77777777" w:rsidR="00244AE9" w:rsidRPr="00232E6E" w:rsidRDefault="00244AE9" w:rsidP="00232E6E">
      <w:pPr>
        <w:tabs>
          <w:tab w:val="num" w:pos="720"/>
        </w:tabs>
        <w:spacing w:after="80"/>
        <w:rPr>
          <w:rFonts w:ascii="Arial" w:hAnsi="Arial" w:cs="Arial"/>
          <w:sz w:val="22"/>
          <w:szCs w:val="22"/>
        </w:rPr>
      </w:pPr>
      <w:r w:rsidRPr="00232E6E">
        <w:rPr>
          <w:rFonts w:ascii="Arial" w:hAnsi="Arial" w:cs="Arial"/>
          <w:sz w:val="22"/>
          <w:szCs w:val="22"/>
        </w:rPr>
        <w:t xml:space="preserve">The Contracting Authority reserves the right to refuse to allow such a change and to disqualify any Bidder from further participation in the </w:t>
      </w:r>
      <w:r w:rsidR="00842F09" w:rsidRPr="00232E6E">
        <w:rPr>
          <w:rFonts w:ascii="Arial" w:hAnsi="Arial" w:cs="Arial"/>
          <w:sz w:val="22"/>
          <w:szCs w:val="22"/>
        </w:rPr>
        <w:t xml:space="preserve">ITQ </w:t>
      </w:r>
      <w:r w:rsidRPr="00232E6E">
        <w:rPr>
          <w:rFonts w:ascii="Arial" w:hAnsi="Arial" w:cs="Arial"/>
          <w:sz w:val="22"/>
          <w:szCs w:val="22"/>
        </w:rPr>
        <w:t xml:space="preserve">process </w:t>
      </w:r>
      <w:proofErr w:type="gramStart"/>
      <w:r w:rsidRPr="00232E6E">
        <w:rPr>
          <w:rFonts w:ascii="Arial" w:hAnsi="Arial" w:cs="Arial"/>
          <w:sz w:val="22"/>
          <w:szCs w:val="22"/>
        </w:rPr>
        <w:t>in the event that</w:t>
      </w:r>
      <w:proofErr w:type="gramEnd"/>
      <w:r w:rsidRPr="00232E6E">
        <w:rPr>
          <w:rFonts w:ascii="Arial" w:hAnsi="Arial" w:cs="Arial"/>
          <w:sz w:val="22"/>
          <w:szCs w:val="22"/>
        </w:rPr>
        <w:t xml:space="preserve"> such a change is made.  In exercising their absolute discretion to either refuse or allow such a change, the Contracting Authority may </w:t>
      </w:r>
      <w:proofErr w:type="gramStart"/>
      <w:r w:rsidRPr="00232E6E">
        <w:rPr>
          <w:rFonts w:ascii="Arial" w:hAnsi="Arial" w:cs="Arial"/>
          <w:sz w:val="22"/>
          <w:szCs w:val="22"/>
        </w:rPr>
        <w:t>take into account</w:t>
      </w:r>
      <w:proofErr w:type="gramEnd"/>
      <w:r w:rsidRPr="00232E6E">
        <w:rPr>
          <w:rFonts w:ascii="Arial" w:hAnsi="Arial" w:cs="Arial"/>
          <w:sz w:val="22"/>
          <w:szCs w:val="22"/>
        </w:rPr>
        <w:t xml:space="preserve"> whether such change is material to the delivery of the </w:t>
      </w:r>
      <w:r w:rsidR="00842F09" w:rsidRPr="00232E6E">
        <w:rPr>
          <w:rFonts w:ascii="Arial" w:hAnsi="Arial" w:cs="Arial"/>
          <w:sz w:val="22"/>
          <w:szCs w:val="22"/>
        </w:rPr>
        <w:t>ITQ process</w:t>
      </w:r>
      <w:r w:rsidRPr="00232E6E">
        <w:rPr>
          <w:rFonts w:ascii="Arial" w:hAnsi="Arial" w:cs="Arial"/>
          <w:b/>
          <w:sz w:val="22"/>
          <w:szCs w:val="22"/>
        </w:rPr>
        <w:t>.</w:t>
      </w:r>
      <w:r w:rsidRPr="00232E6E">
        <w:rPr>
          <w:rFonts w:ascii="Arial" w:hAnsi="Arial" w:cs="Arial"/>
          <w:sz w:val="22"/>
          <w:szCs w:val="22"/>
        </w:rPr>
        <w:t xml:space="preserve"> </w:t>
      </w:r>
    </w:p>
    <w:p w14:paraId="55D8639E" w14:textId="77777777" w:rsidR="00244AE9" w:rsidRPr="00232E6E" w:rsidRDefault="00244AE9" w:rsidP="00232E6E">
      <w:pPr>
        <w:tabs>
          <w:tab w:val="num" w:pos="720"/>
        </w:tabs>
        <w:spacing w:after="80"/>
        <w:rPr>
          <w:rFonts w:ascii="Arial" w:hAnsi="Arial" w:cs="Arial"/>
          <w:sz w:val="22"/>
          <w:szCs w:val="22"/>
        </w:rPr>
      </w:pPr>
      <w:proofErr w:type="gramStart"/>
      <w:r w:rsidRPr="00232E6E">
        <w:rPr>
          <w:rFonts w:ascii="Arial" w:hAnsi="Arial" w:cs="Arial"/>
          <w:sz w:val="22"/>
          <w:szCs w:val="22"/>
        </w:rPr>
        <w:lastRenderedPageBreak/>
        <w:t>In the event that</w:t>
      </w:r>
      <w:proofErr w:type="gramEnd"/>
      <w:r w:rsidRPr="00232E6E">
        <w:rPr>
          <w:rFonts w:ascii="Arial" w:hAnsi="Arial" w:cs="Arial"/>
          <w:sz w:val="22"/>
          <w:szCs w:val="22"/>
        </w:rPr>
        <w:t xml:space="preserve"> the Contracting Authority is prepared to consider such a change, further evaluation of the Bidder, including its Bidder Members, is likely to be required and may result in the Contracting Authority refusing to allow the change.</w:t>
      </w:r>
    </w:p>
    <w:p w14:paraId="6972880D"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85" w:name="_Toc341347950"/>
      <w:r w:rsidRPr="00232E6E">
        <w:rPr>
          <w:rFonts w:ascii="Arial" w:hAnsi="Arial"/>
          <w:sz w:val="22"/>
          <w:szCs w:val="22"/>
          <w:lang w:val="en-GB"/>
        </w:rPr>
        <w:t>1</w:t>
      </w:r>
      <w:r w:rsidR="00244AE9" w:rsidRPr="00232E6E">
        <w:rPr>
          <w:rFonts w:ascii="Arial" w:hAnsi="Arial"/>
          <w:sz w:val="22"/>
          <w:szCs w:val="22"/>
          <w:lang w:val="en-GB"/>
        </w:rPr>
        <w:t>.8</w:t>
      </w:r>
      <w:r w:rsidR="00244AE9" w:rsidRPr="00232E6E">
        <w:rPr>
          <w:rFonts w:ascii="Arial" w:hAnsi="Arial"/>
          <w:sz w:val="22"/>
          <w:szCs w:val="22"/>
          <w:lang w:val="en-GB"/>
        </w:rPr>
        <w:tab/>
      </w:r>
      <w:r w:rsidR="00244AE9" w:rsidRPr="00232E6E">
        <w:rPr>
          <w:rFonts w:ascii="Arial" w:hAnsi="Arial"/>
          <w:sz w:val="22"/>
          <w:szCs w:val="22"/>
        </w:rPr>
        <w:t>bidder’s authorised representative</w:t>
      </w:r>
      <w:bookmarkEnd w:id="985"/>
    </w:p>
    <w:p w14:paraId="69DA4AE3" w14:textId="77777777" w:rsidR="00244AE9" w:rsidRPr="00232E6E" w:rsidRDefault="00244AE9" w:rsidP="00232E6E">
      <w:pPr>
        <w:spacing w:after="80"/>
        <w:rPr>
          <w:rFonts w:ascii="Arial" w:hAnsi="Arial" w:cs="Arial"/>
          <w:sz w:val="22"/>
          <w:szCs w:val="22"/>
          <w:highlight w:val="yellow"/>
        </w:rPr>
      </w:pPr>
      <w:bookmarkStart w:id="986" w:name="_Toc286912245"/>
      <w:bookmarkStart w:id="987" w:name="_Toc286912500"/>
      <w:bookmarkStart w:id="988" w:name="_Toc286996445"/>
      <w:bookmarkStart w:id="989" w:name="_Toc287001387"/>
      <w:bookmarkStart w:id="990" w:name="_Toc287342222"/>
      <w:r w:rsidRPr="00232E6E">
        <w:rPr>
          <w:rFonts w:ascii="Arial" w:hAnsi="Arial" w:cs="Arial"/>
          <w:sz w:val="22"/>
          <w:szCs w:val="22"/>
        </w:rPr>
        <w:t xml:space="preserve">All correspondence relating to this </w:t>
      </w:r>
      <w:r w:rsidR="00374BD5" w:rsidRPr="00232E6E">
        <w:rPr>
          <w:rFonts w:ascii="Arial" w:hAnsi="Arial" w:cs="Arial"/>
          <w:sz w:val="22"/>
          <w:szCs w:val="22"/>
        </w:rPr>
        <w:t>ITQ process</w:t>
      </w:r>
      <w:r w:rsidRPr="00232E6E">
        <w:rPr>
          <w:rFonts w:ascii="Arial" w:hAnsi="Arial" w:cs="Arial"/>
          <w:sz w:val="22"/>
          <w:szCs w:val="22"/>
        </w:rPr>
        <w:t xml:space="preserve"> will be addressed to the Bidder’s Authorised Representative as detailed in the </w:t>
      </w:r>
      <w:r w:rsidR="00374BD5" w:rsidRPr="00232E6E">
        <w:rPr>
          <w:rFonts w:ascii="Arial" w:hAnsi="Arial" w:cs="Arial"/>
          <w:sz w:val="22"/>
          <w:szCs w:val="22"/>
        </w:rPr>
        <w:t>Bidder Response Questionnaire</w:t>
      </w:r>
      <w:r w:rsidRPr="00232E6E">
        <w:rPr>
          <w:rFonts w:ascii="Arial" w:hAnsi="Arial" w:cs="Arial"/>
          <w:sz w:val="22"/>
          <w:szCs w:val="22"/>
        </w:rPr>
        <w:t xml:space="preserve">.  The Authorised Representative must have full authority to represent the Bidder and attend any meetings on the Bidder’s behalf.  </w:t>
      </w:r>
      <w:bookmarkEnd w:id="986"/>
      <w:bookmarkEnd w:id="987"/>
      <w:bookmarkEnd w:id="988"/>
      <w:bookmarkEnd w:id="989"/>
      <w:bookmarkEnd w:id="990"/>
    </w:p>
    <w:p w14:paraId="7677E371"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91" w:name="_Toc341347951"/>
      <w:r w:rsidRPr="00232E6E">
        <w:rPr>
          <w:rFonts w:ascii="Arial" w:hAnsi="Arial"/>
          <w:sz w:val="22"/>
          <w:szCs w:val="22"/>
          <w:lang w:val="en-GB"/>
        </w:rPr>
        <w:t>1</w:t>
      </w:r>
      <w:r w:rsidR="00244AE9" w:rsidRPr="00232E6E">
        <w:rPr>
          <w:rFonts w:ascii="Arial" w:hAnsi="Arial"/>
          <w:sz w:val="22"/>
          <w:szCs w:val="22"/>
          <w:lang w:val="en-GB"/>
        </w:rPr>
        <w:t>.9</w:t>
      </w:r>
      <w:r w:rsidR="00244AE9" w:rsidRPr="00232E6E">
        <w:rPr>
          <w:rFonts w:ascii="Arial" w:hAnsi="Arial"/>
          <w:sz w:val="22"/>
          <w:szCs w:val="22"/>
          <w:lang w:val="en-GB"/>
        </w:rPr>
        <w:tab/>
      </w:r>
      <w:r w:rsidR="00374BD5" w:rsidRPr="00232E6E">
        <w:rPr>
          <w:rFonts w:ascii="Arial" w:hAnsi="Arial"/>
          <w:sz w:val="22"/>
          <w:szCs w:val="22"/>
          <w:lang w:val="en-GB"/>
        </w:rPr>
        <w:t xml:space="preserve">KEEPING INFORMATION </w:t>
      </w:r>
      <w:proofErr w:type="gramStart"/>
      <w:r w:rsidR="00374BD5" w:rsidRPr="00232E6E">
        <w:rPr>
          <w:rFonts w:ascii="Arial" w:hAnsi="Arial"/>
          <w:sz w:val="22"/>
          <w:szCs w:val="22"/>
          <w:lang w:val="en-GB"/>
        </w:rPr>
        <w:t>UP-TO-DATE</w:t>
      </w:r>
      <w:bookmarkEnd w:id="991"/>
      <w:proofErr w:type="gramEnd"/>
    </w:p>
    <w:p w14:paraId="705D655A" w14:textId="77777777" w:rsidR="00244AE9" w:rsidRPr="00232E6E" w:rsidRDefault="00244AE9" w:rsidP="00232E6E">
      <w:pPr>
        <w:spacing w:after="80"/>
        <w:rPr>
          <w:rFonts w:ascii="Arial" w:hAnsi="Arial" w:cs="Arial"/>
          <w:sz w:val="22"/>
          <w:szCs w:val="22"/>
        </w:rPr>
      </w:pPr>
      <w:bookmarkStart w:id="992" w:name="_Toc286912247"/>
      <w:bookmarkStart w:id="993" w:name="_Toc286912502"/>
      <w:bookmarkStart w:id="994" w:name="_Toc286996447"/>
      <w:bookmarkStart w:id="995" w:name="_Toc287001389"/>
      <w:bookmarkStart w:id="996" w:name="_Toc287342224"/>
      <w:r w:rsidRPr="00232E6E">
        <w:rPr>
          <w:rFonts w:ascii="Arial" w:hAnsi="Arial" w:cs="Arial"/>
          <w:sz w:val="22"/>
          <w:szCs w:val="22"/>
        </w:rPr>
        <w:t xml:space="preserve">It is the Bidder’s responsibility to notify the Contracting Authority of any change to the Authorised Representative’s name or other contact details; </w:t>
      </w:r>
      <w:proofErr w:type="gramStart"/>
      <w:r w:rsidRPr="00232E6E">
        <w:rPr>
          <w:rFonts w:ascii="Arial" w:hAnsi="Arial" w:cs="Arial"/>
          <w:sz w:val="22"/>
          <w:szCs w:val="22"/>
        </w:rPr>
        <w:t>however</w:t>
      </w:r>
      <w:proofErr w:type="gramEnd"/>
      <w:r w:rsidRPr="00232E6E">
        <w:rPr>
          <w:rFonts w:ascii="Arial" w:hAnsi="Arial" w:cs="Arial"/>
          <w:sz w:val="22"/>
          <w:szCs w:val="22"/>
        </w:rPr>
        <w:t xml:space="preserve"> the Contracting Authority accepts no liability for this and will consider all information sent to the Authorised Representative to have been received by the Bidder.  Bidders must ensure all contact details are kept </w:t>
      </w:r>
      <w:proofErr w:type="gramStart"/>
      <w:r w:rsidRPr="00232E6E">
        <w:rPr>
          <w:rFonts w:ascii="Arial" w:hAnsi="Arial" w:cs="Arial"/>
          <w:sz w:val="22"/>
          <w:szCs w:val="22"/>
        </w:rPr>
        <w:t>up-to-date</w:t>
      </w:r>
      <w:proofErr w:type="gramEnd"/>
      <w:r w:rsidRPr="00232E6E">
        <w:rPr>
          <w:rFonts w:ascii="Arial" w:hAnsi="Arial" w:cs="Arial"/>
          <w:sz w:val="22"/>
          <w:szCs w:val="22"/>
        </w:rPr>
        <w:t xml:space="preserve"> on EU-Supply to avoid any delays within the </w:t>
      </w:r>
      <w:r w:rsidR="00374BD5" w:rsidRPr="00232E6E">
        <w:rPr>
          <w:rFonts w:ascii="Arial" w:hAnsi="Arial" w:cs="Arial"/>
          <w:sz w:val="22"/>
          <w:szCs w:val="22"/>
        </w:rPr>
        <w:t>ITQ</w:t>
      </w:r>
      <w:r w:rsidRPr="00232E6E">
        <w:rPr>
          <w:rFonts w:ascii="Arial" w:hAnsi="Arial" w:cs="Arial"/>
          <w:sz w:val="22"/>
          <w:szCs w:val="22"/>
        </w:rPr>
        <w:t xml:space="preserve"> process</w:t>
      </w:r>
      <w:bookmarkEnd w:id="992"/>
      <w:bookmarkEnd w:id="993"/>
      <w:bookmarkEnd w:id="994"/>
      <w:bookmarkEnd w:id="995"/>
      <w:bookmarkEnd w:id="996"/>
      <w:r w:rsidRPr="00232E6E">
        <w:rPr>
          <w:rFonts w:ascii="Arial" w:hAnsi="Arial" w:cs="Arial"/>
          <w:sz w:val="22"/>
          <w:szCs w:val="22"/>
        </w:rPr>
        <w:t>.</w:t>
      </w:r>
    </w:p>
    <w:p w14:paraId="4A061EE9"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All material issued in connection with this </w:t>
      </w:r>
      <w:r w:rsidR="0016035F" w:rsidRPr="00232E6E">
        <w:rPr>
          <w:rFonts w:ascii="Arial" w:hAnsi="Arial" w:cs="Arial"/>
          <w:sz w:val="22"/>
          <w:szCs w:val="22"/>
        </w:rPr>
        <w:t>ITQ</w:t>
      </w:r>
      <w:r w:rsidRPr="00232E6E">
        <w:rPr>
          <w:rFonts w:ascii="Arial" w:hAnsi="Arial" w:cs="Arial"/>
          <w:sz w:val="22"/>
          <w:szCs w:val="22"/>
        </w:rPr>
        <w:t xml:space="preserve"> shall remain the property of the Contracting Authority.</w:t>
      </w:r>
    </w:p>
    <w:p w14:paraId="67DCBC2A"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97" w:name="_Toc341347952"/>
      <w:r w:rsidRPr="00232E6E">
        <w:rPr>
          <w:rFonts w:ascii="Arial" w:hAnsi="Arial"/>
          <w:sz w:val="22"/>
          <w:szCs w:val="22"/>
          <w:lang w:val="en-GB"/>
        </w:rPr>
        <w:t>1</w:t>
      </w:r>
      <w:r w:rsidR="00244AE9" w:rsidRPr="00232E6E">
        <w:rPr>
          <w:rFonts w:ascii="Arial" w:hAnsi="Arial"/>
          <w:sz w:val="22"/>
          <w:szCs w:val="22"/>
          <w:lang w:val="en-GB"/>
        </w:rPr>
        <w:t>.10</w:t>
      </w:r>
      <w:r w:rsidR="00244AE9" w:rsidRPr="00232E6E">
        <w:rPr>
          <w:rFonts w:ascii="Arial" w:hAnsi="Arial"/>
          <w:sz w:val="22"/>
          <w:szCs w:val="22"/>
          <w:lang w:val="en-GB"/>
        </w:rPr>
        <w:tab/>
      </w:r>
      <w:r w:rsidR="00244AE9" w:rsidRPr="00232E6E">
        <w:rPr>
          <w:rFonts w:ascii="Arial" w:hAnsi="Arial"/>
          <w:sz w:val="22"/>
          <w:szCs w:val="22"/>
        </w:rPr>
        <w:t>disqualification of bidders</w:t>
      </w:r>
      <w:bookmarkEnd w:id="997"/>
    </w:p>
    <w:p w14:paraId="1A2B8A33"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Bidders acting in contravention of the provisions set out in this </w:t>
      </w:r>
      <w:r w:rsidR="0016035F" w:rsidRPr="00232E6E">
        <w:rPr>
          <w:rFonts w:ascii="Arial" w:hAnsi="Arial" w:cs="Arial"/>
          <w:sz w:val="22"/>
          <w:szCs w:val="22"/>
        </w:rPr>
        <w:t>ITQ</w:t>
      </w:r>
      <w:r w:rsidRPr="00232E6E">
        <w:rPr>
          <w:rFonts w:ascii="Arial" w:hAnsi="Arial" w:cs="Arial"/>
          <w:sz w:val="22"/>
          <w:szCs w:val="22"/>
        </w:rPr>
        <w:t xml:space="preserve"> or any other information provided by the Contracting Authority, may, at the sole discretion of the Contracting Authority, be disqualified from further participation in this </w:t>
      </w:r>
      <w:r w:rsidR="00374BD5" w:rsidRPr="00232E6E">
        <w:rPr>
          <w:rFonts w:ascii="Arial" w:hAnsi="Arial" w:cs="Arial"/>
          <w:sz w:val="22"/>
          <w:szCs w:val="22"/>
        </w:rPr>
        <w:t>ITQ process</w:t>
      </w:r>
      <w:r w:rsidRPr="00232E6E">
        <w:rPr>
          <w:rFonts w:ascii="Arial" w:hAnsi="Arial" w:cs="Arial"/>
          <w:sz w:val="22"/>
          <w:szCs w:val="22"/>
        </w:rPr>
        <w:t>.</w:t>
      </w:r>
    </w:p>
    <w:p w14:paraId="1361926F"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98" w:name="_Toc341347953"/>
      <w:r w:rsidRPr="00232E6E">
        <w:rPr>
          <w:rFonts w:ascii="Arial" w:hAnsi="Arial"/>
          <w:sz w:val="22"/>
          <w:szCs w:val="22"/>
          <w:lang w:val="en-GB"/>
        </w:rPr>
        <w:t>1</w:t>
      </w:r>
      <w:r w:rsidR="00244AE9" w:rsidRPr="00232E6E">
        <w:rPr>
          <w:rFonts w:ascii="Arial" w:hAnsi="Arial"/>
          <w:sz w:val="22"/>
          <w:szCs w:val="22"/>
          <w:lang w:val="en-GB"/>
        </w:rPr>
        <w:t>.11</w:t>
      </w:r>
      <w:r w:rsidR="00244AE9" w:rsidRPr="00232E6E">
        <w:rPr>
          <w:rFonts w:ascii="Arial" w:hAnsi="Arial"/>
          <w:sz w:val="22"/>
          <w:szCs w:val="22"/>
          <w:lang w:val="en-GB"/>
        </w:rPr>
        <w:tab/>
      </w:r>
      <w:r w:rsidR="00244AE9" w:rsidRPr="00232E6E">
        <w:rPr>
          <w:rFonts w:ascii="Arial" w:hAnsi="Arial"/>
          <w:sz w:val="22"/>
          <w:szCs w:val="22"/>
        </w:rPr>
        <w:t>conflicts of interest</w:t>
      </w:r>
      <w:bookmarkEnd w:id="998"/>
      <w:r w:rsidR="00244AE9" w:rsidRPr="00232E6E">
        <w:rPr>
          <w:rFonts w:ascii="Arial" w:hAnsi="Arial"/>
          <w:sz w:val="22"/>
          <w:szCs w:val="22"/>
        </w:rPr>
        <w:t xml:space="preserve"> </w:t>
      </w:r>
    </w:p>
    <w:p w14:paraId="213B5FE1"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The Contracting Authority requires all actual or potential conflicts of interest to be resolved to their satisfaction prior to the submission of Bids in response to this </w:t>
      </w:r>
      <w:r w:rsidR="0016035F" w:rsidRPr="00232E6E">
        <w:rPr>
          <w:rFonts w:ascii="Arial" w:hAnsi="Arial" w:cs="Arial"/>
          <w:sz w:val="22"/>
          <w:szCs w:val="22"/>
        </w:rPr>
        <w:t>ITQ</w:t>
      </w:r>
      <w:r w:rsidRPr="00232E6E">
        <w:rPr>
          <w:rFonts w:ascii="Arial" w:hAnsi="Arial" w:cs="Arial"/>
          <w:sz w:val="22"/>
          <w:szCs w:val="22"/>
        </w:rPr>
        <w:t>.</w:t>
      </w:r>
    </w:p>
    <w:p w14:paraId="7DD9ED03" w14:textId="77777777" w:rsidR="00244AE9" w:rsidRPr="00232E6E" w:rsidRDefault="00244AE9" w:rsidP="00232E6E">
      <w:pPr>
        <w:spacing w:after="80"/>
        <w:rPr>
          <w:rFonts w:ascii="Arial" w:hAnsi="Arial" w:cs="Arial"/>
          <w:sz w:val="22"/>
          <w:szCs w:val="22"/>
        </w:rPr>
      </w:pPr>
      <w:proofErr w:type="gramStart"/>
      <w:r w:rsidRPr="00232E6E">
        <w:rPr>
          <w:rFonts w:ascii="Arial" w:hAnsi="Arial" w:cs="Arial"/>
          <w:sz w:val="22"/>
          <w:szCs w:val="22"/>
        </w:rPr>
        <w:t>In the event that</w:t>
      </w:r>
      <w:proofErr w:type="gramEnd"/>
      <w:r w:rsidRPr="00232E6E">
        <w:rPr>
          <w:rFonts w:ascii="Arial" w:hAnsi="Arial" w:cs="Arial"/>
          <w:sz w:val="22"/>
          <w:szCs w:val="22"/>
        </w:rPr>
        <w:t xml:space="preserve"> any actual or potential conflict of interest comes to a Bidder’s attention following the submission of its Bid, that Bidder should immediately notify the Contracting Authority</w:t>
      </w:r>
      <w:r w:rsidR="00374BD5" w:rsidRPr="00232E6E">
        <w:rPr>
          <w:rFonts w:ascii="Arial" w:hAnsi="Arial" w:cs="Arial"/>
          <w:sz w:val="22"/>
          <w:szCs w:val="22"/>
        </w:rPr>
        <w:t>.</w:t>
      </w:r>
    </w:p>
    <w:p w14:paraId="2C6687B9"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Failure to declare such conflicts and/or failure to address such conflicts to the reasonable satisfaction of the Contracting Authority could result in a Bidder being disqualified.</w:t>
      </w:r>
    </w:p>
    <w:p w14:paraId="747192F4"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999" w:name="_Toc341347954"/>
      <w:r w:rsidRPr="00232E6E">
        <w:rPr>
          <w:rFonts w:ascii="Arial" w:hAnsi="Arial"/>
          <w:sz w:val="22"/>
          <w:szCs w:val="22"/>
          <w:lang w:val="en-GB"/>
        </w:rPr>
        <w:t>1</w:t>
      </w:r>
      <w:r w:rsidR="00244AE9" w:rsidRPr="00232E6E">
        <w:rPr>
          <w:rFonts w:ascii="Arial" w:hAnsi="Arial"/>
          <w:sz w:val="22"/>
          <w:szCs w:val="22"/>
          <w:lang w:val="en-GB"/>
        </w:rPr>
        <w:t>.12</w:t>
      </w:r>
      <w:r w:rsidR="00244AE9" w:rsidRPr="00232E6E">
        <w:rPr>
          <w:rFonts w:ascii="Arial" w:hAnsi="Arial"/>
          <w:sz w:val="22"/>
          <w:szCs w:val="22"/>
          <w:lang w:val="en-GB"/>
        </w:rPr>
        <w:tab/>
      </w:r>
      <w:r w:rsidR="00244AE9" w:rsidRPr="00232E6E">
        <w:rPr>
          <w:rFonts w:ascii="Arial" w:hAnsi="Arial"/>
          <w:sz w:val="22"/>
          <w:szCs w:val="22"/>
        </w:rPr>
        <w:t>publicity</w:t>
      </w:r>
      <w:bookmarkEnd w:id="999"/>
      <w:r w:rsidR="00244AE9" w:rsidRPr="00232E6E">
        <w:rPr>
          <w:rFonts w:ascii="Arial" w:hAnsi="Arial"/>
          <w:sz w:val="22"/>
          <w:szCs w:val="22"/>
        </w:rPr>
        <w:t xml:space="preserve"> </w:t>
      </w:r>
    </w:p>
    <w:p w14:paraId="441F972C"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 xml:space="preserve">Bidders shall not undertake (or permit to be undertaken) at any time, whether at this stage or after execution of Contracts, any publicity activity with any section of the media in relation to the </w:t>
      </w:r>
      <w:r w:rsidR="00374BD5" w:rsidRPr="00232E6E">
        <w:rPr>
          <w:rFonts w:ascii="Arial" w:hAnsi="Arial" w:cs="Arial"/>
          <w:sz w:val="22"/>
          <w:szCs w:val="22"/>
        </w:rPr>
        <w:t>ITQ process</w:t>
      </w:r>
      <w:r w:rsidRPr="00232E6E">
        <w:rPr>
          <w:rFonts w:ascii="Arial" w:hAnsi="Arial" w:cs="Arial"/>
          <w:sz w:val="22"/>
          <w:szCs w:val="22"/>
        </w:rPr>
        <w:t xml:space="preserve"> other than with the prior wr</w:t>
      </w:r>
      <w:r w:rsidR="00374BD5" w:rsidRPr="00232E6E">
        <w:rPr>
          <w:rFonts w:ascii="Arial" w:hAnsi="Arial" w:cs="Arial"/>
          <w:sz w:val="22"/>
          <w:szCs w:val="22"/>
        </w:rPr>
        <w:t>itt</w:t>
      </w:r>
      <w:r w:rsidRPr="00232E6E">
        <w:rPr>
          <w:rFonts w:ascii="Arial" w:hAnsi="Arial" w:cs="Arial"/>
          <w:sz w:val="22"/>
          <w:szCs w:val="22"/>
        </w:rPr>
        <w:t xml:space="preserve">en agreement of the Contracting Authority and </w:t>
      </w:r>
      <w:r w:rsidR="006A1964" w:rsidRPr="00232E6E">
        <w:rPr>
          <w:rFonts w:ascii="Arial" w:hAnsi="Arial" w:cs="Arial"/>
          <w:sz w:val="22"/>
          <w:szCs w:val="22"/>
        </w:rPr>
        <w:t>any representative of the Contracting Authority</w:t>
      </w:r>
      <w:r w:rsidRPr="00232E6E">
        <w:rPr>
          <w:rFonts w:ascii="Arial" w:hAnsi="Arial" w:cs="Arial"/>
          <w:sz w:val="22"/>
          <w:szCs w:val="22"/>
        </w:rPr>
        <w:t>.  Such agreement shall extend to the content of any publicity.  In this paragraph the word "media" includes (but without limitation) radio, television, newspapers, trade and specialist press, the internet and email accessible by the public at large and the representatives of such media.</w:t>
      </w:r>
      <w:bookmarkStart w:id="1000" w:name="_Toc341347955"/>
    </w:p>
    <w:p w14:paraId="0AF748A2"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lang w:val="en-GB"/>
        </w:rPr>
      </w:pPr>
      <w:r w:rsidRPr="00232E6E">
        <w:rPr>
          <w:rFonts w:ascii="Arial" w:hAnsi="Arial"/>
          <w:sz w:val="22"/>
          <w:szCs w:val="22"/>
          <w:lang w:val="en-GB"/>
        </w:rPr>
        <w:t>1</w:t>
      </w:r>
      <w:r w:rsidR="00244AE9" w:rsidRPr="00232E6E">
        <w:rPr>
          <w:rFonts w:ascii="Arial" w:hAnsi="Arial"/>
          <w:sz w:val="22"/>
          <w:szCs w:val="22"/>
          <w:lang w:val="en-GB"/>
        </w:rPr>
        <w:t>.13</w:t>
      </w:r>
      <w:r w:rsidR="00244AE9" w:rsidRPr="00232E6E">
        <w:rPr>
          <w:rFonts w:ascii="Arial" w:hAnsi="Arial"/>
          <w:sz w:val="22"/>
          <w:szCs w:val="22"/>
          <w:lang w:val="en-GB"/>
        </w:rPr>
        <w:tab/>
        <w:t>EMPLOYEES, TUPE AND PENSIONS</w:t>
      </w:r>
    </w:p>
    <w:p w14:paraId="4BAA1391"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Where the </w:t>
      </w:r>
      <w:r w:rsidR="00374BD5" w:rsidRPr="00232E6E">
        <w:rPr>
          <w:rFonts w:ascii="Arial" w:hAnsi="Arial" w:cs="Arial"/>
          <w:sz w:val="22"/>
          <w:szCs w:val="22"/>
        </w:rPr>
        <w:t>ITQ process</w:t>
      </w:r>
      <w:r w:rsidRPr="00232E6E">
        <w:rPr>
          <w:rFonts w:ascii="Arial" w:hAnsi="Arial" w:cs="Arial"/>
          <w:sz w:val="22"/>
          <w:szCs w:val="22"/>
        </w:rPr>
        <w:t xml:space="preserve"> may include the transfer of affected employees from any current Provider(s) of the Services, the Bidder will need to </w:t>
      </w:r>
      <w:proofErr w:type="gramStart"/>
      <w:r w:rsidRPr="00232E6E">
        <w:rPr>
          <w:rFonts w:ascii="Arial" w:hAnsi="Arial" w:cs="Arial"/>
          <w:sz w:val="22"/>
          <w:szCs w:val="22"/>
        </w:rPr>
        <w:t>give careful consideration to</w:t>
      </w:r>
      <w:proofErr w:type="gramEnd"/>
      <w:r w:rsidRPr="00232E6E">
        <w:rPr>
          <w:rFonts w:ascii="Arial" w:hAnsi="Arial" w:cs="Arial"/>
          <w:sz w:val="22"/>
          <w:szCs w:val="22"/>
        </w:rPr>
        <w:t xml:space="preserve"> the following:</w:t>
      </w:r>
    </w:p>
    <w:p w14:paraId="56BD7BAA"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Any staffing information provided as part of this </w:t>
      </w:r>
      <w:r w:rsidR="00374BD5" w:rsidRPr="00232E6E">
        <w:rPr>
          <w:rFonts w:ascii="Arial" w:hAnsi="Arial" w:cs="Arial"/>
          <w:sz w:val="22"/>
          <w:szCs w:val="22"/>
        </w:rPr>
        <w:t xml:space="preserve">ITQ process </w:t>
      </w:r>
      <w:r w:rsidRPr="00232E6E">
        <w:rPr>
          <w:rFonts w:ascii="Arial" w:hAnsi="Arial" w:cs="Arial"/>
          <w:sz w:val="22"/>
          <w:szCs w:val="22"/>
        </w:rPr>
        <w:t xml:space="preserve">will be provided and therefore owned by the current Provider of Services. The Contracting Authority is acting as a broker of this information as it is important information required to support Bid preparation but therefore cannot guarantee its accuracy or completeness. The Contracting Authority will share any staffing information provided by the current Provider of Services with </w:t>
      </w:r>
      <w:proofErr w:type="spellStart"/>
      <w:r w:rsidRPr="00232E6E">
        <w:rPr>
          <w:rFonts w:ascii="Arial" w:hAnsi="Arial" w:cs="Arial"/>
          <w:sz w:val="22"/>
          <w:szCs w:val="22"/>
        </w:rPr>
        <w:t>Bidde</w:t>
      </w:r>
      <w:r w:rsidR="00374BD5" w:rsidRPr="00232E6E">
        <w:rPr>
          <w:rFonts w:ascii="Arial" w:hAnsi="Arial" w:cs="Arial"/>
          <w:sz w:val="22"/>
          <w:szCs w:val="22"/>
        </w:rPr>
        <w:t>rs</w:t>
      </w:r>
      <w:r w:rsidRPr="00232E6E">
        <w:rPr>
          <w:rFonts w:ascii="Arial" w:hAnsi="Arial" w:cs="Arial"/>
          <w:sz w:val="22"/>
          <w:szCs w:val="22"/>
        </w:rPr>
        <w:t>l</w:t>
      </w:r>
      <w:proofErr w:type="spellEnd"/>
      <w:r w:rsidRPr="00232E6E">
        <w:rPr>
          <w:rFonts w:ascii="Arial" w:hAnsi="Arial" w:cs="Arial"/>
          <w:sz w:val="22"/>
          <w:szCs w:val="22"/>
        </w:rPr>
        <w:t>.</w:t>
      </w:r>
    </w:p>
    <w:p w14:paraId="3E3E085E"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The information that is to be provided is not intended to be a definitive TUPE list and Bidders are therefore advised that the Contracting Authority cannot provide any further information or guidance relating to staffing or TUPE.  </w:t>
      </w:r>
      <w:r w:rsidRPr="00232E6E">
        <w:rPr>
          <w:rFonts w:ascii="Arial" w:hAnsi="Arial" w:cs="Arial"/>
          <w:sz w:val="22"/>
          <w:szCs w:val="22"/>
        </w:rPr>
        <w:tab/>
      </w:r>
    </w:p>
    <w:p w14:paraId="6CD3CF4B" w14:textId="77777777" w:rsidR="00244AE9" w:rsidRPr="00232E6E" w:rsidRDefault="00244AE9" w:rsidP="00232E6E">
      <w:pPr>
        <w:spacing w:after="120"/>
        <w:rPr>
          <w:rFonts w:ascii="Arial" w:hAnsi="Arial" w:cs="Arial"/>
          <w:b/>
          <w:sz w:val="22"/>
          <w:szCs w:val="22"/>
        </w:rPr>
      </w:pPr>
      <w:r w:rsidRPr="00232E6E">
        <w:rPr>
          <w:rFonts w:ascii="Arial" w:hAnsi="Arial" w:cs="Arial"/>
          <w:b/>
          <w:sz w:val="22"/>
          <w:szCs w:val="22"/>
        </w:rPr>
        <w:lastRenderedPageBreak/>
        <w:t>Bidders are advised to conduct due diligence and take independent professional advice in relation to any staffing or TUPE issues.</w:t>
      </w:r>
    </w:p>
    <w:p w14:paraId="14C46596"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lang w:val="en-US"/>
        </w:rPr>
        <w:t>The Recommended Bidder (if not an NHS body) will be expected to comply with the Cabinet Office Statement of Practice.</w:t>
      </w:r>
    </w:p>
    <w:p w14:paraId="4D79F05A"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lang w:val="en-US"/>
        </w:rPr>
        <w:t xml:space="preserve">In line with the above, even if TUPE is deemed not to technically apply to staff employed by other services, the successful bidder will need to accept the principles of TUPE and apply these in relation to affected staff, in other words to accept their transferred employment. </w:t>
      </w:r>
    </w:p>
    <w:p w14:paraId="5A0683C3"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rPr>
        <w:t>Bidders should assume that all the affected employees on NHS terms and conditions are in the NHS Pension Scheme (the number of staff not included will be advised at a later stage).</w:t>
      </w:r>
      <w:r w:rsidRPr="00232E6E">
        <w:rPr>
          <w:rFonts w:ascii="Arial" w:hAnsi="Arial" w:cs="Arial"/>
          <w:sz w:val="22"/>
          <w:szCs w:val="22"/>
          <w:lang w:val="en-US"/>
        </w:rPr>
        <w:t xml:space="preserve"> HM Treasury’s new Fair Deal guidance came into effect from 7 October 2013, and requires that contracting authorities reflect that guidance in procurement practice from that date onward. New Fair Deal sets out how pensions’ issues are to be dealt with when staff are compulsorily transferred from the public sector to independent providers delivering public services. Where this is the case, potential bidders will be required to confirm their adherence to the New Fair Deal and demonstrate their understanding of the process required to obtain a Pension Direction in respect of staff transferring to it or its sub-contractor. </w:t>
      </w:r>
    </w:p>
    <w:p w14:paraId="46F9AC3A"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lang w:val="en-US"/>
        </w:rPr>
        <w:t xml:space="preserve">Failure by the independent sector contractor or its sub-contractor to comply with its obligations under a Pension Direction, as notified to the contracting authority by NHS Pensions, will constitute an event of default under the service contract, entitling the contracting authority to terminate the contract.  </w:t>
      </w:r>
    </w:p>
    <w:p w14:paraId="7351057C" w14:textId="77777777" w:rsidR="00244AE9" w:rsidRPr="00232E6E" w:rsidRDefault="00244AE9" w:rsidP="00232E6E">
      <w:pPr>
        <w:spacing w:after="120"/>
        <w:rPr>
          <w:rFonts w:ascii="Arial" w:hAnsi="Arial" w:cs="Arial"/>
          <w:b/>
          <w:sz w:val="22"/>
          <w:szCs w:val="22"/>
          <w:lang w:val="en-US"/>
        </w:rPr>
      </w:pPr>
      <w:r w:rsidRPr="00232E6E">
        <w:rPr>
          <w:rFonts w:ascii="Arial" w:hAnsi="Arial" w:cs="Arial"/>
          <w:sz w:val="22"/>
          <w:szCs w:val="22"/>
          <w:lang w:val="en-US"/>
        </w:rPr>
        <w:t xml:space="preserve">Further information about New Fair Deal and its application in the context of NHS outsourcings can be found at </w:t>
      </w:r>
      <w:hyperlink r:id="rId10" w:history="1">
        <w:r w:rsidRPr="00232E6E">
          <w:rPr>
            <w:rStyle w:val="Hyperlink"/>
            <w:rFonts w:ascii="Arial" w:hAnsi="Arial" w:cs="Arial"/>
            <w:sz w:val="22"/>
            <w:szCs w:val="22"/>
            <w:lang w:val="en-US"/>
          </w:rPr>
          <w:t>http://www.nhsbsa.nhs.uk/Pensions/4327.aspx</w:t>
        </w:r>
      </w:hyperlink>
      <w:r w:rsidRPr="00232E6E">
        <w:rPr>
          <w:rFonts w:ascii="Arial" w:hAnsi="Arial" w:cs="Arial"/>
          <w:sz w:val="22"/>
          <w:szCs w:val="22"/>
          <w:lang w:val="en-US"/>
        </w:rPr>
        <w:t xml:space="preserve">, with application guidance for Independent Providers available at </w:t>
      </w:r>
      <w:hyperlink r:id="rId11" w:history="1">
        <w:r w:rsidRPr="00232E6E">
          <w:rPr>
            <w:rStyle w:val="Hyperlink"/>
            <w:rFonts w:ascii="Arial" w:hAnsi="Arial" w:cs="Arial"/>
            <w:sz w:val="22"/>
            <w:szCs w:val="22"/>
            <w:lang w:val="en-US"/>
          </w:rPr>
          <w:t>http://www.nhsbsa.nhs.uk/Pensions/4328.aspx</w:t>
        </w:r>
      </w:hyperlink>
      <w:r w:rsidRPr="00232E6E">
        <w:rPr>
          <w:rFonts w:ascii="Arial" w:hAnsi="Arial" w:cs="Arial"/>
          <w:sz w:val="22"/>
          <w:szCs w:val="22"/>
          <w:lang w:val="en-US"/>
        </w:rPr>
        <w:t>.</w:t>
      </w:r>
    </w:p>
    <w:p w14:paraId="064C4CC7"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lang w:val="en-US"/>
        </w:rPr>
        <w:t>Bidders should expect the outsourcing to be conducted in a manner which reflects published guidance on the application of New Fair Deal.</w:t>
      </w:r>
    </w:p>
    <w:p w14:paraId="382A22F8"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lang w:val="en-US"/>
        </w:rPr>
        <w:t>New Fair Deal does not apply to transfers within the public sector which involve the transfer of staff from one part of the public sector to another. Those transfers are covered by the Cabinet Office Statement of Practice (COSOP) on staff transfers.</w:t>
      </w:r>
    </w:p>
    <w:p w14:paraId="438C522B" w14:textId="77777777" w:rsidR="00244AE9" w:rsidRPr="00232E6E" w:rsidRDefault="00244AE9" w:rsidP="00232E6E">
      <w:pPr>
        <w:spacing w:after="120"/>
        <w:rPr>
          <w:rFonts w:ascii="Arial" w:hAnsi="Arial" w:cs="Arial"/>
          <w:sz w:val="22"/>
          <w:szCs w:val="22"/>
          <w:lang w:val="en-US"/>
        </w:rPr>
      </w:pPr>
      <w:r w:rsidRPr="00232E6E">
        <w:rPr>
          <w:rFonts w:ascii="Arial" w:hAnsi="Arial" w:cs="Arial"/>
          <w:sz w:val="22"/>
          <w:szCs w:val="22"/>
          <w:lang w:val="en-US"/>
        </w:rPr>
        <w:t xml:space="preserve">Where the Recommended bidder/ service provider recruits new staff to work on a public service contract alongside staff transferred from the public sector </w:t>
      </w:r>
      <w:proofErr w:type="spellStart"/>
      <w:r w:rsidRPr="00232E6E">
        <w:rPr>
          <w:rFonts w:ascii="Arial" w:hAnsi="Arial" w:cs="Arial"/>
          <w:sz w:val="22"/>
          <w:szCs w:val="22"/>
          <w:lang w:val="en-US"/>
        </w:rPr>
        <w:t>organisation</w:t>
      </w:r>
      <w:proofErr w:type="spellEnd"/>
      <w:r w:rsidRPr="00232E6E">
        <w:rPr>
          <w:rFonts w:ascii="Arial" w:hAnsi="Arial" w:cs="Arial"/>
          <w:sz w:val="22"/>
          <w:szCs w:val="22"/>
          <w:lang w:val="en-US"/>
        </w:rPr>
        <w:t xml:space="preserve"> it should be noted that the Cabinet Office Code of Practice on Workforce Matters (the “two-tier code”) was withdrawn with immediate effect on 13 December 2010 and as such the Recommended l Bidder will not be required to comply with that Code of Practice in respect of such new recruits. </w:t>
      </w:r>
    </w:p>
    <w:p w14:paraId="79391FCC"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r w:rsidRPr="00232E6E">
        <w:rPr>
          <w:rFonts w:ascii="Arial" w:hAnsi="Arial"/>
          <w:sz w:val="22"/>
          <w:szCs w:val="22"/>
          <w:lang w:val="en-GB"/>
        </w:rPr>
        <w:t>1</w:t>
      </w:r>
      <w:r w:rsidR="00244AE9" w:rsidRPr="00232E6E">
        <w:rPr>
          <w:rFonts w:ascii="Arial" w:hAnsi="Arial"/>
          <w:sz w:val="22"/>
          <w:szCs w:val="22"/>
          <w:lang w:val="en-GB"/>
        </w:rPr>
        <w:t>.14</w:t>
      </w:r>
      <w:r w:rsidR="00244AE9" w:rsidRPr="00232E6E">
        <w:rPr>
          <w:rFonts w:ascii="Arial" w:hAnsi="Arial"/>
          <w:sz w:val="22"/>
          <w:szCs w:val="22"/>
          <w:lang w:val="en-GB"/>
        </w:rPr>
        <w:tab/>
      </w:r>
      <w:r w:rsidR="00244AE9" w:rsidRPr="00232E6E">
        <w:rPr>
          <w:rFonts w:ascii="Arial" w:hAnsi="Arial"/>
          <w:sz w:val="22"/>
          <w:szCs w:val="22"/>
        </w:rPr>
        <w:t>right to reject bids</w:t>
      </w:r>
      <w:bookmarkEnd w:id="1000"/>
      <w:r w:rsidR="00244AE9" w:rsidRPr="00232E6E">
        <w:rPr>
          <w:rFonts w:ascii="Arial" w:hAnsi="Arial"/>
          <w:sz w:val="22"/>
          <w:szCs w:val="22"/>
        </w:rPr>
        <w:t xml:space="preserve"> </w:t>
      </w:r>
    </w:p>
    <w:p w14:paraId="1F85CFB2" w14:textId="77777777" w:rsidR="00244AE9" w:rsidRPr="00232E6E" w:rsidRDefault="00244AE9" w:rsidP="00232E6E">
      <w:pPr>
        <w:spacing w:after="40"/>
        <w:rPr>
          <w:rFonts w:ascii="Arial" w:hAnsi="Arial" w:cs="Arial"/>
          <w:sz w:val="22"/>
          <w:szCs w:val="22"/>
        </w:rPr>
      </w:pPr>
      <w:r w:rsidRPr="00232E6E">
        <w:rPr>
          <w:rFonts w:ascii="Arial" w:hAnsi="Arial" w:cs="Arial"/>
          <w:sz w:val="22"/>
          <w:szCs w:val="22"/>
        </w:rPr>
        <w:t>The Contracting Authority reserves the right to reject or disqualify a Bidder and/or its Bidder Members where:</w:t>
      </w:r>
    </w:p>
    <w:p w14:paraId="6B7D996E" w14:textId="77777777" w:rsidR="00244AE9" w:rsidRPr="00232E6E" w:rsidRDefault="00244AE9" w:rsidP="00232E6E">
      <w:pPr>
        <w:numPr>
          <w:ilvl w:val="0"/>
          <w:numId w:val="3"/>
        </w:numPr>
        <w:spacing w:after="40"/>
        <w:rPr>
          <w:rFonts w:ascii="Arial" w:hAnsi="Arial" w:cs="Arial"/>
          <w:sz w:val="22"/>
          <w:szCs w:val="22"/>
        </w:rPr>
      </w:pPr>
      <w:r w:rsidRPr="00232E6E">
        <w:rPr>
          <w:rFonts w:ascii="Arial" w:hAnsi="Arial" w:cs="Arial"/>
          <w:sz w:val="22"/>
          <w:szCs w:val="22"/>
        </w:rPr>
        <w:t>A Bid is subm</w:t>
      </w:r>
      <w:r w:rsidR="0016035F" w:rsidRPr="00232E6E">
        <w:rPr>
          <w:rFonts w:ascii="Arial" w:hAnsi="Arial" w:cs="Arial"/>
          <w:sz w:val="22"/>
          <w:szCs w:val="22"/>
        </w:rPr>
        <w:t>itt</w:t>
      </w:r>
      <w:r w:rsidRPr="00232E6E">
        <w:rPr>
          <w:rFonts w:ascii="Arial" w:hAnsi="Arial" w:cs="Arial"/>
          <w:sz w:val="22"/>
          <w:szCs w:val="22"/>
        </w:rPr>
        <w:t>ed late, is completed incorrectly, is materially incomplete or fails to meet the submission requirements, including adherence to response max</w:t>
      </w:r>
      <w:r w:rsidR="000D72FE" w:rsidRPr="00232E6E">
        <w:rPr>
          <w:rFonts w:ascii="Arial" w:hAnsi="Arial" w:cs="Arial"/>
          <w:sz w:val="22"/>
          <w:szCs w:val="22"/>
        </w:rPr>
        <w:t xml:space="preserve">imum word limits defined </w:t>
      </w:r>
      <w:r w:rsidRPr="00232E6E">
        <w:rPr>
          <w:rFonts w:ascii="Arial" w:hAnsi="Arial" w:cs="Arial"/>
          <w:sz w:val="22"/>
          <w:szCs w:val="22"/>
        </w:rPr>
        <w:t xml:space="preserve">which have been notified to </w:t>
      </w:r>
      <w:proofErr w:type="gramStart"/>
      <w:r w:rsidRPr="00232E6E">
        <w:rPr>
          <w:rFonts w:ascii="Arial" w:hAnsi="Arial" w:cs="Arial"/>
          <w:sz w:val="22"/>
          <w:szCs w:val="22"/>
        </w:rPr>
        <w:t>Bidders;</w:t>
      </w:r>
      <w:proofErr w:type="gramEnd"/>
      <w:r w:rsidRPr="00232E6E">
        <w:rPr>
          <w:rFonts w:ascii="Arial" w:hAnsi="Arial" w:cs="Arial"/>
          <w:sz w:val="22"/>
          <w:szCs w:val="22"/>
        </w:rPr>
        <w:t xml:space="preserve"> </w:t>
      </w:r>
    </w:p>
    <w:p w14:paraId="4C7412E3" w14:textId="77777777" w:rsidR="00244AE9" w:rsidRPr="00232E6E" w:rsidRDefault="00244AE9" w:rsidP="00232E6E">
      <w:pPr>
        <w:numPr>
          <w:ilvl w:val="0"/>
          <w:numId w:val="3"/>
        </w:numPr>
        <w:spacing w:after="40"/>
        <w:rPr>
          <w:rFonts w:ascii="Arial" w:hAnsi="Arial" w:cs="Arial"/>
          <w:sz w:val="22"/>
          <w:szCs w:val="22"/>
        </w:rPr>
      </w:pPr>
      <w:r w:rsidRPr="00232E6E">
        <w:rPr>
          <w:rFonts w:ascii="Arial" w:hAnsi="Arial" w:cs="Arial"/>
          <w:sz w:val="22"/>
          <w:szCs w:val="22"/>
        </w:rPr>
        <w:t xml:space="preserve">The Bidder and/or its Bidder Members are unable to satisfy the terms of Article 57 of Directive 2014/24/EU and/or Regulation 57 of the Public Contracts Regulations 2015 at any stage during the </w:t>
      </w:r>
      <w:r w:rsidR="000D72FE" w:rsidRPr="00232E6E">
        <w:rPr>
          <w:rFonts w:ascii="Arial" w:hAnsi="Arial" w:cs="Arial"/>
          <w:sz w:val="22"/>
          <w:szCs w:val="22"/>
        </w:rPr>
        <w:t>ITQ</w:t>
      </w:r>
      <w:r w:rsidRPr="00232E6E">
        <w:rPr>
          <w:rFonts w:ascii="Arial" w:hAnsi="Arial" w:cs="Arial"/>
          <w:sz w:val="22"/>
          <w:szCs w:val="22"/>
        </w:rPr>
        <w:t xml:space="preserve"> </w:t>
      </w:r>
      <w:proofErr w:type="gramStart"/>
      <w:r w:rsidRPr="00232E6E">
        <w:rPr>
          <w:rFonts w:ascii="Arial" w:hAnsi="Arial" w:cs="Arial"/>
          <w:sz w:val="22"/>
          <w:szCs w:val="22"/>
        </w:rPr>
        <w:t>process;</w:t>
      </w:r>
      <w:proofErr w:type="gramEnd"/>
    </w:p>
    <w:p w14:paraId="1C05671C" w14:textId="77777777" w:rsidR="00244AE9" w:rsidRPr="00232E6E" w:rsidRDefault="00244AE9" w:rsidP="00232E6E">
      <w:pPr>
        <w:numPr>
          <w:ilvl w:val="0"/>
          <w:numId w:val="3"/>
        </w:numPr>
        <w:spacing w:after="40"/>
        <w:rPr>
          <w:rFonts w:ascii="Arial" w:hAnsi="Arial" w:cs="Arial"/>
          <w:sz w:val="22"/>
          <w:szCs w:val="22"/>
        </w:rPr>
      </w:pPr>
      <w:r w:rsidRPr="00232E6E">
        <w:rPr>
          <w:rFonts w:ascii="Arial" w:hAnsi="Arial" w:cs="Arial"/>
          <w:sz w:val="22"/>
          <w:szCs w:val="22"/>
        </w:rPr>
        <w:t xml:space="preserve">The Bidder and/or its Bidder Members are guilty of material misrepresentation in relation to its application and/or the </w:t>
      </w:r>
      <w:proofErr w:type="gramStart"/>
      <w:r w:rsidRPr="00232E6E">
        <w:rPr>
          <w:rFonts w:ascii="Arial" w:hAnsi="Arial" w:cs="Arial"/>
          <w:sz w:val="22"/>
          <w:szCs w:val="22"/>
        </w:rPr>
        <w:t>process;</w:t>
      </w:r>
      <w:proofErr w:type="gramEnd"/>
      <w:r w:rsidRPr="00232E6E">
        <w:rPr>
          <w:rFonts w:ascii="Arial" w:hAnsi="Arial" w:cs="Arial"/>
          <w:sz w:val="22"/>
          <w:szCs w:val="22"/>
        </w:rPr>
        <w:t xml:space="preserve"> </w:t>
      </w:r>
    </w:p>
    <w:p w14:paraId="16514C14" w14:textId="77777777" w:rsidR="00244AE9" w:rsidRPr="00232E6E" w:rsidRDefault="00244AE9" w:rsidP="00232E6E">
      <w:pPr>
        <w:numPr>
          <w:ilvl w:val="0"/>
          <w:numId w:val="3"/>
        </w:numPr>
        <w:spacing w:after="40"/>
        <w:rPr>
          <w:rFonts w:ascii="Arial" w:hAnsi="Arial" w:cs="Arial"/>
          <w:sz w:val="22"/>
          <w:szCs w:val="22"/>
        </w:rPr>
      </w:pPr>
      <w:r w:rsidRPr="00232E6E">
        <w:rPr>
          <w:rFonts w:ascii="Arial" w:hAnsi="Arial" w:cs="Arial"/>
          <w:sz w:val="22"/>
          <w:szCs w:val="22"/>
        </w:rPr>
        <w:t xml:space="preserve">The Bidder and/or its Bidder Members contravene any of the provisions set out in this </w:t>
      </w:r>
      <w:r w:rsidR="0016035F" w:rsidRPr="00232E6E">
        <w:rPr>
          <w:rFonts w:ascii="Arial" w:hAnsi="Arial" w:cs="Arial"/>
          <w:sz w:val="22"/>
          <w:szCs w:val="22"/>
        </w:rPr>
        <w:t>ITQ</w:t>
      </w:r>
      <w:r w:rsidRPr="00232E6E">
        <w:rPr>
          <w:rFonts w:ascii="Arial" w:hAnsi="Arial" w:cs="Arial"/>
          <w:sz w:val="22"/>
          <w:szCs w:val="22"/>
        </w:rPr>
        <w:t>; or</w:t>
      </w:r>
    </w:p>
    <w:p w14:paraId="47E069DE" w14:textId="77777777" w:rsidR="00244AE9" w:rsidRPr="00232E6E" w:rsidRDefault="00244AE9" w:rsidP="00232E6E">
      <w:pPr>
        <w:numPr>
          <w:ilvl w:val="0"/>
          <w:numId w:val="3"/>
        </w:numPr>
        <w:spacing w:after="80"/>
        <w:rPr>
          <w:rFonts w:ascii="Arial" w:hAnsi="Arial" w:cs="Arial"/>
          <w:sz w:val="22"/>
          <w:szCs w:val="22"/>
        </w:rPr>
      </w:pPr>
      <w:r w:rsidRPr="00232E6E">
        <w:rPr>
          <w:rFonts w:ascii="Arial" w:hAnsi="Arial" w:cs="Arial"/>
          <w:sz w:val="22"/>
          <w:szCs w:val="22"/>
        </w:rPr>
        <w:lastRenderedPageBreak/>
        <w:t>There is a change in identity, control, financial standing or other factor impacting on the selection and/or evaluation process affecting the Bidder and/or its Bidder Members.</w:t>
      </w:r>
    </w:p>
    <w:p w14:paraId="074A31E2"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The disqualification of a Bidder will not prejudice any other civil remedy available to the Contracting Authority and will not prejudice any criminal liability that such conduct by a Bidder may attract.</w:t>
      </w:r>
    </w:p>
    <w:p w14:paraId="44686279" w14:textId="77777777" w:rsidR="00244AE9" w:rsidRPr="00232E6E" w:rsidRDefault="000D72FE" w:rsidP="00232E6E">
      <w:pPr>
        <w:spacing w:after="120"/>
        <w:rPr>
          <w:rFonts w:ascii="Arial" w:hAnsi="Arial" w:cs="Arial"/>
          <w:sz w:val="22"/>
          <w:szCs w:val="22"/>
        </w:rPr>
      </w:pPr>
      <w:r w:rsidRPr="00232E6E">
        <w:rPr>
          <w:rFonts w:ascii="Arial" w:hAnsi="Arial" w:cs="Arial"/>
          <w:sz w:val="22"/>
          <w:szCs w:val="22"/>
        </w:rPr>
        <w:t xml:space="preserve">The </w:t>
      </w:r>
      <w:r w:rsidR="00244AE9" w:rsidRPr="00232E6E">
        <w:rPr>
          <w:rFonts w:ascii="Arial" w:hAnsi="Arial" w:cs="Arial"/>
          <w:sz w:val="22"/>
          <w:szCs w:val="22"/>
        </w:rPr>
        <w:t xml:space="preserve">Contracting Authority shall not be bound to accept any Bid and reserves the right not to conclude a Contract for some or </w:t>
      </w:r>
      <w:proofErr w:type="gramStart"/>
      <w:r w:rsidR="00244AE9" w:rsidRPr="00232E6E">
        <w:rPr>
          <w:rFonts w:ascii="Arial" w:hAnsi="Arial" w:cs="Arial"/>
          <w:sz w:val="22"/>
          <w:szCs w:val="22"/>
        </w:rPr>
        <w:t>all of</w:t>
      </w:r>
      <w:proofErr w:type="gramEnd"/>
      <w:r w:rsidR="00244AE9" w:rsidRPr="00232E6E">
        <w:rPr>
          <w:rFonts w:ascii="Arial" w:hAnsi="Arial" w:cs="Arial"/>
          <w:sz w:val="22"/>
          <w:szCs w:val="22"/>
        </w:rPr>
        <w:t xml:space="preserve"> the </w:t>
      </w:r>
      <w:r w:rsidRPr="00232E6E">
        <w:rPr>
          <w:rFonts w:ascii="Arial" w:hAnsi="Arial" w:cs="Arial"/>
          <w:sz w:val="22"/>
          <w:szCs w:val="22"/>
        </w:rPr>
        <w:t xml:space="preserve">ITQ </w:t>
      </w:r>
      <w:r w:rsidR="00244AE9" w:rsidRPr="00232E6E">
        <w:rPr>
          <w:rFonts w:ascii="Arial" w:hAnsi="Arial" w:cs="Arial"/>
          <w:sz w:val="22"/>
          <w:szCs w:val="22"/>
        </w:rPr>
        <w:t>for which Bids are invited.</w:t>
      </w:r>
    </w:p>
    <w:p w14:paraId="73969EB6" w14:textId="77777777" w:rsidR="00244AE9" w:rsidRPr="00232E6E" w:rsidRDefault="00244AE9" w:rsidP="00232E6E">
      <w:pPr>
        <w:spacing w:after="40"/>
        <w:rPr>
          <w:rFonts w:ascii="Arial" w:hAnsi="Arial" w:cs="Arial"/>
          <w:sz w:val="22"/>
          <w:szCs w:val="22"/>
        </w:rPr>
      </w:pPr>
      <w:r w:rsidRPr="00232E6E">
        <w:rPr>
          <w:rFonts w:ascii="Arial" w:hAnsi="Arial" w:cs="Arial"/>
          <w:sz w:val="22"/>
          <w:szCs w:val="22"/>
        </w:rPr>
        <w:t>The Contracting Authority shall not be comm</w:t>
      </w:r>
      <w:r w:rsidR="00C5241C" w:rsidRPr="00232E6E">
        <w:rPr>
          <w:rFonts w:ascii="Arial" w:hAnsi="Arial" w:cs="Arial"/>
          <w:sz w:val="22"/>
          <w:szCs w:val="22"/>
        </w:rPr>
        <w:t>itt</w:t>
      </w:r>
      <w:r w:rsidRPr="00232E6E">
        <w:rPr>
          <w:rFonts w:ascii="Arial" w:hAnsi="Arial" w:cs="Arial"/>
          <w:sz w:val="22"/>
          <w:szCs w:val="22"/>
        </w:rPr>
        <w:t xml:space="preserve">ed to any course of action as a result of: </w:t>
      </w:r>
    </w:p>
    <w:p w14:paraId="74539563" w14:textId="77777777" w:rsidR="00244AE9" w:rsidRPr="00232E6E" w:rsidRDefault="00244AE9" w:rsidP="00232E6E">
      <w:pPr>
        <w:numPr>
          <w:ilvl w:val="0"/>
          <w:numId w:val="8"/>
        </w:numPr>
        <w:spacing w:after="40"/>
        <w:rPr>
          <w:rFonts w:ascii="Arial" w:hAnsi="Arial" w:cs="Arial"/>
          <w:sz w:val="22"/>
          <w:szCs w:val="22"/>
        </w:rPr>
      </w:pPr>
      <w:r w:rsidRPr="00232E6E">
        <w:rPr>
          <w:rFonts w:ascii="Arial" w:hAnsi="Arial" w:cs="Arial"/>
          <w:sz w:val="22"/>
          <w:szCs w:val="22"/>
        </w:rPr>
        <w:t xml:space="preserve">Issuing this </w:t>
      </w:r>
      <w:r w:rsidR="0016035F" w:rsidRPr="00232E6E">
        <w:rPr>
          <w:rFonts w:ascii="Arial" w:hAnsi="Arial" w:cs="Arial"/>
          <w:sz w:val="22"/>
          <w:szCs w:val="22"/>
        </w:rPr>
        <w:t>ITQ</w:t>
      </w:r>
      <w:r w:rsidRPr="00232E6E">
        <w:rPr>
          <w:rFonts w:ascii="Arial" w:hAnsi="Arial" w:cs="Arial"/>
          <w:sz w:val="22"/>
          <w:szCs w:val="22"/>
        </w:rPr>
        <w:t xml:space="preserve"> or any invitation to</w:t>
      </w:r>
      <w:r w:rsidR="000D72FE" w:rsidRPr="00232E6E">
        <w:rPr>
          <w:rFonts w:ascii="Arial" w:hAnsi="Arial" w:cs="Arial"/>
          <w:sz w:val="22"/>
          <w:szCs w:val="22"/>
        </w:rPr>
        <w:t xml:space="preserve"> participate in this ITQ process</w:t>
      </w:r>
    </w:p>
    <w:p w14:paraId="4596FF1C" w14:textId="77777777" w:rsidR="00244AE9" w:rsidRPr="00232E6E" w:rsidRDefault="00244AE9" w:rsidP="00232E6E">
      <w:pPr>
        <w:numPr>
          <w:ilvl w:val="0"/>
          <w:numId w:val="8"/>
        </w:numPr>
        <w:spacing w:after="40"/>
        <w:rPr>
          <w:rFonts w:ascii="Arial" w:hAnsi="Arial" w:cs="Arial"/>
          <w:sz w:val="22"/>
          <w:szCs w:val="22"/>
        </w:rPr>
      </w:pPr>
      <w:r w:rsidRPr="00232E6E">
        <w:rPr>
          <w:rFonts w:ascii="Arial" w:hAnsi="Arial" w:cs="Arial"/>
          <w:sz w:val="22"/>
          <w:szCs w:val="22"/>
        </w:rPr>
        <w:t>An invitation to subm</w:t>
      </w:r>
      <w:r w:rsidR="000D72FE" w:rsidRPr="00232E6E">
        <w:rPr>
          <w:rFonts w:ascii="Arial" w:hAnsi="Arial" w:cs="Arial"/>
          <w:sz w:val="22"/>
          <w:szCs w:val="22"/>
        </w:rPr>
        <w:t>it any Bid in respect of this ITQ process</w:t>
      </w:r>
    </w:p>
    <w:p w14:paraId="4CC5B0A9" w14:textId="77777777" w:rsidR="00244AE9" w:rsidRPr="00232E6E" w:rsidRDefault="00244AE9" w:rsidP="00232E6E">
      <w:pPr>
        <w:numPr>
          <w:ilvl w:val="0"/>
          <w:numId w:val="8"/>
        </w:numPr>
        <w:spacing w:after="120"/>
        <w:rPr>
          <w:rFonts w:ascii="Arial" w:hAnsi="Arial" w:cs="Arial"/>
          <w:sz w:val="22"/>
          <w:szCs w:val="22"/>
        </w:rPr>
      </w:pPr>
      <w:r w:rsidRPr="00232E6E">
        <w:rPr>
          <w:rFonts w:ascii="Arial" w:hAnsi="Arial" w:cs="Arial"/>
          <w:sz w:val="22"/>
          <w:szCs w:val="22"/>
        </w:rPr>
        <w:t xml:space="preserve">Communicating with a Bidder or any Bidder Members in respect of this </w:t>
      </w:r>
      <w:r w:rsidR="000D72FE" w:rsidRPr="00232E6E">
        <w:rPr>
          <w:rFonts w:ascii="Arial" w:hAnsi="Arial" w:cs="Arial"/>
          <w:sz w:val="22"/>
          <w:szCs w:val="22"/>
        </w:rPr>
        <w:t>ITQ process</w:t>
      </w:r>
      <w:r w:rsidRPr="00232E6E">
        <w:rPr>
          <w:rFonts w:ascii="Arial" w:hAnsi="Arial" w:cs="Arial"/>
          <w:sz w:val="22"/>
          <w:szCs w:val="22"/>
        </w:rPr>
        <w:t>.</w:t>
      </w:r>
    </w:p>
    <w:p w14:paraId="571714EA"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rPr>
      </w:pPr>
      <w:bookmarkStart w:id="1001" w:name="_Toc341347956"/>
      <w:r w:rsidRPr="00232E6E">
        <w:rPr>
          <w:rFonts w:ascii="Arial" w:hAnsi="Arial"/>
          <w:sz w:val="22"/>
          <w:szCs w:val="22"/>
          <w:lang w:val="en-GB"/>
        </w:rPr>
        <w:t>1</w:t>
      </w:r>
      <w:r w:rsidR="00244AE9" w:rsidRPr="00232E6E">
        <w:rPr>
          <w:rFonts w:ascii="Arial" w:hAnsi="Arial"/>
          <w:sz w:val="22"/>
          <w:szCs w:val="22"/>
          <w:lang w:val="en-GB"/>
        </w:rPr>
        <w:t>.15</w:t>
      </w:r>
      <w:r w:rsidR="00244AE9" w:rsidRPr="00232E6E">
        <w:rPr>
          <w:rFonts w:ascii="Arial" w:hAnsi="Arial"/>
          <w:sz w:val="22"/>
          <w:szCs w:val="22"/>
          <w:lang w:val="en-GB"/>
        </w:rPr>
        <w:tab/>
      </w:r>
      <w:r w:rsidR="00244AE9" w:rsidRPr="00232E6E">
        <w:rPr>
          <w:rFonts w:ascii="Arial" w:hAnsi="Arial"/>
          <w:sz w:val="22"/>
          <w:szCs w:val="22"/>
        </w:rPr>
        <w:t>right to cancel or vary the process</w:t>
      </w:r>
      <w:bookmarkEnd w:id="1001"/>
      <w:r w:rsidR="00244AE9" w:rsidRPr="00232E6E">
        <w:rPr>
          <w:rFonts w:ascii="Arial" w:hAnsi="Arial"/>
          <w:sz w:val="22"/>
          <w:szCs w:val="22"/>
        </w:rPr>
        <w:t xml:space="preserve"> </w:t>
      </w:r>
    </w:p>
    <w:p w14:paraId="2B8A46D3" w14:textId="77777777" w:rsidR="00244AE9" w:rsidRPr="00232E6E" w:rsidRDefault="00244AE9" w:rsidP="00232E6E">
      <w:pPr>
        <w:spacing w:after="40"/>
        <w:rPr>
          <w:rFonts w:ascii="Arial" w:hAnsi="Arial" w:cs="Arial"/>
          <w:sz w:val="22"/>
          <w:szCs w:val="22"/>
        </w:rPr>
      </w:pPr>
      <w:r w:rsidRPr="00232E6E">
        <w:rPr>
          <w:rFonts w:ascii="Arial" w:hAnsi="Arial" w:cs="Arial"/>
          <w:sz w:val="22"/>
          <w:szCs w:val="22"/>
        </w:rPr>
        <w:t>The Contracting Authority reserves the right:</w:t>
      </w:r>
    </w:p>
    <w:p w14:paraId="72CBE31E" w14:textId="77777777" w:rsidR="00244AE9" w:rsidRPr="00232E6E" w:rsidRDefault="00244AE9" w:rsidP="00232E6E">
      <w:pPr>
        <w:numPr>
          <w:ilvl w:val="0"/>
          <w:numId w:val="2"/>
        </w:numPr>
        <w:spacing w:after="40"/>
        <w:rPr>
          <w:rFonts w:ascii="Arial" w:hAnsi="Arial" w:cs="Arial"/>
          <w:sz w:val="22"/>
          <w:szCs w:val="22"/>
        </w:rPr>
      </w:pPr>
      <w:r w:rsidRPr="00232E6E">
        <w:rPr>
          <w:rFonts w:ascii="Arial" w:hAnsi="Arial" w:cs="Arial"/>
          <w:sz w:val="22"/>
          <w:szCs w:val="22"/>
        </w:rPr>
        <w:t xml:space="preserve">To cancel or withdraw from the </w:t>
      </w:r>
      <w:r w:rsidR="000A5554" w:rsidRPr="00232E6E">
        <w:rPr>
          <w:rFonts w:ascii="Arial" w:hAnsi="Arial" w:cs="Arial"/>
          <w:sz w:val="22"/>
          <w:szCs w:val="22"/>
        </w:rPr>
        <w:t xml:space="preserve">ITQ </w:t>
      </w:r>
      <w:r w:rsidRPr="00232E6E">
        <w:rPr>
          <w:rFonts w:ascii="Arial" w:hAnsi="Arial" w:cs="Arial"/>
          <w:sz w:val="22"/>
          <w:szCs w:val="22"/>
        </w:rPr>
        <w:t xml:space="preserve">process at any stage whether in respect of all or any of the Contracting Authority or any </w:t>
      </w:r>
      <w:r w:rsidR="00E71113" w:rsidRPr="00232E6E">
        <w:rPr>
          <w:rFonts w:ascii="Arial" w:hAnsi="Arial" w:cs="Arial"/>
          <w:sz w:val="22"/>
          <w:szCs w:val="22"/>
        </w:rPr>
        <w:t>ICB</w:t>
      </w:r>
      <w:r w:rsidRPr="00232E6E">
        <w:rPr>
          <w:rFonts w:ascii="Arial" w:hAnsi="Arial" w:cs="Arial"/>
          <w:sz w:val="22"/>
          <w:szCs w:val="22"/>
        </w:rPr>
        <w:t xml:space="preserve"> on whose behalf this exercise is being undertaken.</w:t>
      </w:r>
    </w:p>
    <w:p w14:paraId="12D4E745" w14:textId="77777777" w:rsidR="00244AE9" w:rsidRPr="00232E6E" w:rsidRDefault="00244AE9" w:rsidP="00232E6E">
      <w:pPr>
        <w:numPr>
          <w:ilvl w:val="0"/>
          <w:numId w:val="2"/>
        </w:numPr>
        <w:spacing w:after="40"/>
        <w:rPr>
          <w:rFonts w:ascii="Arial" w:hAnsi="Arial" w:cs="Arial"/>
          <w:sz w:val="22"/>
          <w:szCs w:val="22"/>
        </w:rPr>
      </w:pPr>
      <w:r w:rsidRPr="00232E6E">
        <w:rPr>
          <w:rFonts w:ascii="Arial" w:hAnsi="Arial" w:cs="Arial"/>
          <w:sz w:val="22"/>
          <w:szCs w:val="22"/>
        </w:rPr>
        <w:t xml:space="preserve">Not to award a contract under this </w:t>
      </w:r>
      <w:r w:rsidR="000A5554" w:rsidRPr="00232E6E">
        <w:rPr>
          <w:rFonts w:ascii="Arial" w:hAnsi="Arial" w:cs="Arial"/>
          <w:sz w:val="22"/>
          <w:szCs w:val="22"/>
        </w:rPr>
        <w:t xml:space="preserve">ITQ </w:t>
      </w:r>
      <w:r w:rsidRPr="00232E6E">
        <w:rPr>
          <w:rFonts w:ascii="Arial" w:hAnsi="Arial" w:cs="Arial"/>
          <w:sz w:val="22"/>
          <w:szCs w:val="22"/>
        </w:rPr>
        <w:t>process.</w:t>
      </w:r>
    </w:p>
    <w:p w14:paraId="0CB8EECD" w14:textId="77777777" w:rsidR="00244AE9" w:rsidRPr="00232E6E" w:rsidRDefault="00244AE9" w:rsidP="00232E6E">
      <w:pPr>
        <w:numPr>
          <w:ilvl w:val="0"/>
          <w:numId w:val="2"/>
        </w:numPr>
        <w:spacing w:after="120"/>
        <w:ind w:left="714" w:hanging="357"/>
        <w:rPr>
          <w:rFonts w:ascii="Arial" w:hAnsi="Arial" w:cs="Arial"/>
          <w:sz w:val="22"/>
          <w:szCs w:val="22"/>
        </w:rPr>
      </w:pPr>
      <w:r w:rsidRPr="00232E6E">
        <w:rPr>
          <w:rFonts w:ascii="Arial" w:hAnsi="Arial" w:cs="Arial"/>
          <w:sz w:val="22"/>
          <w:szCs w:val="22"/>
        </w:rPr>
        <w:t xml:space="preserve">To change dates and times for each stage of the </w:t>
      </w:r>
      <w:r w:rsidR="000A5554" w:rsidRPr="00232E6E">
        <w:rPr>
          <w:rFonts w:ascii="Arial" w:hAnsi="Arial" w:cs="Arial"/>
          <w:sz w:val="22"/>
          <w:szCs w:val="22"/>
        </w:rPr>
        <w:t>ITQ</w:t>
      </w:r>
      <w:r w:rsidRPr="00232E6E">
        <w:rPr>
          <w:rFonts w:ascii="Arial" w:hAnsi="Arial" w:cs="Arial"/>
          <w:sz w:val="22"/>
          <w:szCs w:val="22"/>
        </w:rPr>
        <w:t xml:space="preserve"> process </w:t>
      </w:r>
    </w:p>
    <w:p w14:paraId="2DADF2CF"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 xml:space="preserve">The Contracting Authority reserves the right to amend, add to or withdraw all or any part of this </w:t>
      </w:r>
      <w:r w:rsidR="0016035F" w:rsidRPr="00232E6E">
        <w:rPr>
          <w:rFonts w:ascii="Arial" w:hAnsi="Arial" w:cs="Arial"/>
          <w:sz w:val="22"/>
          <w:szCs w:val="22"/>
        </w:rPr>
        <w:t>ITQ</w:t>
      </w:r>
      <w:r w:rsidRPr="00232E6E">
        <w:rPr>
          <w:rFonts w:ascii="Arial" w:hAnsi="Arial" w:cs="Arial"/>
          <w:sz w:val="22"/>
          <w:szCs w:val="22"/>
        </w:rPr>
        <w:t xml:space="preserve"> at</w:t>
      </w:r>
      <w:r w:rsidR="000D72FE" w:rsidRPr="00232E6E">
        <w:rPr>
          <w:rFonts w:ascii="Arial" w:hAnsi="Arial" w:cs="Arial"/>
          <w:sz w:val="22"/>
          <w:szCs w:val="22"/>
        </w:rPr>
        <w:t xml:space="preserve"> any time during the process</w:t>
      </w:r>
      <w:r w:rsidRPr="00232E6E">
        <w:rPr>
          <w:rFonts w:ascii="Arial" w:hAnsi="Arial" w:cs="Arial"/>
          <w:sz w:val="22"/>
          <w:szCs w:val="22"/>
        </w:rPr>
        <w:t>.</w:t>
      </w:r>
    </w:p>
    <w:p w14:paraId="0548BBDB" w14:textId="77777777" w:rsidR="00244AE9" w:rsidRPr="00232E6E" w:rsidRDefault="0016035F" w:rsidP="00232E6E">
      <w:pPr>
        <w:pStyle w:val="Style1"/>
        <w:keepNext w:val="0"/>
        <w:numPr>
          <w:ilvl w:val="0"/>
          <w:numId w:val="0"/>
        </w:numPr>
        <w:spacing w:before="120" w:after="80"/>
        <w:ind w:left="567" w:hanging="567"/>
        <w:jc w:val="left"/>
        <w:outlineLvl w:val="1"/>
        <w:rPr>
          <w:rFonts w:ascii="Arial" w:hAnsi="Arial"/>
          <w:sz w:val="22"/>
          <w:szCs w:val="22"/>
          <w:lang w:val="en-GB"/>
        </w:rPr>
      </w:pPr>
      <w:bookmarkStart w:id="1002" w:name="_Toc341347957"/>
      <w:r w:rsidRPr="00232E6E">
        <w:rPr>
          <w:rFonts w:ascii="Arial" w:hAnsi="Arial"/>
          <w:sz w:val="22"/>
          <w:szCs w:val="22"/>
          <w:lang w:val="en-GB"/>
        </w:rPr>
        <w:t>1</w:t>
      </w:r>
      <w:r w:rsidR="00244AE9" w:rsidRPr="00232E6E">
        <w:rPr>
          <w:rFonts w:ascii="Arial" w:hAnsi="Arial"/>
          <w:sz w:val="22"/>
          <w:szCs w:val="22"/>
          <w:lang w:val="en-GB"/>
        </w:rPr>
        <w:t>.16</w:t>
      </w:r>
      <w:r w:rsidR="00244AE9" w:rsidRPr="00232E6E">
        <w:rPr>
          <w:rFonts w:ascii="Arial" w:hAnsi="Arial"/>
          <w:sz w:val="22"/>
          <w:szCs w:val="22"/>
          <w:lang w:val="en-GB"/>
        </w:rPr>
        <w:tab/>
      </w:r>
      <w:r w:rsidR="00244AE9" w:rsidRPr="00232E6E">
        <w:rPr>
          <w:rFonts w:ascii="Arial" w:hAnsi="Arial"/>
          <w:sz w:val="22"/>
          <w:szCs w:val="22"/>
        </w:rPr>
        <w:t>validity</w:t>
      </w:r>
      <w:bookmarkEnd w:id="1002"/>
      <w:r w:rsidR="00244AE9" w:rsidRPr="00232E6E">
        <w:rPr>
          <w:rFonts w:ascii="Arial" w:hAnsi="Arial"/>
          <w:sz w:val="22"/>
          <w:szCs w:val="22"/>
        </w:rPr>
        <w:t xml:space="preserve"> </w:t>
      </w:r>
      <w:r w:rsidR="00C5241C" w:rsidRPr="00232E6E">
        <w:rPr>
          <w:rFonts w:ascii="Arial" w:hAnsi="Arial"/>
          <w:sz w:val="22"/>
          <w:szCs w:val="22"/>
          <w:lang w:val="en-GB"/>
        </w:rPr>
        <w:t>of bids</w:t>
      </w:r>
    </w:p>
    <w:p w14:paraId="525B6D11" w14:textId="77777777" w:rsidR="00244AE9" w:rsidRPr="00232E6E" w:rsidRDefault="00244AE9" w:rsidP="00232E6E">
      <w:pPr>
        <w:spacing w:after="80"/>
        <w:rPr>
          <w:rFonts w:ascii="Arial" w:hAnsi="Arial" w:cs="Arial"/>
          <w:sz w:val="22"/>
          <w:szCs w:val="22"/>
        </w:rPr>
      </w:pPr>
      <w:r w:rsidRPr="00232E6E">
        <w:rPr>
          <w:rFonts w:ascii="Arial" w:hAnsi="Arial" w:cs="Arial"/>
          <w:sz w:val="22"/>
          <w:szCs w:val="22"/>
        </w:rPr>
        <w:t>All Bids subm</w:t>
      </w:r>
      <w:r w:rsidR="0016035F" w:rsidRPr="00232E6E">
        <w:rPr>
          <w:rFonts w:ascii="Arial" w:hAnsi="Arial" w:cs="Arial"/>
          <w:sz w:val="22"/>
          <w:szCs w:val="22"/>
        </w:rPr>
        <w:t>itt</w:t>
      </w:r>
      <w:r w:rsidRPr="00232E6E">
        <w:rPr>
          <w:rFonts w:ascii="Arial" w:hAnsi="Arial" w:cs="Arial"/>
          <w:sz w:val="22"/>
          <w:szCs w:val="22"/>
        </w:rPr>
        <w:t>ed by Bidders must remain open for acceptance for a period of 1</w:t>
      </w:r>
      <w:r w:rsidR="00C5241C" w:rsidRPr="00232E6E">
        <w:rPr>
          <w:rFonts w:ascii="Arial" w:hAnsi="Arial" w:cs="Arial"/>
          <w:sz w:val="22"/>
          <w:szCs w:val="22"/>
        </w:rPr>
        <w:t>2</w:t>
      </w:r>
      <w:r w:rsidRPr="00232E6E">
        <w:rPr>
          <w:rFonts w:ascii="Arial" w:hAnsi="Arial" w:cs="Arial"/>
          <w:sz w:val="22"/>
          <w:szCs w:val="22"/>
        </w:rPr>
        <w:t>0 days. A Bid valid for a shorter period may be rejected.</w:t>
      </w:r>
    </w:p>
    <w:p w14:paraId="1873FAF9" w14:textId="77777777" w:rsidR="00244AE9" w:rsidRPr="00232E6E" w:rsidRDefault="00244AE9" w:rsidP="00232E6E">
      <w:pPr>
        <w:spacing w:after="120"/>
        <w:rPr>
          <w:rFonts w:ascii="Arial" w:hAnsi="Arial" w:cs="Arial"/>
          <w:sz w:val="22"/>
          <w:szCs w:val="22"/>
        </w:rPr>
      </w:pPr>
      <w:r w:rsidRPr="00232E6E">
        <w:rPr>
          <w:rFonts w:ascii="Arial" w:hAnsi="Arial" w:cs="Arial"/>
          <w:sz w:val="22"/>
          <w:szCs w:val="22"/>
        </w:rPr>
        <w:t>The Contracting Authority reserves the right to require the Bidder to provide a Parent Company Guarantee prior to contract signature.</w:t>
      </w:r>
    </w:p>
    <w:p w14:paraId="346FD51C" w14:textId="77777777" w:rsidR="00CB0F51" w:rsidRPr="00232E6E" w:rsidRDefault="00CB0F51" w:rsidP="00232E6E">
      <w:pPr>
        <w:pStyle w:val="Style1"/>
        <w:keepNext w:val="0"/>
        <w:numPr>
          <w:ilvl w:val="0"/>
          <w:numId w:val="0"/>
        </w:numPr>
        <w:spacing w:before="120" w:after="80"/>
        <w:ind w:left="567" w:hanging="567"/>
        <w:jc w:val="left"/>
        <w:outlineLvl w:val="1"/>
        <w:rPr>
          <w:rFonts w:ascii="Arial" w:hAnsi="Arial"/>
          <w:sz w:val="22"/>
          <w:szCs w:val="22"/>
          <w:lang w:val="en-GB"/>
        </w:rPr>
      </w:pPr>
      <w:r w:rsidRPr="00232E6E">
        <w:rPr>
          <w:rFonts w:ascii="Arial" w:hAnsi="Arial"/>
          <w:sz w:val="22"/>
          <w:szCs w:val="22"/>
          <w:lang w:val="en-GB"/>
        </w:rPr>
        <w:t>1.17</w:t>
      </w:r>
      <w:r w:rsidRPr="00232E6E">
        <w:rPr>
          <w:rFonts w:ascii="Arial" w:hAnsi="Arial"/>
          <w:sz w:val="22"/>
          <w:szCs w:val="22"/>
          <w:lang w:val="en-GB"/>
        </w:rPr>
        <w:tab/>
        <w:t>Confidentiality</w:t>
      </w:r>
    </w:p>
    <w:p w14:paraId="414F64EB" w14:textId="77777777" w:rsidR="00CB0F51" w:rsidRPr="00232E6E" w:rsidRDefault="00CB0F51" w:rsidP="00232E6E">
      <w:pPr>
        <w:spacing w:after="80"/>
        <w:rPr>
          <w:rFonts w:ascii="Arial" w:hAnsi="Arial" w:cs="Arial"/>
          <w:sz w:val="22"/>
          <w:szCs w:val="22"/>
        </w:rPr>
      </w:pPr>
      <w:r w:rsidRPr="00232E6E">
        <w:rPr>
          <w:rFonts w:ascii="Arial" w:hAnsi="Arial" w:cs="Arial"/>
          <w:sz w:val="22"/>
          <w:szCs w:val="22"/>
        </w:rPr>
        <w:t>Bidders shall treat all information supplied by the Contracting Authority in connection with this ITQ as confidential. Information may be disclosed by Bidders insofar as is necessary for the preparation, submission, and evaluation of quotes.</w:t>
      </w:r>
    </w:p>
    <w:p w14:paraId="1DDF6BBB" w14:textId="77777777" w:rsidR="00CB0F51" w:rsidRDefault="00CB0F51" w:rsidP="00232E6E">
      <w:pPr>
        <w:spacing w:after="80"/>
        <w:rPr>
          <w:rFonts w:ascii="Arial" w:hAnsi="Arial" w:cs="Arial"/>
          <w:sz w:val="22"/>
          <w:szCs w:val="22"/>
        </w:rPr>
      </w:pPr>
      <w:r w:rsidRPr="00232E6E">
        <w:rPr>
          <w:rFonts w:ascii="Arial" w:hAnsi="Arial" w:cs="Arial"/>
          <w:sz w:val="22"/>
          <w:szCs w:val="22"/>
        </w:rPr>
        <w:t xml:space="preserve">The Contracting Authority as a public body is subject to the provisions of the Freedom of Information Act 2000 (FOI).  If Bidders consider that any information supplied as part of the ITQ response is either commercially sensitive or confidential in nature, this should be highlighted and the reasons for its sensitivity given.  </w:t>
      </w:r>
    </w:p>
    <w:p w14:paraId="1F34AF0A" w14:textId="77777777" w:rsidR="00C72EAC" w:rsidRPr="00232E6E" w:rsidRDefault="00C72EAC" w:rsidP="00232E6E">
      <w:pPr>
        <w:pStyle w:val="Style1"/>
        <w:numPr>
          <w:ilvl w:val="0"/>
          <w:numId w:val="0"/>
        </w:numPr>
        <w:spacing w:before="120" w:after="80"/>
        <w:jc w:val="left"/>
        <w:outlineLvl w:val="1"/>
        <w:rPr>
          <w:rFonts w:ascii="Arial" w:hAnsi="Arial"/>
          <w:sz w:val="22"/>
          <w:szCs w:val="22"/>
          <w:lang w:val="en-GB"/>
        </w:rPr>
      </w:pPr>
      <w:r w:rsidRPr="00232E6E">
        <w:rPr>
          <w:rFonts w:ascii="Arial" w:hAnsi="Arial"/>
          <w:sz w:val="22"/>
          <w:szCs w:val="22"/>
          <w:lang w:val="en-GB"/>
        </w:rPr>
        <w:lastRenderedPageBreak/>
        <w:t>1.18</w:t>
      </w:r>
      <w:r w:rsidRPr="00232E6E">
        <w:rPr>
          <w:rFonts w:ascii="Arial" w:hAnsi="Arial"/>
          <w:sz w:val="22"/>
          <w:szCs w:val="22"/>
          <w:lang w:val="en-GB"/>
        </w:rPr>
        <w:tab/>
        <w:t>Contract Award and Due Diligence</w:t>
      </w:r>
    </w:p>
    <w:p w14:paraId="432BDEC3" w14:textId="77777777" w:rsidR="00C72EAC" w:rsidRPr="00232E6E" w:rsidRDefault="00C72EAC" w:rsidP="00232E6E">
      <w:pPr>
        <w:pStyle w:val="Style1"/>
        <w:numPr>
          <w:ilvl w:val="0"/>
          <w:numId w:val="0"/>
        </w:numPr>
        <w:spacing w:before="120" w:after="80"/>
        <w:jc w:val="left"/>
        <w:outlineLvl w:val="1"/>
        <w:rPr>
          <w:rFonts w:ascii="Arial" w:hAnsi="Arial"/>
          <w:b w:val="0"/>
          <w:bCs w:val="0"/>
          <w:sz w:val="22"/>
          <w:szCs w:val="22"/>
        </w:rPr>
      </w:pPr>
      <w:r w:rsidRPr="00232E6E">
        <w:rPr>
          <w:rFonts w:ascii="Arial" w:hAnsi="Arial"/>
          <w:b w:val="0"/>
          <w:bCs w:val="0"/>
          <w:caps w:val="0"/>
          <w:sz w:val="22"/>
          <w:szCs w:val="22"/>
        </w:rPr>
        <w:t>As part of its due diligence, the contracting authority may wish to more fully assess and consider the information provided by the bidder to determine the extent to which a bidder presents any risks which the contracting authority may deem to be unacceptable, in its sole discretion, to the delivery of the services. Where such risk is identified, the contracting authority may invite the bidder to agree how the risk can be mitigated to an extent considered by the contracting authority to be sufficient. Where mitigation cannot be agreed to the satisfaction of the contracting authority, such satisfaction being at the sole discretion of the contracting authority, the contracting authority reserves the right to award a contract to one of the other bidders, such award to be decided on the basis of ranking of the highest scoring bids. Alternatively it may decide to re-run part or all of the ITQ process or cancel the ITQ process completely.</w:t>
      </w:r>
    </w:p>
    <w:p w14:paraId="050DA74D" w14:textId="77777777" w:rsidR="00C72EAC" w:rsidRPr="00232E6E" w:rsidRDefault="00C72EAC" w:rsidP="00232E6E">
      <w:pPr>
        <w:pStyle w:val="Style1"/>
        <w:numPr>
          <w:ilvl w:val="0"/>
          <w:numId w:val="0"/>
        </w:numPr>
        <w:spacing w:before="120" w:after="80"/>
        <w:jc w:val="left"/>
        <w:outlineLvl w:val="1"/>
        <w:rPr>
          <w:rFonts w:ascii="Arial" w:hAnsi="Arial"/>
          <w:b w:val="0"/>
          <w:bCs w:val="0"/>
          <w:sz w:val="22"/>
          <w:szCs w:val="22"/>
        </w:rPr>
      </w:pPr>
      <w:r w:rsidRPr="00232E6E">
        <w:rPr>
          <w:rFonts w:ascii="Arial" w:hAnsi="Arial"/>
          <w:b w:val="0"/>
          <w:bCs w:val="0"/>
          <w:caps w:val="0"/>
          <w:sz w:val="22"/>
          <w:szCs w:val="22"/>
        </w:rPr>
        <w:t xml:space="preserve">Bidders should note that the contracting authority may require additional documents or information from the bidders as part of a due diligence process prior to deciding upon the recommended bidder and/or contract signature. </w:t>
      </w:r>
    </w:p>
    <w:p w14:paraId="77D7DAE2" w14:textId="77777777" w:rsidR="00C72EAC" w:rsidRPr="00232E6E" w:rsidRDefault="00C72EAC" w:rsidP="00232E6E">
      <w:pPr>
        <w:pStyle w:val="Style1"/>
        <w:numPr>
          <w:ilvl w:val="0"/>
          <w:numId w:val="0"/>
        </w:numPr>
        <w:spacing w:before="120" w:after="80"/>
        <w:jc w:val="left"/>
        <w:outlineLvl w:val="1"/>
        <w:rPr>
          <w:rFonts w:ascii="Arial" w:hAnsi="Arial"/>
          <w:b w:val="0"/>
          <w:bCs w:val="0"/>
          <w:sz w:val="22"/>
          <w:szCs w:val="22"/>
        </w:rPr>
      </w:pPr>
      <w:r w:rsidRPr="00232E6E">
        <w:rPr>
          <w:rFonts w:ascii="Arial" w:hAnsi="Arial"/>
          <w:b w:val="0"/>
          <w:bCs w:val="0"/>
          <w:caps w:val="0"/>
          <w:sz w:val="22"/>
          <w:szCs w:val="22"/>
        </w:rPr>
        <w:t>Timely responses for any due diligence is required from the recommended bidder in order to facilitate timely progression towards contract signature. In the event that the required information is not provided by the  bidder, or the information provided is not satisfactory or it comes to light that information supplied and relied on to arrive at the decision regarding the choice of recommended bidder is incorrect, the contracting authority reserves the right in its absolute discretion not to enter into a contract. Under such circumstances, the contracting authority reserves the right to award a contract to one of the other bidders, such award to be decided on the basis of ranking of the highest scoring bids. Alternatively, it may decide to re-run part or all of the ITQ process or cancel the ITQ process completely.</w:t>
      </w:r>
    </w:p>
    <w:p w14:paraId="2EF50CDC" w14:textId="77777777" w:rsidR="00C72EAC" w:rsidRPr="00232E6E" w:rsidRDefault="00C72EAC" w:rsidP="00232E6E">
      <w:pPr>
        <w:pStyle w:val="Style1"/>
        <w:numPr>
          <w:ilvl w:val="0"/>
          <w:numId w:val="0"/>
        </w:numPr>
        <w:spacing w:before="120" w:after="80"/>
        <w:jc w:val="left"/>
        <w:outlineLvl w:val="1"/>
        <w:rPr>
          <w:rFonts w:ascii="Arial" w:hAnsi="Arial"/>
          <w:b w:val="0"/>
          <w:bCs w:val="0"/>
          <w:sz w:val="22"/>
          <w:szCs w:val="22"/>
        </w:rPr>
      </w:pPr>
      <w:r w:rsidRPr="00232E6E">
        <w:rPr>
          <w:rFonts w:ascii="Arial" w:hAnsi="Arial"/>
          <w:b w:val="0"/>
          <w:bCs w:val="0"/>
          <w:caps w:val="0"/>
          <w:sz w:val="22"/>
          <w:szCs w:val="22"/>
        </w:rPr>
        <w:t>Without prejudice to any other actions which the contracting authority may wish to take, findings from the due diligence undertaken may identify the need for specific conditions precedents to the contract.</w:t>
      </w:r>
    </w:p>
    <w:p w14:paraId="09FB1809" w14:textId="77777777" w:rsidR="00C72EAC" w:rsidRPr="00232E6E" w:rsidRDefault="00C72EAC" w:rsidP="00232E6E">
      <w:pPr>
        <w:pStyle w:val="Style1"/>
        <w:numPr>
          <w:ilvl w:val="0"/>
          <w:numId w:val="0"/>
        </w:numPr>
        <w:spacing w:before="120" w:after="80"/>
        <w:jc w:val="left"/>
        <w:outlineLvl w:val="1"/>
        <w:rPr>
          <w:rFonts w:ascii="Arial" w:hAnsi="Arial"/>
          <w:sz w:val="22"/>
          <w:szCs w:val="22"/>
        </w:rPr>
      </w:pPr>
    </w:p>
    <w:p w14:paraId="00D5C905" w14:textId="77777777" w:rsidR="00C72EAC" w:rsidRPr="00232E6E" w:rsidRDefault="00C72EAC" w:rsidP="00232E6E">
      <w:pPr>
        <w:pStyle w:val="Style1"/>
        <w:numPr>
          <w:ilvl w:val="0"/>
          <w:numId w:val="0"/>
        </w:numPr>
        <w:spacing w:before="120" w:after="80"/>
        <w:jc w:val="left"/>
        <w:outlineLvl w:val="1"/>
        <w:rPr>
          <w:rFonts w:ascii="Arial" w:hAnsi="Arial"/>
          <w:sz w:val="22"/>
          <w:szCs w:val="22"/>
          <w:lang w:val="en-GB"/>
        </w:rPr>
      </w:pPr>
    </w:p>
    <w:p w14:paraId="248D7DB0" w14:textId="77777777" w:rsidR="00C72EAC" w:rsidRPr="00232E6E" w:rsidRDefault="00C72EAC" w:rsidP="00232E6E">
      <w:pPr>
        <w:pStyle w:val="Style1"/>
        <w:numPr>
          <w:ilvl w:val="0"/>
          <w:numId w:val="0"/>
        </w:numPr>
        <w:spacing w:before="120" w:after="80"/>
        <w:jc w:val="left"/>
        <w:outlineLvl w:val="1"/>
        <w:rPr>
          <w:rFonts w:ascii="Arial" w:hAnsi="Arial"/>
          <w:sz w:val="22"/>
          <w:szCs w:val="22"/>
          <w:lang w:val="en-GB"/>
        </w:rPr>
      </w:pPr>
    </w:p>
    <w:p w14:paraId="631B9D9B" w14:textId="77777777" w:rsidR="00C72EAC" w:rsidRPr="00232E6E" w:rsidRDefault="00C72EAC" w:rsidP="00232E6E">
      <w:pPr>
        <w:spacing w:after="80"/>
        <w:rPr>
          <w:rFonts w:ascii="Arial" w:hAnsi="Arial" w:cs="Arial"/>
          <w:sz w:val="22"/>
          <w:szCs w:val="22"/>
        </w:rPr>
      </w:pPr>
    </w:p>
    <w:p w14:paraId="357A3264" w14:textId="77777777" w:rsidR="00CB0F51" w:rsidRPr="00232E6E" w:rsidRDefault="00CB0F51" w:rsidP="00232E6E">
      <w:pPr>
        <w:pStyle w:val="Style1"/>
        <w:keepNext w:val="0"/>
        <w:numPr>
          <w:ilvl w:val="0"/>
          <w:numId w:val="0"/>
        </w:numPr>
        <w:spacing w:before="120" w:after="80"/>
        <w:ind w:left="567" w:hanging="567"/>
        <w:jc w:val="left"/>
        <w:outlineLvl w:val="1"/>
        <w:rPr>
          <w:rFonts w:ascii="Arial" w:hAnsi="Arial"/>
          <w:sz w:val="22"/>
          <w:szCs w:val="22"/>
          <w:lang w:val="en-GB"/>
        </w:rPr>
      </w:pPr>
    </w:p>
    <w:p w14:paraId="2BEBF7DA" w14:textId="77777777" w:rsidR="00CB0F51" w:rsidRPr="00232E6E" w:rsidRDefault="00CB0F51" w:rsidP="00232E6E">
      <w:pPr>
        <w:spacing w:after="120"/>
        <w:rPr>
          <w:rFonts w:ascii="Arial" w:hAnsi="Arial" w:cs="Arial"/>
          <w:sz w:val="22"/>
          <w:szCs w:val="22"/>
        </w:rPr>
      </w:pPr>
    </w:p>
    <w:p w14:paraId="169031A7" w14:textId="77777777" w:rsidR="005643BA" w:rsidRPr="00232E6E" w:rsidRDefault="005643BA" w:rsidP="00232E6E">
      <w:pPr>
        <w:rPr>
          <w:rFonts w:ascii="Arial" w:hAnsi="Arial" w:cs="Arial"/>
          <w:sz w:val="22"/>
          <w:szCs w:val="22"/>
        </w:rPr>
      </w:pPr>
    </w:p>
    <w:sectPr w:rsidR="005643BA" w:rsidRPr="00232E6E">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2BC50" w14:textId="77777777" w:rsidR="00246DAC" w:rsidRDefault="00246DAC" w:rsidP="00937898">
      <w:r>
        <w:separator/>
      </w:r>
    </w:p>
  </w:endnote>
  <w:endnote w:type="continuationSeparator" w:id="0">
    <w:p w14:paraId="044B356B" w14:textId="77777777" w:rsidR="00246DAC" w:rsidRDefault="00246DAC" w:rsidP="0093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5DA0" w14:textId="77777777" w:rsidR="00246DAC" w:rsidRDefault="00246DAC" w:rsidP="00937898">
      <w:r>
        <w:separator/>
      </w:r>
    </w:p>
  </w:footnote>
  <w:footnote w:type="continuationSeparator" w:id="0">
    <w:p w14:paraId="18808694" w14:textId="77777777" w:rsidR="00246DAC" w:rsidRDefault="00246DAC" w:rsidP="0093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3632" w14:textId="77777777" w:rsidR="00937898" w:rsidRDefault="00937898">
    <w:pPr>
      <w:pStyle w:val="Header"/>
    </w:pPr>
    <w:r>
      <w:rPr>
        <w:noProof/>
      </w:rPr>
      <mc:AlternateContent>
        <mc:Choice Requires="wps">
          <w:drawing>
            <wp:anchor distT="0" distB="0" distL="0" distR="0" simplePos="0" relativeHeight="251659264" behindDoc="0" locked="0" layoutInCell="1" allowOverlap="1" wp14:anchorId="1DE451C4" wp14:editId="5B218453">
              <wp:simplePos x="635" y="635"/>
              <wp:positionH relativeFrom="leftMargin">
                <wp:align>left</wp:align>
              </wp:positionH>
              <wp:positionV relativeFrom="paragraph">
                <wp:posOffset>635</wp:posOffset>
              </wp:positionV>
              <wp:extent cx="443865" cy="443865"/>
              <wp:effectExtent l="0" t="0" r="0" b="10795"/>
              <wp:wrapSquare wrapText="bothSides"/>
              <wp:docPr id="2" name="Text Box 2"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14436" w14:textId="77777777" w:rsidR="00937898" w:rsidRPr="00937898" w:rsidRDefault="00937898">
                          <w:pPr>
                            <w:rPr>
                              <w:rFonts w:ascii="Tahoma" w:eastAsia="Tahoma" w:hAnsi="Tahoma" w:cs="Tahoma"/>
                              <w:noProof/>
                              <w:color w:val="CF022B"/>
                              <w:sz w:val="16"/>
                              <w:szCs w:val="16"/>
                            </w:rPr>
                          </w:pPr>
                          <w:r w:rsidRPr="00937898">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DE451C4" id="_x0000_t202" coordsize="21600,21600" o:spt="202" path="m,l,21600r21600,l21600,xe">
              <v:stroke joinstyle="miter"/>
              <v:path gradientshapeok="t" o:connecttype="rect"/>
            </v:shapetype>
            <v:shape id="Text Box 2" o:spid="_x0000_s1026" type="#_x0000_t202" alt="               C2 - Restricted use"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1C14436" w14:textId="77777777" w:rsidR="00937898" w:rsidRPr="00937898" w:rsidRDefault="00937898">
                    <w:pPr>
                      <w:rPr>
                        <w:rFonts w:ascii="Tahoma" w:eastAsia="Tahoma" w:hAnsi="Tahoma" w:cs="Tahoma"/>
                        <w:noProof/>
                        <w:color w:val="CF022B"/>
                        <w:sz w:val="16"/>
                        <w:szCs w:val="16"/>
                      </w:rPr>
                    </w:pPr>
                    <w:r w:rsidRPr="00937898">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5B88C" w14:textId="77777777" w:rsidR="00937898" w:rsidRDefault="00222FD9">
    <w:pPr>
      <w:pStyle w:val="Header"/>
    </w:pPr>
    <w:r>
      <w:rPr>
        <w:noProof/>
      </w:rPr>
      <w:drawing>
        <wp:anchor distT="0" distB="0" distL="114300" distR="114300" simplePos="0" relativeHeight="251662336" behindDoc="0" locked="0" layoutInCell="1" allowOverlap="1" wp14:anchorId="2FDE3FDE" wp14:editId="7C44E7B5">
          <wp:simplePos x="0" y="0"/>
          <wp:positionH relativeFrom="margin">
            <wp:posOffset>4846320</wp:posOffset>
          </wp:positionH>
          <wp:positionV relativeFrom="paragraph">
            <wp:posOffset>-221615</wp:posOffset>
          </wp:positionV>
          <wp:extent cx="1399257" cy="525780"/>
          <wp:effectExtent l="0" t="0" r="0" b="7620"/>
          <wp:wrapNone/>
          <wp:docPr id="10" name="docshape1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shape195"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257"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898">
      <w:rPr>
        <w:noProof/>
      </w:rPr>
      <mc:AlternateContent>
        <mc:Choice Requires="wps">
          <w:drawing>
            <wp:anchor distT="0" distB="0" distL="0" distR="0" simplePos="0" relativeHeight="251660288" behindDoc="0" locked="0" layoutInCell="1" allowOverlap="1" wp14:anchorId="7A7A1691" wp14:editId="38C0B6C8">
              <wp:simplePos x="914400" y="447675"/>
              <wp:positionH relativeFrom="leftMargin">
                <wp:align>left</wp:align>
              </wp:positionH>
              <wp:positionV relativeFrom="paragraph">
                <wp:posOffset>635</wp:posOffset>
              </wp:positionV>
              <wp:extent cx="443865" cy="443865"/>
              <wp:effectExtent l="0" t="0" r="0" b="10795"/>
              <wp:wrapSquare wrapText="bothSides"/>
              <wp:docPr id="3" name="Text Box 3"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EEBF2B" w14:textId="77777777" w:rsidR="00937898" w:rsidRPr="00937898" w:rsidRDefault="00937898">
                          <w:pPr>
                            <w:rPr>
                              <w:rFonts w:ascii="Tahoma" w:eastAsia="Tahoma" w:hAnsi="Tahoma" w:cs="Tahoma"/>
                              <w:noProof/>
                              <w:color w:val="CF022B"/>
                              <w:sz w:val="16"/>
                              <w:szCs w:val="16"/>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7A1691" id="_x0000_t202" coordsize="21600,21600" o:spt="202" path="m,l,21600r21600,l21600,xe">
              <v:stroke joinstyle="miter"/>
              <v:path gradientshapeok="t" o:connecttype="rect"/>
            </v:shapetype>
            <v:shape id="Text Box 3" o:spid="_x0000_s1027" type="#_x0000_t202" alt="               C2 - Restricted use"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4EEBF2B" w14:textId="77777777" w:rsidR="00937898" w:rsidRPr="00937898" w:rsidRDefault="00937898">
                    <w:pPr>
                      <w:rPr>
                        <w:rFonts w:ascii="Tahoma" w:eastAsia="Tahoma" w:hAnsi="Tahoma" w:cs="Tahoma"/>
                        <w:noProof/>
                        <w:color w:val="CF022B"/>
                        <w:sz w:val="16"/>
                        <w:szCs w:val="16"/>
                      </w:rPr>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93FEC" w14:textId="77777777" w:rsidR="00937898" w:rsidRDefault="00937898">
    <w:pPr>
      <w:pStyle w:val="Header"/>
    </w:pPr>
    <w:r>
      <w:rPr>
        <w:noProof/>
      </w:rPr>
      <mc:AlternateContent>
        <mc:Choice Requires="wps">
          <w:drawing>
            <wp:anchor distT="0" distB="0" distL="0" distR="0" simplePos="0" relativeHeight="251658240" behindDoc="0" locked="0" layoutInCell="1" allowOverlap="1" wp14:anchorId="5430E51B" wp14:editId="72D21D77">
              <wp:simplePos x="635" y="635"/>
              <wp:positionH relativeFrom="leftMargin">
                <wp:align>left</wp:align>
              </wp:positionH>
              <wp:positionV relativeFrom="paragraph">
                <wp:posOffset>635</wp:posOffset>
              </wp:positionV>
              <wp:extent cx="443865" cy="443865"/>
              <wp:effectExtent l="0" t="0" r="0" b="10795"/>
              <wp:wrapSquare wrapText="bothSides"/>
              <wp:docPr id="1" name="Text Box 1" descr="               C2 - Restricted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6C458B" w14:textId="77777777" w:rsidR="00937898" w:rsidRPr="00937898" w:rsidRDefault="00937898">
                          <w:pPr>
                            <w:rPr>
                              <w:rFonts w:ascii="Tahoma" w:eastAsia="Tahoma" w:hAnsi="Tahoma" w:cs="Tahoma"/>
                              <w:noProof/>
                              <w:color w:val="CF022B"/>
                              <w:sz w:val="16"/>
                              <w:szCs w:val="16"/>
                            </w:rPr>
                          </w:pPr>
                          <w:r w:rsidRPr="00937898">
                            <w:rPr>
                              <w:rFonts w:ascii="Tahoma" w:eastAsia="Tahoma" w:hAnsi="Tahoma" w:cs="Tahoma"/>
                              <w:noProof/>
                              <w:color w:val="CF022B"/>
                              <w:sz w:val="16"/>
                              <w:szCs w:val="16"/>
                            </w:rPr>
                            <w:t xml:space="preserve">               C2 - Restricted use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430E51B" id="_x0000_t202" coordsize="21600,21600" o:spt="202" path="m,l,21600r21600,l21600,xe">
              <v:stroke joinstyle="miter"/>
              <v:path gradientshapeok="t" o:connecttype="rect"/>
            </v:shapetype>
            <v:shape id="Text Box 1" o:spid="_x0000_s1028" type="#_x0000_t202" alt="               C2 - Restricted use"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406C458B" w14:textId="77777777" w:rsidR="00937898" w:rsidRPr="00937898" w:rsidRDefault="00937898">
                    <w:pPr>
                      <w:rPr>
                        <w:rFonts w:ascii="Tahoma" w:eastAsia="Tahoma" w:hAnsi="Tahoma" w:cs="Tahoma"/>
                        <w:noProof/>
                        <w:color w:val="CF022B"/>
                        <w:sz w:val="16"/>
                        <w:szCs w:val="16"/>
                      </w:rPr>
                    </w:pPr>
                    <w:r w:rsidRPr="00937898">
                      <w:rPr>
                        <w:rFonts w:ascii="Tahoma" w:eastAsia="Tahoma" w:hAnsi="Tahoma" w:cs="Tahoma"/>
                        <w:noProof/>
                        <w:color w:val="CF022B"/>
                        <w:sz w:val="16"/>
                        <w:szCs w:val="16"/>
                      </w:rPr>
                      <w:t xml:space="preserve">               C2 - Restricted use</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E7B"/>
    <w:multiLevelType w:val="hybridMultilevel"/>
    <w:tmpl w:val="0E285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4671"/>
    <w:multiLevelType w:val="hybridMultilevel"/>
    <w:tmpl w:val="4A08A6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3" w15:restartNumberingAfterBreak="0">
    <w:nsid w:val="2FC42808"/>
    <w:multiLevelType w:val="hybridMultilevel"/>
    <w:tmpl w:val="C47447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749DB"/>
    <w:multiLevelType w:val="hybridMultilevel"/>
    <w:tmpl w:val="1A905DDE"/>
    <w:lvl w:ilvl="0" w:tplc="08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37F4D"/>
    <w:multiLevelType w:val="hybridMultilevel"/>
    <w:tmpl w:val="0778DF78"/>
    <w:lvl w:ilvl="0" w:tplc="D2049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9657F"/>
    <w:multiLevelType w:val="hybridMultilevel"/>
    <w:tmpl w:val="FFFC3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71A85"/>
    <w:multiLevelType w:val="hybridMultilevel"/>
    <w:tmpl w:val="3BCC90D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7826624">
    <w:abstractNumId w:val="2"/>
  </w:num>
  <w:num w:numId="2" w16cid:durableId="90471772">
    <w:abstractNumId w:val="7"/>
  </w:num>
  <w:num w:numId="3" w16cid:durableId="1514418376">
    <w:abstractNumId w:val="6"/>
  </w:num>
  <w:num w:numId="4" w16cid:durableId="223371619">
    <w:abstractNumId w:val="5"/>
  </w:num>
  <w:num w:numId="5" w16cid:durableId="1405102692">
    <w:abstractNumId w:val="1"/>
  </w:num>
  <w:num w:numId="6" w16cid:durableId="2004889980">
    <w:abstractNumId w:val="4"/>
  </w:num>
  <w:num w:numId="7" w16cid:durableId="912356701">
    <w:abstractNumId w:val="3"/>
  </w:num>
  <w:num w:numId="8" w16cid:durableId="208837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9"/>
    <w:rsid w:val="00075D9C"/>
    <w:rsid w:val="000A5554"/>
    <w:rsid w:val="000D72FE"/>
    <w:rsid w:val="0016035F"/>
    <w:rsid w:val="00222FD9"/>
    <w:rsid w:val="00232E6E"/>
    <w:rsid w:val="00244AE9"/>
    <w:rsid w:val="00246DAC"/>
    <w:rsid w:val="0028163C"/>
    <w:rsid w:val="002C3050"/>
    <w:rsid w:val="00374BD5"/>
    <w:rsid w:val="003C01A4"/>
    <w:rsid w:val="005643BA"/>
    <w:rsid w:val="006A1964"/>
    <w:rsid w:val="00842F09"/>
    <w:rsid w:val="00937898"/>
    <w:rsid w:val="00A72CE8"/>
    <w:rsid w:val="00AD3C32"/>
    <w:rsid w:val="00B618BB"/>
    <w:rsid w:val="00C34B81"/>
    <w:rsid w:val="00C5241C"/>
    <w:rsid w:val="00C72EAC"/>
    <w:rsid w:val="00CB0F51"/>
    <w:rsid w:val="00CC5731"/>
    <w:rsid w:val="00D14290"/>
    <w:rsid w:val="00D807DD"/>
    <w:rsid w:val="00E71113"/>
    <w:rsid w:val="00F5669C"/>
    <w:rsid w:val="00F66115"/>
    <w:rsid w:val="00F8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CF2E"/>
  <w15:docId w15:val="{F93FE8DE-23FC-4E5C-B95E-CDB58520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E9"/>
    <w:pPr>
      <w:spacing w:after="0" w:line="240" w:lineRule="auto"/>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244A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244AE9"/>
    <w:pPr>
      <w:keepNext/>
      <w:numPr>
        <w:ilvl w:val="2"/>
        <w:numId w:val="1"/>
      </w:numPr>
      <w:spacing w:before="240" w:after="60"/>
      <w:jc w:val="both"/>
      <w:outlineLvl w:val="2"/>
    </w:pPr>
    <w:rPr>
      <w:bCs/>
      <w:kern w:val="32"/>
      <w:sz w:val="22"/>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244AE9"/>
    <w:pPr>
      <w:keepNext/>
      <w:numPr>
        <w:ilvl w:val="3"/>
        <w:numId w:val="1"/>
      </w:numPr>
      <w:spacing w:before="240" w:after="60"/>
      <w:outlineLvl w:val="3"/>
    </w:pPr>
    <w:rPr>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244AE9"/>
    <w:pPr>
      <w:numPr>
        <w:ilvl w:val="4"/>
        <w:numId w:val="1"/>
      </w:numPr>
      <w:spacing w:before="240" w:after="60"/>
      <w:outlineLvl w:val="4"/>
    </w:pPr>
    <w:rPr>
      <w:b/>
      <w:bCs/>
      <w:i/>
      <w:iCs/>
      <w:sz w:val="26"/>
      <w:szCs w:val="26"/>
    </w:rPr>
  </w:style>
  <w:style w:type="paragraph" w:styleId="Heading6">
    <w:name w:val="heading 6"/>
    <w:aliases w:val="bullet2,Legal Level 1.,Level 5.1,Bp"/>
    <w:basedOn w:val="Normal"/>
    <w:next w:val="Normal"/>
    <w:link w:val="Heading6Char"/>
    <w:uiPriority w:val="9"/>
    <w:qFormat/>
    <w:rsid w:val="00244AE9"/>
    <w:pPr>
      <w:numPr>
        <w:ilvl w:val="5"/>
        <w:numId w:val="1"/>
      </w:numPr>
      <w:spacing w:before="240" w:after="60"/>
      <w:outlineLvl w:val="5"/>
    </w:pPr>
    <w:rPr>
      <w:b/>
      <w:bCs/>
      <w:sz w:val="22"/>
      <w:szCs w:val="22"/>
    </w:rPr>
  </w:style>
  <w:style w:type="paragraph" w:styleId="Heading7">
    <w:name w:val="heading 7"/>
    <w:aliases w:val="Legal Level 1.1."/>
    <w:basedOn w:val="Normal"/>
    <w:next w:val="Normal"/>
    <w:link w:val="Heading7Char"/>
    <w:uiPriority w:val="9"/>
    <w:qFormat/>
    <w:rsid w:val="00244AE9"/>
    <w:pPr>
      <w:numPr>
        <w:ilvl w:val="6"/>
        <w:numId w:val="1"/>
      </w:numPr>
      <w:spacing w:before="240" w:after="60"/>
      <w:outlineLvl w:val="6"/>
    </w:pPr>
  </w:style>
  <w:style w:type="paragraph" w:styleId="Heading8">
    <w:name w:val="heading 8"/>
    <w:basedOn w:val="Normal"/>
    <w:next w:val="Normal"/>
    <w:link w:val="Heading8Char"/>
    <w:uiPriority w:val="9"/>
    <w:qFormat/>
    <w:rsid w:val="00244AE9"/>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244AE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244AE9"/>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244AE9"/>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244AE9"/>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244AE9"/>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244AE9"/>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244AE9"/>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244AE9"/>
    <w:rPr>
      <w:rFonts w:ascii="Arial" w:eastAsia="Times New Roman" w:hAnsi="Arial" w:cs="Arial"/>
    </w:rPr>
  </w:style>
  <w:style w:type="paragraph" w:customStyle="1" w:styleId="Style1">
    <w:name w:val="Style1"/>
    <w:basedOn w:val="Heading1"/>
    <w:rsid w:val="00244AE9"/>
    <w:pPr>
      <w:keepLines w:val="0"/>
      <w:numPr>
        <w:numId w:val="1"/>
      </w:numPr>
      <w:tabs>
        <w:tab w:val="clear" w:pos="998"/>
        <w:tab w:val="num" w:pos="360"/>
      </w:tabs>
      <w:spacing w:before="240" w:after="60"/>
      <w:ind w:left="0" w:firstLine="0"/>
      <w:jc w:val="both"/>
    </w:pPr>
    <w:rPr>
      <w:rFonts w:ascii="Arial Bold" w:eastAsia="Times New Roman" w:hAnsi="Arial Bold" w:cs="Arial"/>
      <w:caps/>
      <w:color w:val="auto"/>
      <w:kern w:val="32"/>
      <w:sz w:val="24"/>
      <w:szCs w:val="24"/>
      <w:lang w:val="x-none"/>
    </w:rPr>
  </w:style>
  <w:style w:type="character" w:styleId="Hyperlink">
    <w:name w:val="Hyperlink"/>
    <w:uiPriority w:val="99"/>
    <w:rsid w:val="00244AE9"/>
    <w:rPr>
      <w:color w:val="0000FF"/>
      <w:u w:val="single"/>
    </w:rPr>
  </w:style>
  <w:style w:type="paragraph" w:styleId="ListParagraph">
    <w:name w:val="List Paragraph"/>
    <w:basedOn w:val="Normal"/>
    <w:uiPriority w:val="34"/>
    <w:qFormat/>
    <w:rsid w:val="00244AE9"/>
    <w:pPr>
      <w:ind w:left="720"/>
    </w:pPr>
  </w:style>
  <w:style w:type="character" w:customStyle="1" w:styleId="Heading1Char">
    <w:name w:val="Heading 1 Char"/>
    <w:basedOn w:val="DefaultParagraphFont"/>
    <w:link w:val="Heading1"/>
    <w:uiPriority w:val="9"/>
    <w:rsid w:val="00244AE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37898"/>
    <w:pPr>
      <w:tabs>
        <w:tab w:val="center" w:pos="4513"/>
        <w:tab w:val="right" w:pos="9026"/>
      </w:tabs>
    </w:pPr>
  </w:style>
  <w:style w:type="character" w:customStyle="1" w:styleId="HeaderChar">
    <w:name w:val="Header Char"/>
    <w:basedOn w:val="DefaultParagraphFont"/>
    <w:link w:val="Header"/>
    <w:uiPriority w:val="99"/>
    <w:rsid w:val="00937898"/>
    <w:rPr>
      <w:rFonts w:ascii="Cambria" w:eastAsia="Times New Roman" w:hAnsi="Cambria" w:cs="Times New Roman"/>
      <w:sz w:val="24"/>
      <w:szCs w:val="24"/>
    </w:rPr>
  </w:style>
  <w:style w:type="paragraph" w:styleId="Footer">
    <w:name w:val="footer"/>
    <w:basedOn w:val="Normal"/>
    <w:link w:val="FooterChar"/>
    <w:uiPriority w:val="99"/>
    <w:unhideWhenUsed/>
    <w:rsid w:val="00222FD9"/>
    <w:pPr>
      <w:tabs>
        <w:tab w:val="center" w:pos="4513"/>
        <w:tab w:val="right" w:pos="9026"/>
      </w:tabs>
    </w:pPr>
  </w:style>
  <w:style w:type="character" w:customStyle="1" w:styleId="FooterChar">
    <w:name w:val="Footer Char"/>
    <w:basedOn w:val="DefaultParagraphFont"/>
    <w:link w:val="Footer"/>
    <w:uiPriority w:val="99"/>
    <w:rsid w:val="00222FD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bsa.nhs.uk/Pensions/4328.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nhsbsa.nhs.uk/Pensions/4327.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60E655D054B741A240AD34860E18A5" ma:contentTypeVersion="16" ma:contentTypeDescription="Create a new document." ma:contentTypeScope="" ma:versionID="d806b4d1e386c2ecb019de3166d7e0ea">
  <xsd:schema xmlns:xsd="http://www.w3.org/2001/XMLSchema" xmlns:xs="http://www.w3.org/2001/XMLSchema" xmlns:p="http://schemas.microsoft.com/office/2006/metadata/properties" xmlns:ns2="6f75b2f3-0005-4074-865c-d0f13e6ceb4e" xmlns:ns3="b172dec4-1e87-4fb6-9abd-5505c22dfc3c" xmlns:ns4="cccaf3ac-2de9-44d4-aa31-54302fceb5f7" targetNamespace="http://schemas.microsoft.com/office/2006/metadata/properties" ma:root="true" ma:fieldsID="e22156637f5eda4c431705631d0d8e40" ns2:_="" ns3:_="" ns4:_="">
    <xsd:import namespace="6f75b2f3-0005-4074-865c-d0f13e6ceb4e"/>
    <xsd:import namespace="b172dec4-1e87-4fb6-9abd-5505c22dfc3c"/>
    <xsd:import namespace="cccaf3ac-2de9-44d4-aa31-54302fceb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5b2f3-0005-4074-865c-d0f13e6ceb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2dec4-1e87-4fb6-9abd-5505c22dfc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bd8bfc-97d1-44ba-8e4d-1d0ac855e35b}" ma:internalName="TaxCatchAll" ma:showField="CatchAllData" ma:web="6f75b2f3-0005-4074-865c-d0f13e6ce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b172dec4-1e87-4fb6-9abd-5505c22dfc3c" xsi:nil="true"/>
    <lcf76f155ced4ddcb4097134ff3c332f xmlns="b172dec4-1e87-4fb6-9abd-5505c22dfc3c">
      <Terms xmlns="http://schemas.microsoft.com/office/infopath/2007/PartnerControls"/>
    </lcf76f155ced4ddcb4097134ff3c332f>
    <TaxCatchAll xmlns="cccaf3ac-2de9-44d4-aa31-54302fceb5f7" xsi:nil="true"/>
  </documentManagement>
</p:properties>
</file>

<file path=customXml/itemProps1.xml><?xml version="1.0" encoding="utf-8"?>
<ds:datastoreItem xmlns:ds="http://schemas.openxmlformats.org/officeDocument/2006/customXml" ds:itemID="{AC77CC26-284F-44FD-9643-54ADD2EDF7D6}">
  <ds:schemaRefs>
    <ds:schemaRef ds:uri="http://schemas.microsoft.com/sharepoint/v3/contenttype/forms"/>
  </ds:schemaRefs>
</ds:datastoreItem>
</file>

<file path=customXml/itemProps2.xml><?xml version="1.0" encoding="utf-8"?>
<ds:datastoreItem xmlns:ds="http://schemas.openxmlformats.org/officeDocument/2006/customXml" ds:itemID="{5E353DB6-36F4-470D-B5FB-F130AF9DA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5b2f3-0005-4074-865c-d0f13e6ceb4e"/>
    <ds:schemaRef ds:uri="b172dec4-1e87-4fb6-9abd-5505c22dfc3c"/>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DBF87-7EE8-47A0-AB2F-E4454A23DC0F}">
  <ds:schemaRefs>
    <ds:schemaRef ds:uri="http://schemas.microsoft.com/office/2006/metadata/properties"/>
    <ds:schemaRef ds:uri="http://schemas.microsoft.com/office/infopath/2007/PartnerControls"/>
    <ds:schemaRef ds:uri="b172dec4-1e87-4fb6-9abd-5505c22dfc3c"/>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Long</dc:creator>
  <cp:lastModifiedBy>GOLBY, Sarah (NHS SHARED BUSINESS SERVICES (SALFORD))</cp:lastModifiedBy>
  <cp:revision>2</cp:revision>
  <dcterms:created xsi:type="dcterms:W3CDTF">2023-03-06T20:14:00Z</dcterms:created>
  <dcterms:modified xsi:type="dcterms:W3CDTF">2023-03-06T20:14:00Z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#cf022b,8,Tahoma</vt:lpwstr>
  </property>
  <property fmtid="{D5CDD505-2E9C-101B-9397-08002B2CF9AE}" pid="4" name="ClassificationContentMarkingHeaderText">
    <vt:lpwstr>               C2 - Restricted use</vt:lpwstr>
  </property>
  <property fmtid="{D5CDD505-2E9C-101B-9397-08002B2CF9AE}" pid="5" name="MSIP_Label_c5e6e129-f928-4a05-ae32-d838f6b21bdd_Enabled">
    <vt:lpwstr>true</vt:lpwstr>
  </property>
  <property fmtid="{D5CDD505-2E9C-101B-9397-08002B2CF9AE}" pid="6" name="MSIP_Label_c5e6e129-f928-4a05-ae32-d838f6b21bdd_SetDate">
    <vt:lpwstr>2022-10-26T14:01:05Z</vt:lpwstr>
  </property>
  <property fmtid="{D5CDD505-2E9C-101B-9397-08002B2CF9AE}" pid="7" name="MSIP_Label_c5e6e129-f928-4a05-ae32-d838f6b21bdd_Method">
    <vt:lpwstr>Standard</vt:lpwstr>
  </property>
  <property fmtid="{D5CDD505-2E9C-101B-9397-08002B2CF9AE}" pid="8" name="MSIP_Label_c5e6e129-f928-4a05-ae32-d838f6b21bdd_Name">
    <vt:lpwstr>EN Restricted use</vt:lpwstr>
  </property>
  <property fmtid="{D5CDD505-2E9C-101B-9397-08002B2CF9AE}" pid="9" name="MSIP_Label_c5e6e129-f928-4a05-ae32-d838f6b21bdd_SiteId">
    <vt:lpwstr>8b87af7d-8647-4dc7-8df4-5f69a2011bb5</vt:lpwstr>
  </property>
  <property fmtid="{D5CDD505-2E9C-101B-9397-08002B2CF9AE}" pid="10" name="MSIP_Label_c5e6e129-f928-4a05-ae32-d838f6b21bdd_ActionId">
    <vt:lpwstr>d4e6521a-c847-4cc5-9da4-3beae5557e92</vt:lpwstr>
  </property>
  <property fmtid="{D5CDD505-2E9C-101B-9397-08002B2CF9AE}" pid="11" name="MSIP_Label_c5e6e129-f928-4a05-ae32-d838f6b21bdd_ContentBits">
    <vt:lpwstr>3</vt:lpwstr>
  </property>
  <property fmtid="{D5CDD505-2E9C-101B-9397-08002B2CF9AE}" pid="12" name="ContentTypeId">
    <vt:lpwstr>0x0101004960E655D054B741A240AD34860E18A5</vt:lpwstr>
  </property>
</Properties>
</file>