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004242D0" w:rsidP="004242D0" w:rsidRDefault="004242D0" w14:paraId="0D3409AC" w14:textId="77777777">
      <w:pPr>
        <w:jc w:val="right"/>
        <w:rPr>
          <w:b/>
          <w:bCs/>
        </w:rPr>
      </w:pPr>
      <w:r>
        <w:rPr>
          <w:b/>
          <w:bCs/>
          <w:noProof/>
        </w:rPr>
        <w:drawing>
          <wp:inline distT="0" distB="0" distL="0" distR="0" wp14:anchorId="7993E89D" wp14:editId="102DFB7D">
            <wp:extent cx="1643791" cy="790575"/>
            <wp:effectExtent l="0" t="0" r="0" b="0"/>
            <wp:docPr id="1" name="Picture 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a:off x="0" y="0"/>
                      <a:ext cx="1655226" cy="796075"/>
                    </a:xfrm>
                    <a:prstGeom prst="rect">
                      <a:avLst/>
                    </a:prstGeom>
                  </pic:spPr>
                </pic:pic>
              </a:graphicData>
            </a:graphic>
          </wp:inline>
        </w:drawing>
      </w:r>
    </w:p>
    <w:p w:rsidRPr="004956FA" w:rsidR="00212607" w:rsidP="004242D0" w:rsidRDefault="004956FA" w14:paraId="02735F2F" w14:textId="4F15AA53">
      <w:pPr>
        <w:jc w:val="center"/>
        <w:rPr>
          <w:b/>
          <w:bCs/>
        </w:rPr>
      </w:pPr>
      <w:r w:rsidRPr="004956FA">
        <w:rPr>
          <w:b/>
          <w:bCs/>
        </w:rPr>
        <w:t>Birmingham Metropolitan College</w:t>
      </w:r>
    </w:p>
    <w:p w:rsidRPr="00C52140" w:rsidR="00D869E7" w:rsidP="00C52140" w:rsidRDefault="00D869E7" w14:paraId="66441D72" w14:textId="166C8FB8">
      <w:pPr>
        <w:jc w:val="center"/>
        <w:rPr>
          <w:b/>
          <w:bCs/>
          <w:sz w:val="36"/>
          <w:szCs w:val="36"/>
        </w:rPr>
      </w:pPr>
      <w:r w:rsidRPr="00C52140">
        <w:rPr>
          <w:b/>
          <w:bCs/>
          <w:sz w:val="36"/>
          <w:szCs w:val="36"/>
        </w:rPr>
        <w:t>Request for Quotation</w:t>
      </w:r>
    </w:p>
    <w:p w:rsidRPr="00C52140" w:rsidR="00442AEC" w:rsidP="00C52140" w:rsidRDefault="466C5FEE" w14:paraId="4BA862FC" w14:textId="55DF02DB">
      <w:pPr>
        <w:jc w:val="center"/>
        <w:rPr>
          <w:b/>
          <w:bCs/>
          <w:color w:val="0070C0"/>
          <w:sz w:val="28"/>
          <w:szCs w:val="28"/>
        </w:rPr>
      </w:pPr>
      <w:r w:rsidRPr="58029C06">
        <w:rPr>
          <w:b/>
          <w:bCs/>
          <w:color w:val="0070C0"/>
          <w:sz w:val="28"/>
          <w:szCs w:val="28"/>
        </w:rPr>
        <w:t>Support for BMet Rail Track Maintenance Programme</w:t>
      </w:r>
    </w:p>
    <w:p w:rsidR="00D869E7" w:rsidP="004956FA" w:rsidRDefault="00D869E7" w14:paraId="6857A925" w14:textId="0600D706">
      <w:pPr>
        <w:rPr>
          <w:b/>
          <w:bCs/>
        </w:rPr>
      </w:pPr>
    </w:p>
    <w:p w:rsidR="00D869E7" w:rsidP="004956FA" w:rsidRDefault="00D869E7" w14:paraId="05DC225B" w14:textId="6BC359BB">
      <w:pPr>
        <w:rPr>
          <w:b/>
          <w:bCs/>
        </w:rPr>
      </w:pPr>
      <w:r w:rsidRPr="58029C06">
        <w:rPr>
          <w:b/>
          <w:bCs/>
        </w:rPr>
        <w:t>Issue Date</w:t>
      </w:r>
      <w:r w:rsidRPr="58029C06" w:rsidR="00164829">
        <w:rPr>
          <w:b/>
          <w:bCs/>
        </w:rPr>
        <w:t xml:space="preserve">  </w:t>
      </w:r>
      <w:r>
        <w:tab/>
      </w:r>
      <w:r>
        <w:tab/>
      </w:r>
      <w:r w:rsidR="005E0C83">
        <w:tab/>
      </w:r>
      <w:r w:rsidR="005E0C83">
        <w:t>16</w:t>
      </w:r>
      <w:r w:rsidR="006716EC">
        <w:t xml:space="preserve"> January 2023</w:t>
      </w:r>
    </w:p>
    <w:p w:rsidR="006716EC" w:rsidP="004956FA" w:rsidRDefault="00D869E7" w14:paraId="69CD80B8" w14:textId="77777777">
      <w:r w:rsidRPr="41828F70" w:rsidR="00D869E7">
        <w:rPr>
          <w:b w:val="1"/>
          <w:bCs w:val="1"/>
        </w:rPr>
        <w:t>Closing Date</w:t>
      </w:r>
      <w:r>
        <w:tab/>
      </w:r>
      <w:r>
        <w:tab/>
      </w:r>
      <w:r w:rsidRPr="41828F70" w:rsidR="00C4554A">
        <w:rPr>
          <w:b w:val="1"/>
          <w:bCs w:val="1"/>
        </w:rPr>
        <w:t xml:space="preserve"> </w:t>
      </w:r>
      <w:r>
        <w:tab/>
      </w:r>
      <w:r w:rsidR="006716EC">
        <w:rPr/>
        <w:t>10</w:t>
      </w:r>
      <w:r w:rsidRPr="41828F70" w:rsidR="006716EC">
        <w:rPr>
          <w:vertAlign w:val="superscript"/>
        </w:rPr>
        <w:t>th</w:t>
      </w:r>
      <w:r w:rsidR="006716EC">
        <w:rPr/>
        <w:t xml:space="preserve"> February 2023 </w:t>
      </w:r>
    </w:p>
    <w:p w:rsidR="00D77BEF" w:rsidP="41828F70" w:rsidRDefault="0072295E" w14:paraId="7FD4761A" w14:textId="244D2FA0">
      <w:pPr>
        <w:pStyle w:val="Normal"/>
        <w:rPr>
          <w:b w:val="1"/>
          <w:bCs w:val="1"/>
        </w:rPr>
      </w:pPr>
      <w:r w:rsidR="1F6ECF50">
        <w:rPr/>
        <w:t>Shortlist Interviews</w:t>
      </w:r>
      <w:r>
        <w:tab/>
      </w:r>
      <w:r>
        <w:tab/>
      </w:r>
      <w:r w:rsidR="1F6ECF50">
        <w:rPr/>
        <w:t>28</w:t>
      </w:r>
      <w:r w:rsidRPr="1A9E0FED" w:rsidR="1F6ECF50">
        <w:rPr>
          <w:vertAlign w:val="superscript"/>
        </w:rPr>
        <w:t xml:space="preserve">th    </w:t>
      </w:r>
      <w:r w:rsidR="492AEF9E">
        <w:rPr>
          <w:b w:val="0"/>
          <w:bCs w:val="0"/>
        </w:rPr>
        <w:t>February 2023</w:t>
      </w:r>
    </w:p>
    <w:p w:rsidR="00D77BEF" w:rsidP="41828F70" w:rsidRDefault="0072295E" w14:paraId="0298EDB2" w14:textId="54EC3EEB">
      <w:pPr>
        <w:pStyle w:val="Normal"/>
        <w:rPr>
          <w:b w:val="1"/>
          <w:bCs w:val="1"/>
        </w:rPr>
      </w:pPr>
      <w:r w:rsidRPr="1A9E0FED" w:rsidR="492AEF9E">
        <w:rPr>
          <w:b w:val="1"/>
          <w:bCs w:val="1"/>
        </w:rPr>
        <w:t>C</w:t>
      </w:r>
      <w:r w:rsidRPr="1A9E0FED" w:rsidR="0072295E">
        <w:rPr>
          <w:b w:val="1"/>
          <w:bCs w:val="1"/>
        </w:rPr>
        <w:t xml:space="preserve">ontract </w:t>
      </w:r>
      <w:r w:rsidRPr="1A9E0FED" w:rsidR="00D77BEF">
        <w:rPr>
          <w:b w:val="1"/>
          <w:bCs w:val="1"/>
        </w:rPr>
        <w:t>Award</w:t>
      </w:r>
      <w:r>
        <w:tab/>
      </w:r>
      <w:r>
        <w:tab/>
      </w:r>
      <w:r>
        <w:tab/>
      </w:r>
      <w:r w:rsidR="588500C4">
        <w:rPr/>
        <w:t>3</w:t>
      </w:r>
      <w:r w:rsidRPr="1A9E0FED" w:rsidR="588500C4">
        <w:rPr>
          <w:vertAlign w:val="superscript"/>
        </w:rPr>
        <w:t>rd</w:t>
      </w:r>
      <w:r w:rsidR="588500C4">
        <w:rPr/>
        <w:t xml:space="preserve">      </w:t>
      </w:r>
      <w:r w:rsidR="588500C4">
        <w:rPr/>
        <w:t xml:space="preserve">March </w:t>
      </w:r>
      <w:r w:rsidR="006C0635">
        <w:rPr/>
        <w:t>2023</w:t>
      </w:r>
    </w:p>
    <w:p w:rsidR="00D77BEF" w:rsidP="004956FA" w:rsidRDefault="00D77BEF" w14:paraId="0DAB8294" w14:textId="6C70E3A1">
      <w:pPr>
        <w:rPr>
          <w:b w:val="1"/>
          <w:bCs w:val="1"/>
        </w:rPr>
      </w:pPr>
      <w:r w:rsidRPr="41828F70" w:rsidR="00D77BEF">
        <w:rPr>
          <w:b w:val="1"/>
          <w:bCs w:val="1"/>
        </w:rPr>
        <w:t>Contract Start Date</w:t>
      </w:r>
      <w:r>
        <w:tab/>
      </w:r>
      <w:r>
        <w:tab/>
      </w:r>
      <w:r w:rsidR="287D6237">
        <w:rPr/>
        <w:t>20</w:t>
      </w:r>
      <w:r w:rsidRPr="41828F70" w:rsidR="287D6237">
        <w:rPr>
          <w:vertAlign w:val="superscript"/>
        </w:rPr>
        <w:t>th</w:t>
      </w:r>
      <w:r w:rsidR="287D6237">
        <w:rPr/>
        <w:t xml:space="preserve"> </w:t>
      </w:r>
      <w:r w:rsidRPr="41828F70" w:rsidR="287D6237">
        <w:rPr>
          <w:vertAlign w:val="superscript"/>
        </w:rPr>
        <w:t xml:space="preserve"> </w:t>
      </w:r>
      <w:r w:rsidR="287D6237">
        <w:rPr/>
        <w:t xml:space="preserve"> </w:t>
      </w:r>
      <w:r w:rsidR="00AB2EE8">
        <w:rPr/>
        <w:t xml:space="preserve">March </w:t>
      </w:r>
      <w:r w:rsidR="007D4501">
        <w:rPr/>
        <w:t>2023</w:t>
      </w:r>
    </w:p>
    <w:p w:rsidR="00AB1829" w:rsidP="00220C7A" w:rsidRDefault="00D77BEF" w14:paraId="125A9147" w14:textId="50BDB8F0">
      <w:pPr>
        <w:ind w:left="2160" w:hanging="2160"/>
        <w:rPr>
          <w:b/>
          <w:bCs/>
        </w:rPr>
      </w:pPr>
      <w:r>
        <w:rPr>
          <w:b/>
          <w:bCs/>
        </w:rPr>
        <w:t xml:space="preserve">Contract Duration </w:t>
      </w:r>
      <w:r>
        <w:rPr>
          <w:b/>
          <w:bCs/>
        </w:rPr>
        <w:tab/>
      </w:r>
      <w:r w:rsidR="007A2E80">
        <w:rPr>
          <w:b/>
          <w:bCs/>
        </w:rPr>
        <w:t>12 months with the ability to extend for a further 12 months and again for an additional 12 months (total 36 months)</w:t>
      </w:r>
      <w:r w:rsidR="00C52140">
        <w:rPr>
          <w:b/>
          <w:bCs/>
        </w:rPr>
        <w:t>.</w:t>
      </w:r>
    </w:p>
    <w:p w:rsidR="00AD7BA0" w:rsidP="007A2E80" w:rsidRDefault="00AD7BA0" w14:paraId="44918DFC" w14:textId="16074520">
      <w:pPr>
        <w:ind w:left="2160" w:hanging="2160"/>
        <w:rPr>
          <w:b/>
          <w:bCs/>
        </w:rPr>
      </w:pPr>
      <w:r>
        <w:rPr>
          <w:b/>
          <w:bCs/>
        </w:rPr>
        <w:t xml:space="preserve">Value of Contract </w:t>
      </w:r>
      <w:r>
        <w:rPr>
          <w:b/>
          <w:bCs/>
        </w:rPr>
        <w:tab/>
      </w:r>
      <w:r w:rsidR="00C61853">
        <w:rPr>
          <w:b/>
          <w:bCs/>
        </w:rPr>
        <w:t xml:space="preserve">Year 1 </w:t>
      </w:r>
      <w:r w:rsidR="008A3D6C">
        <w:rPr>
          <w:b/>
          <w:bCs/>
        </w:rPr>
        <w:tab/>
      </w:r>
      <w:r w:rsidR="008A3D6C">
        <w:rPr>
          <w:b/>
          <w:bCs/>
        </w:rPr>
        <w:tab/>
      </w:r>
      <w:r w:rsidR="00C61853">
        <w:rPr>
          <w:b/>
          <w:bCs/>
        </w:rPr>
        <w:t>£</w:t>
      </w:r>
      <w:r w:rsidR="005E6A09">
        <w:rPr>
          <w:b/>
          <w:bCs/>
        </w:rPr>
        <w:t>210</w:t>
      </w:r>
      <w:r w:rsidR="00C61853">
        <w:rPr>
          <w:b/>
          <w:bCs/>
        </w:rPr>
        <w:t>, 000</w:t>
      </w:r>
    </w:p>
    <w:p w:rsidR="00C61853" w:rsidP="00C61853" w:rsidRDefault="00C61853" w14:paraId="159FE448" w14:textId="3FFBC5C2">
      <w:pPr>
        <w:ind w:left="2160"/>
        <w:rPr>
          <w:b/>
          <w:bCs/>
        </w:rPr>
      </w:pPr>
      <w:r>
        <w:rPr>
          <w:b/>
          <w:bCs/>
        </w:rPr>
        <w:t xml:space="preserve">Year 2 </w:t>
      </w:r>
      <w:r w:rsidR="008A3D6C">
        <w:rPr>
          <w:b/>
          <w:bCs/>
        </w:rPr>
        <w:tab/>
      </w:r>
      <w:r w:rsidR="008A3D6C">
        <w:rPr>
          <w:b/>
          <w:bCs/>
        </w:rPr>
        <w:tab/>
      </w:r>
      <w:r>
        <w:rPr>
          <w:b/>
          <w:bCs/>
        </w:rPr>
        <w:t>£</w:t>
      </w:r>
      <w:r w:rsidR="005E6A09">
        <w:rPr>
          <w:b/>
          <w:bCs/>
        </w:rPr>
        <w:t>210</w:t>
      </w:r>
      <w:r>
        <w:rPr>
          <w:b/>
          <w:bCs/>
        </w:rPr>
        <w:t>,000</w:t>
      </w:r>
    </w:p>
    <w:p w:rsidR="00C61853" w:rsidP="00C61853" w:rsidRDefault="00C61853" w14:paraId="404A29EF" w14:textId="72D9440A">
      <w:pPr>
        <w:ind w:left="2160"/>
        <w:rPr>
          <w:b/>
          <w:bCs/>
        </w:rPr>
      </w:pPr>
      <w:r>
        <w:rPr>
          <w:b/>
          <w:bCs/>
        </w:rPr>
        <w:t xml:space="preserve">Year 3 </w:t>
      </w:r>
      <w:r w:rsidR="008A3D6C">
        <w:rPr>
          <w:b/>
          <w:bCs/>
        </w:rPr>
        <w:tab/>
      </w:r>
      <w:r w:rsidR="008A3D6C">
        <w:rPr>
          <w:b/>
          <w:bCs/>
        </w:rPr>
        <w:tab/>
      </w:r>
      <w:r>
        <w:rPr>
          <w:b/>
          <w:bCs/>
        </w:rPr>
        <w:t>£</w:t>
      </w:r>
      <w:r w:rsidR="005E6A09">
        <w:rPr>
          <w:b/>
          <w:bCs/>
        </w:rPr>
        <w:t>210</w:t>
      </w:r>
      <w:r>
        <w:rPr>
          <w:b/>
          <w:bCs/>
        </w:rPr>
        <w:t>,000</w:t>
      </w:r>
    </w:p>
    <w:p w:rsidR="00D869E7" w:rsidP="00220C7A" w:rsidRDefault="00C61853" w14:paraId="15ADC21F" w14:textId="4CA895B1">
      <w:pPr>
        <w:ind w:left="3600" w:hanging="1440"/>
        <w:rPr>
          <w:b/>
          <w:bCs/>
        </w:rPr>
      </w:pPr>
      <w:r>
        <w:rPr>
          <w:b/>
          <w:bCs/>
        </w:rPr>
        <w:t>Total Max</w:t>
      </w:r>
      <w:r>
        <w:rPr>
          <w:b/>
          <w:bCs/>
        </w:rPr>
        <w:tab/>
      </w:r>
      <w:r w:rsidR="008A3D6C">
        <w:rPr>
          <w:b/>
          <w:bCs/>
        </w:rPr>
        <w:t>£</w:t>
      </w:r>
      <w:r w:rsidR="005E6A09">
        <w:rPr>
          <w:b/>
          <w:bCs/>
        </w:rPr>
        <w:t>630</w:t>
      </w:r>
      <w:r w:rsidR="008A3D6C">
        <w:rPr>
          <w:b/>
          <w:bCs/>
        </w:rPr>
        <w:t>,000</w:t>
      </w:r>
      <w:r w:rsidR="00F53EED">
        <w:rPr>
          <w:b/>
          <w:bCs/>
        </w:rPr>
        <w:t xml:space="preserve"> </w:t>
      </w:r>
      <w:r w:rsidR="008A3D6C">
        <w:rPr>
          <w:b/>
          <w:bCs/>
        </w:rPr>
        <w:t xml:space="preserve">K </w:t>
      </w:r>
      <w:r w:rsidRPr="00AB1829" w:rsidR="008A3D6C">
        <w:rPr>
          <w:sz w:val="20"/>
          <w:szCs w:val="20"/>
        </w:rPr>
        <w:t>(</w:t>
      </w:r>
      <w:r w:rsidRPr="00AB1829" w:rsidR="00AB1829">
        <w:rPr>
          <w:sz w:val="20"/>
          <w:szCs w:val="20"/>
        </w:rPr>
        <w:t xml:space="preserve">All amounts </w:t>
      </w:r>
      <w:r w:rsidRPr="00AB1829" w:rsidR="008A3D6C">
        <w:rPr>
          <w:sz w:val="20"/>
          <w:szCs w:val="20"/>
        </w:rPr>
        <w:t>Inclusive of VAT and Disbursements)</w:t>
      </w:r>
      <w:r w:rsidR="008A3D6C">
        <w:rPr>
          <w:b/>
          <w:bCs/>
        </w:rPr>
        <w:t xml:space="preserve"> </w:t>
      </w:r>
    </w:p>
    <w:p w:rsidR="00D869E7" w:rsidP="004956FA" w:rsidRDefault="00D869E7" w14:paraId="12974705" w14:textId="2FDB98CB">
      <w:pPr>
        <w:rPr>
          <w:b/>
          <w:bCs/>
        </w:rPr>
      </w:pPr>
      <w:r>
        <w:rPr>
          <w:b/>
          <w:bCs/>
        </w:rPr>
        <w:t>Contact</w:t>
      </w:r>
      <w:r w:rsidR="00721FBD">
        <w:rPr>
          <w:b/>
          <w:bCs/>
        </w:rPr>
        <w:tab/>
      </w:r>
      <w:r w:rsidR="00721FBD">
        <w:rPr>
          <w:b/>
          <w:bCs/>
        </w:rPr>
        <w:tab/>
      </w:r>
      <w:r w:rsidR="00721FBD">
        <w:rPr>
          <w:b/>
          <w:bCs/>
        </w:rPr>
        <w:tab/>
      </w:r>
      <w:hyperlink w:history="1" r:id="rId6">
        <w:r w:rsidRPr="00075B78" w:rsidR="000B61F4">
          <w:rPr>
            <w:rStyle w:val="Hyperlink"/>
            <w:b/>
            <w:bCs/>
          </w:rPr>
          <w:t>Stephen.belling@bmet.ac.uk</w:t>
        </w:r>
      </w:hyperlink>
    </w:p>
    <w:p w:rsidR="000B61F4" w:rsidP="000B0463" w:rsidRDefault="000B61F4" w14:paraId="0A96E850" w14:textId="636F51DF">
      <w:pPr>
        <w:ind w:left="2160" w:hanging="2160"/>
        <w:rPr>
          <w:b/>
          <w:bCs/>
        </w:rPr>
      </w:pPr>
      <w:r>
        <w:rPr>
          <w:b/>
          <w:bCs/>
        </w:rPr>
        <w:t xml:space="preserve">Submission </w:t>
      </w:r>
      <w:r>
        <w:rPr>
          <w:b/>
          <w:bCs/>
        </w:rPr>
        <w:tab/>
      </w:r>
      <w:r>
        <w:rPr>
          <w:b/>
          <w:bCs/>
        </w:rPr>
        <w:t xml:space="preserve">Please submit </w:t>
      </w:r>
      <w:r w:rsidR="00C4554A">
        <w:rPr>
          <w:b/>
          <w:bCs/>
        </w:rPr>
        <w:t xml:space="preserve">quotations to Stephen Belling </w:t>
      </w:r>
      <w:r w:rsidR="000B0463">
        <w:rPr>
          <w:b/>
          <w:bCs/>
        </w:rPr>
        <w:t xml:space="preserve">via email to </w:t>
      </w:r>
      <w:hyperlink w:history="1" r:id="rId7">
        <w:r w:rsidRPr="00075B78" w:rsidR="000B0463">
          <w:rPr>
            <w:rStyle w:val="Hyperlink"/>
            <w:b/>
            <w:bCs/>
          </w:rPr>
          <w:t>Stephen.belling@bmet.ac.uk</w:t>
        </w:r>
      </w:hyperlink>
      <w:r w:rsidR="000B0463">
        <w:rPr>
          <w:b/>
          <w:bCs/>
        </w:rPr>
        <w:t xml:space="preserve"> including </w:t>
      </w:r>
    </w:p>
    <w:p w:rsidR="000B0463" w:rsidP="000B0463" w:rsidRDefault="0039357F" w14:paraId="40A4B539" w14:textId="0501D13C">
      <w:pPr>
        <w:pStyle w:val="ListParagraph"/>
        <w:numPr>
          <w:ilvl w:val="0"/>
          <w:numId w:val="4"/>
        </w:numPr>
        <w:rPr>
          <w:b/>
          <w:bCs/>
        </w:rPr>
      </w:pPr>
      <w:r>
        <w:rPr>
          <w:b/>
          <w:bCs/>
        </w:rPr>
        <w:t>Completed Quotation Form</w:t>
      </w:r>
    </w:p>
    <w:p w:rsidRPr="000B0463" w:rsidR="0039357F" w:rsidP="000B0463" w:rsidRDefault="0039357F" w14:paraId="17DFD3A8" w14:textId="242D185C">
      <w:pPr>
        <w:pStyle w:val="ListParagraph"/>
        <w:numPr>
          <w:ilvl w:val="0"/>
          <w:numId w:val="4"/>
        </w:numPr>
        <w:rPr>
          <w:b/>
          <w:bCs/>
        </w:rPr>
      </w:pPr>
      <w:r>
        <w:rPr>
          <w:b/>
          <w:bCs/>
        </w:rPr>
        <w:t xml:space="preserve">Completed PQQ and Due Diligence Check List </w:t>
      </w:r>
    </w:p>
    <w:p w:rsidR="00307734" w:rsidP="004956FA" w:rsidRDefault="00307734" w14:paraId="3E2BDCED" w14:textId="6D56F15F">
      <w:pPr>
        <w:rPr>
          <w:b/>
          <w:bCs/>
        </w:rPr>
      </w:pPr>
    </w:p>
    <w:p w:rsidR="00C17AA8" w:rsidP="004956FA" w:rsidRDefault="00C17AA8" w14:paraId="3B76C6A5" w14:textId="0F8971DA">
      <w:pPr>
        <w:rPr>
          <w:b/>
          <w:bCs/>
        </w:rPr>
      </w:pPr>
      <w:r>
        <w:rPr>
          <w:b/>
          <w:bCs/>
        </w:rPr>
        <w:t xml:space="preserve">Background Information </w:t>
      </w:r>
    </w:p>
    <w:p w:rsidR="00DD2E40" w:rsidP="004956FA" w:rsidRDefault="00307734" w14:paraId="71514BA0" w14:textId="77777777">
      <w:r>
        <w:t xml:space="preserve">Birmingham </w:t>
      </w:r>
      <w:r w:rsidR="008457FE">
        <w:t>Metropolitan</w:t>
      </w:r>
      <w:r w:rsidR="004956FA">
        <w:t xml:space="preserve"> </w:t>
      </w:r>
      <w:r w:rsidR="003B7166">
        <w:t>C</w:t>
      </w:r>
      <w:r w:rsidR="004956FA">
        <w:t>ollege</w:t>
      </w:r>
      <w:r w:rsidR="003B7166">
        <w:t xml:space="preserve"> (“BMet”)</w:t>
      </w:r>
      <w:r w:rsidR="004956FA">
        <w:t xml:space="preserve"> is a large further education college situated over 3 main sites and 3 smaller locations across Birmingham.  The college </w:t>
      </w:r>
      <w:r w:rsidR="007360A0">
        <w:t xml:space="preserve">serves approximately 12000 </w:t>
      </w:r>
      <w:r w:rsidR="00F9025A">
        <w:t xml:space="preserve">learners across the West Midlands </w:t>
      </w:r>
      <w:r w:rsidR="00655872">
        <w:t xml:space="preserve">helping them to achieve their learning objectives and </w:t>
      </w:r>
      <w:r w:rsidR="006E7590">
        <w:t xml:space="preserve">secure employment. </w:t>
      </w:r>
    </w:p>
    <w:p w:rsidR="00183F6D" w:rsidP="00183F6D" w:rsidRDefault="00C22D23" w14:paraId="03DE8859" w14:textId="20CBBEFA">
      <w:r>
        <w:t xml:space="preserve">BMet has established a </w:t>
      </w:r>
      <w:r w:rsidR="00183F6D">
        <w:t xml:space="preserve">Rail Academy </w:t>
      </w:r>
      <w:r>
        <w:t xml:space="preserve">which </w:t>
      </w:r>
      <w:r w:rsidR="00183F6D">
        <w:t>is built up of two qualifications which come together to provide learners with the necessary skills to be able to carry out track maintenance within the rail sector</w:t>
      </w:r>
      <w:r w:rsidR="006E6E0E">
        <w:t>:</w:t>
      </w:r>
    </w:p>
    <w:p w:rsidR="00183F6D" w:rsidP="00183F6D" w:rsidRDefault="00183F6D" w14:paraId="1B999513" w14:textId="5F71DB40">
      <w:r w:rsidRPr="006E6E0E">
        <w:rPr>
          <w:b/>
          <w:bCs/>
        </w:rPr>
        <w:t>Rail Engineering Track Maintenance</w:t>
      </w:r>
      <w:r>
        <w:t xml:space="preserve"> – this qualification involves the skills and knowledge needed for working in railway engineering track maintenance. NVQs are based on national occupational standards, which the learner must meet to be competent in a particular task. The achievement of NVQs will develop their skills and potential within the railway engineering track maintenance field.</w:t>
      </w:r>
    </w:p>
    <w:p w:rsidR="00183F6D" w:rsidP="00183F6D" w:rsidRDefault="00183F6D" w14:paraId="6DF8B7F1" w14:textId="2B815EFC">
      <w:r w:rsidRPr="006E6E0E">
        <w:rPr>
          <w:b/>
          <w:bCs/>
        </w:rPr>
        <w:lastRenderedPageBreak/>
        <w:t>Rail Engineering Underpinning Knowledge</w:t>
      </w:r>
      <w:r>
        <w:t xml:space="preserve"> – this qualifications purpose is to provide candidates with sufficient knowledge, understanding and practical skills to introduce them to the industry and prepare them to undertake the NVQ.</w:t>
      </w:r>
    </w:p>
    <w:p w:rsidR="00183F6D" w:rsidP="00183F6D" w:rsidRDefault="00183F6D" w14:paraId="4EC65171" w14:textId="433C9DB1">
      <w:r>
        <w:t>Some of the top areas covered are Railway Civil Engineering, Track Engineering, Track Engineering Maintenance, Railway infrastructure – Overhead Line Equipment Construction, Railway infrastructure – Function and characteristics of railway signalling systems and Railway signalling systems testing and maintenance.</w:t>
      </w:r>
    </w:p>
    <w:p w:rsidR="00107A07" w:rsidP="619DA67F" w:rsidRDefault="00EC5C68" w14:paraId="7104F1D0" w14:textId="58EF0097">
      <w:r>
        <w:t>To support its provision</w:t>
      </w:r>
      <w:r w:rsidR="00424373">
        <w:t>.</w:t>
      </w:r>
      <w:r>
        <w:t xml:space="preserve"> BMet is looking </w:t>
      </w:r>
      <w:r w:rsidR="00107A07">
        <w:t>for an organisation to support its delivery by providing</w:t>
      </w:r>
      <w:r w:rsidR="00CE59C7">
        <w:t xml:space="preserve"> and organising </w:t>
      </w:r>
      <w:r w:rsidR="00107A07">
        <w:t>for its learners</w:t>
      </w:r>
      <w:r w:rsidR="00CE59C7">
        <w:t xml:space="preserve">: </w:t>
      </w:r>
      <w:r w:rsidR="00107A07">
        <w:t xml:space="preserve"> </w:t>
      </w:r>
    </w:p>
    <w:p w:rsidR="00CE59C7" w:rsidP="00CE59C7" w:rsidRDefault="00CE59C7" w14:paraId="3F998F88" w14:textId="34AE9DE7">
      <w:pPr>
        <w:pStyle w:val="ListParagraph"/>
        <w:numPr>
          <w:ilvl w:val="0"/>
          <w:numId w:val="5"/>
        </w:numPr>
      </w:pPr>
      <w:r>
        <w:t>Drug and Alcohol Testing and General Medicals</w:t>
      </w:r>
    </w:p>
    <w:p w:rsidR="00CE59C7" w:rsidP="00CE59C7" w:rsidRDefault="00CE59C7" w14:paraId="616B76F3" w14:textId="7F245FED">
      <w:pPr>
        <w:pStyle w:val="ListParagraph"/>
        <w:numPr>
          <w:ilvl w:val="0"/>
          <w:numId w:val="5"/>
        </w:numPr>
      </w:pPr>
      <w:r>
        <w:t>Employment outcome Sponsorship</w:t>
      </w:r>
    </w:p>
    <w:p w:rsidR="00CE59C7" w:rsidP="00CE59C7" w:rsidRDefault="00CE59C7" w14:paraId="2AE2C6A5" w14:textId="217DE3CE">
      <w:pPr>
        <w:pStyle w:val="ListParagraph"/>
        <w:numPr>
          <w:ilvl w:val="0"/>
          <w:numId w:val="5"/>
        </w:numPr>
      </w:pPr>
      <w:r>
        <w:t>E- Learning in advance of Personal Track Safety assessments</w:t>
      </w:r>
    </w:p>
    <w:p w:rsidR="00CE59C7" w:rsidP="00CE59C7" w:rsidRDefault="00CE59C7" w14:paraId="58EB81C7" w14:textId="77777777">
      <w:pPr>
        <w:pStyle w:val="ListParagraph"/>
        <w:numPr>
          <w:ilvl w:val="0"/>
          <w:numId w:val="5"/>
        </w:numPr>
        <w:rPr/>
      </w:pPr>
      <w:r w:rsidR="00CE59C7">
        <w:rPr/>
        <w:t>Personal Track Safety assessments</w:t>
      </w:r>
    </w:p>
    <w:p w:rsidR="00CD4568" w:rsidP="004956FA" w:rsidRDefault="00E7340E" w14:paraId="3538FEC9" w14:textId="6DDB44F4">
      <w:r w:rsidR="00E7340E">
        <w:rPr/>
        <w:t xml:space="preserve">As this training is provided with the assistance of funding from </w:t>
      </w:r>
      <w:r w:rsidR="00EF3C35">
        <w:rPr/>
        <w:t xml:space="preserve">the Education and Skills Funding Agency and The West Midlands Combined Authority, </w:t>
      </w:r>
      <w:r w:rsidR="002356D9">
        <w:rPr/>
        <w:t xml:space="preserve">BMet </w:t>
      </w:r>
      <w:r w:rsidR="007772CE">
        <w:rPr/>
        <w:t>is required to</w:t>
      </w:r>
      <w:r w:rsidR="00CD4568">
        <w:rPr/>
        <w:t xml:space="preserve">: - </w:t>
      </w:r>
    </w:p>
    <w:p w:rsidR="00057B53" w:rsidP="00057B53" w:rsidRDefault="00CD4568" w14:paraId="6F82918E" w14:textId="77777777">
      <w:pPr>
        <w:pStyle w:val="ListParagraph"/>
        <w:numPr>
          <w:ilvl w:val="0"/>
          <w:numId w:val="6"/>
        </w:numPr>
      </w:pPr>
      <w:r>
        <w:t>comply with the terms and conditions of Funding Agreements</w:t>
      </w:r>
      <w:r w:rsidR="00057B53">
        <w:t xml:space="preserve"> with each organisation </w:t>
      </w:r>
    </w:p>
    <w:p w:rsidR="00057B53" w:rsidP="004956FA" w:rsidRDefault="007772CE" w14:paraId="46DB3F8E" w14:textId="77777777">
      <w:pPr>
        <w:pStyle w:val="ListParagraph"/>
        <w:numPr>
          <w:ilvl w:val="0"/>
          <w:numId w:val="6"/>
        </w:numPr>
      </w:pPr>
      <w:r>
        <w:t xml:space="preserve">undertake a robust </w:t>
      </w:r>
      <w:r w:rsidR="007371B6">
        <w:t xml:space="preserve">due diligence exercise and </w:t>
      </w:r>
    </w:p>
    <w:p w:rsidR="001E5457" w:rsidP="004956FA" w:rsidRDefault="007371B6" w14:paraId="24FC7B85" w14:textId="01EB9C63">
      <w:pPr>
        <w:pStyle w:val="ListParagraph"/>
        <w:numPr>
          <w:ilvl w:val="0"/>
          <w:numId w:val="6"/>
        </w:numPr>
      </w:pPr>
      <w:r>
        <w:t>enter into a detailed subcontract agreement.</w:t>
      </w:r>
    </w:p>
    <w:p w:rsidR="00AD7BA0" w:rsidP="000967AD" w:rsidRDefault="000967AD" w14:paraId="23CF2405" w14:textId="74E1726E">
      <w:r>
        <w:t xml:space="preserve">Please note </w:t>
      </w:r>
      <w:r w:rsidR="00AD7BA0">
        <w:t>BMet reserves the right not to award a contract.</w:t>
      </w:r>
    </w:p>
    <w:p w:rsidR="005224F8" w:rsidP="004956FA" w:rsidRDefault="00C17AA8" w14:paraId="03235118" w14:textId="49EEC254">
      <w:r>
        <w:t>Interested parties are required to</w:t>
      </w:r>
      <w:r w:rsidR="00674F73">
        <w:t xml:space="preserve"> complete</w:t>
      </w:r>
      <w:r w:rsidR="005224F8">
        <w:t xml:space="preserve">: - </w:t>
      </w:r>
    </w:p>
    <w:p w:rsidR="005224F8" w:rsidP="005224F8" w:rsidRDefault="001E5457" w14:paraId="51825290" w14:textId="38568B2C">
      <w:pPr>
        <w:pStyle w:val="ListParagraph"/>
        <w:numPr>
          <w:ilvl w:val="0"/>
          <w:numId w:val="2"/>
        </w:numPr>
      </w:pPr>
      <w:r>
        <w:t>T</w:t>
      </w:r>
      <w:r w:rsidR="005224F8">
        <w:t xml:space="preserve">he Quotation Form </w:t>
      </w:r>
    </w:p>
    <w:p w:rsidR="005224F8" w:rsidP="005224F8" w:rsidRDefault="005224F8" w14:paraId="25B2BCFD" w14:textId="54052525">
      <w:pPr>
        <w:pStyle w:val="ListParagraph"/>
        <w:numPr>
          <w:ilvl w:val="0"/>
          <w:numId w:val="2"/>
        </w:numPr>
      </w:pPr>
      <w:r>
        <w:t xml:space="preserve">The PQQ and Due Diligence Check List </w:t>
      </w:r>
    </w:p>
    <w:p w:rsidRPr="00DD2E40" w:rsidR="00E136F1" w:rsidP="00E136F1" w:rsidRDefault="00E136F1" w14:paraId="646ED23B" w14:textId="6D9AE46B">
      <w:pPr>
        <w:rPr>
          <w:b/>
          <w:bCs/>
        </w:rPr>
      </w:pPr>
      <w:r w:rsidRPr="00DD2E40">
        <w:rPr>
          <w:b/>
          <w:bCs/>
        </w:rPr>
        <w:t xml:space="preserve">Scoring </w:t>
      </w:r>
    </w:p>
    <w:tbl>
      <w:tblPr>
        <w:tblStyle w:val="TableGrid"/>
        <w:tblW w:w="0" w:type="auto"/>
        <w:tblLook w:val="04A0" w:firstRow="1" w:lastRow="0" w:firstColumn="1" w:lastColumn="0" w:noHBand="0" w:noVBand="1"/>
      </w:tblPr>
      <w:tblGrid>
        <w:gridCol w:w="3539"/>
        <w:gridCol w:w="2552"/>
        <w:gridCol w:w="2552"/>
      </w:tblGrid>
      <w:tr w:rsidR="00123521" w:rsidTr="1A9E0FED" w14:paraId="7F3B7C03" w14:textId="77777777">
        <w:tc>
          <w:tcPr>
            <w:tcW w:w="3539" w:type="dxa"/>
            <w:shd w:val="clear" w:color="auto" w:fill="BFBFBF" w:themeFill="background1" w:themeFillShade="BF"/>
            <w:tcMar/>
          </w:tcPr>
          <w:p w:rsidR="00123521" w:rsidP="00DF1B84" w:rsidRDefault="00E136F1" w14:paraId="0698EB65" w14:textId="0E56350F">
            <w:pPr>
              <w:rPr>
                <w:b/>
                <w:bCs/>
              </w:rPr>
            </w:pPr>
            <w:r>
              <w:rPr>
                <w:b/>
                <w:bCs/>
              </w:rPr>
              <w:t>C</w:t>
            </w:r>
            <w:r w:rsidR="00123521">
              <w:rPr>
                <w:b/>
                <w:bCs/>
              </w:rPr>
              <w:t>riteria</w:t>
            </w:r>
          </w:p>
        </w:tc>
        <w:tc>
          <w:tcPr>
            <w:tcW w:w="2552" w:type="dxa"/>
            <w:shd w:val="clear" w:color="auto" w:fill="BFBFBF" w:themeFill="background1" w:themeFillShade="BF"/>
            <w:tcMar/>
          </w:tcPr>
          <w:p w:rsidR="00123521" w:rsidP="00DF1B84" w:rsidRDefault="00BE4BE7" w14:paraId="1961F1E3" w14:textId="71B2E564">
            <w:pPr>
              <w:rPr>
                <w:b/>
                <w:bCs/>
              </w:rPr>
            </w:pPr>
            <w:r>
              <w:rPr>
                <w:b/>
                <w:bCs/>
              </w:rPr>
              <w:t>Reference Document</w:t>
            </w:r>
          </w:p>
        </w:tc>
        <w:tc>
          <w:tcPr>
            <w:tcW w:w="2552" w:type="dxa"/>
            <w:shd w:val="clear" w:color="auto" w:fill="BFBFBF" w:themeFill="background1" w:themeFillShade="BF"/>
            <w:tcMar/>
          </w:tcPr>
          <w:p w:rsidR="00123521" w:rsidP="00DF1B84" w:rsidRDefault="00123521" w14:paraId="338B39F7" w14:textId="0F7F1554">
            <w:pPr>
              <w:rPr>
                <w:b/>
                <w:bCs/>
              </w:rPr>
            </w:pPr>
            <w:r>
              <w:rPr>
                <w:b/>
                <w:bCs/>
              </w:rPr>
              <w:t xml:space="preserve">%Weighting </w:t>
            </w:r>
          </w:p>
        </w:tc>
      </w:tr>
      <w:tr w:rsidR="00CA42EE" w:rsidTr="1A9E0FED" w14:paraId="4F2A6CB4" w14:textId="77777777">
        <w:tc>
          <w:tcPr>
            <w:tcW w:w="3539" w:type="dxa"/>
            <w:shd w:val="clear" w:color="auto" w:fill="auto"/>
            <w:tcMar/>
          </w:tcPr>
          <w:p w:rsidR="00CA42EE" w:rsidRDefault="00CA42EE" w14:paraId="69D82C76" w14:textId="1233E97E">
            <w:r>
              <w:t xml:space="preserve">PQQ and Due Diligence Check </w:t>
            </w:r>
          </w:p>
        </w:tc>
        <w:tc>
          <w:tcPr>
            <w:tcW w:w="2552" w:type="dxa"/>
            <w:shd w:val="clear" w:color="auto" w:fill="auto"/>
            <w:tcMar/>
          </w:tcPr>
          <w:p w:rsidRPr="00DD2E40" w:rsidR="00CA42EE" w:rsidP="619DA67F" w:rsidRDefault="00DD2E40" w14:paraId="252E9E42" w14:textId="10837646">
            <w:r w:rsidRPr="00DD2E40">
              <w:t>PQQ and Due Diligence Form</w:t>
            </w:r>
          </w:p>
        </w:tc>
        <w:tc>
          <w:tcPr>
            <w:tcW w:w="2552" w:type="dxa"/>
            <w:shd w:val="clear" w:color="auto" w:fill="auto"/>
            <w:tcMar/>
          </w:tcPr>
          <w:p w:rsidRPr="00DD2E40" w:rsidR="00CA42EE" w:rsidP="619DA67F" w:rsidRDefault="006B6A72" w14:paraId="087A1954" w14:textId="4ADAD859">
            <w:r w:rsidRPr="00DD2E40">
              <w:t xml:space="preserve">Pass/ Fail </w:t>
            </w:r>
          </w:p>
        </w:tc>
      </w:tr>
      <w:tr w:rsidR="2425C263" w:rsidTr="1A9E0FED" w14:paraId="664AF915">
        <w:trPr>
          <w:trHeight w:val="300"/>
        </w:trPr>
        <w:tc>
          <w:tcPr>
            <w:tcW w:w="3539" w:type="dxa"/>
            <w:shd w:val="clear" w:color="auto" w:fill="auto"/>
            <w:tcMar/>
          </w:tcPr>
          <w:p w:rsidR="4DB054F6" w:rsidP="2425C263" w:rsidRDefault="4DB054F6" w14:paraId="77CC450F" w14:textId="1F06F845">
            <w:pPr>
              <w:pStyle w:val="Normal"/>
            </w:pPr>
            <w:r w:rsidR="4DB054F6">
              <w:rPr/>
              <w:t xml:space="preserve">WMCA Approval of potential Contractor </w:t>
            </w:r>
          </w:p>
        </w:tc>
        <w:tc>
          <w:tcPr>
            <w:tcW w:w="2552" w:type="dxa"/>
            <w:shd w:val="clear" w:color="auto" w:fill="auto"/>
            <w:tcMar/>
          </w:tcPr>
          <w:p w:rsidR="4DB054F6" w:rsidP="2425C263" w:rsidRDefault="4DB054F6" w14:paraId="53E32E7A" w14:textId="207B1AD1">
            <w:pPr>
              <w:pStyle w:val="Normal"/>
            </w:pPr>
            <w:r w:rsidR="4DB054F6">
              <w:rPr/>
              <w:t xml:space="preserve">WMCA notification </w:t>
            </w:r>
          </w:p>
        </w:tc>
        <w:tc>
          <w:tcPr>
            <w:tcW w:w="2552" w:type="dxa"/>
            <w:shd w:val="clear" w:color="auto" w:fill="auto"/>
            <w:tcMar/>
          </w:tcPr>
          <w:p w:rsidR="4DB054F6" w:rsidP="2425C263" w:rsidRDefault="4DB054F6" w14:paraId="69F9470B" w14:textId="40D24F5F">
            <w:pPr>
              <w:pStyle w:val="Normal"/>
            </w:pPr>
            <w:r w:rsidR="4DB054F6">
              <w:rPr/>
              <w:t>Pass/ fail</w:t>
            </w:r>
          </w:p>
        </w:tc>
      </w:tr>
      <w:tr w:rsidR="2425C263" w:rsidTr="1A9E0FED" w14:paraId="28428B0D">
        <w:trPr>
          <w:trHeight w:val="300"/>
        </w:trPr>
        <w:tc>
          <w:tcPr>
            <w:tcW w:w="3539" w:type="dxa"/>
            <w:shd w:val="clear" w:color="auto" w:fill="auto"/>
            <w:tcMar/>
          </w:tcPr>
          <w:p w:rsidR="4DB054F6" w:rsidP="2425C263" w:rsidRDefault="4DB054F6" w14:paraId="1BCF5606" w14:textId="7AEE8F9F">
            <w:pPr>
              <w:pStyle w:val="Normal"/>
            </w:pPr>
            <w:r w:rsidR="4DB054F6">
              <w:rPr/>
              <w:t xml:space="preserve">ESFA Approval of </w:t>
            </w:r>
            <w:r w:rsidR="4DB054F6">
              <w:rPr/>
              <w:t>potential Contractor</w:t>
            </w:r>
          </w:p>
        </w:tc>
        <w:tc>
          <w:tcPr>
            <w:tcW w:w="2552" w:type="dxa"/>
            <w:shd w:val="clear" w:color="auto" w:fill="auto"/>
            <w:tcMar/>
          </w:tcPr>
          <w:p w:rsidR="4DB054F6" w:rsidP="2425C263" w:rsidRDefault="4DB054F6" w14:paraId="4CD99EFD" w14:textId="1267BAC8">
            <w:pPr>
              <w:pStyle w:val="Normal"/>
            </w:pPr>
            <w:r w:rsidR="4DB054F6">
              <w:rPr/>
              <w:t xml:space="preserve">ESFA notification </w:t>
            </w:r>
          </w:p>
        </w:tc>
        <w:tc>
          <w:tcPr>
            <w:tcW w:w="2552" w:type="dxa"/>
            <w:shd w:val="clear" w:color="auto" w:fill="auto"/>
            <w:tcMar/>
          </w:tcPr>
          <w:p w:rsidR="4DB054F6" w:rsidP="2425C263" w:rsidRDefault="4DB054F6" w14:paraId="2DEEEFE9" w14:textId="12179081">
            <w:pPr>
              <w:pStyle w:val="Normal"/>
            </w:pPr>
            <w:r w:rsidR="4DB054F6">
              <w:rPr/>
              <w:t xml:space="preserve">Pass/ fail </w:t>
            </w:r>
          </w:p>
        </w:tc>
      </w:tr>
      <w:tr w:rsidR="00AD7BA0" w:rsidTr="1A9E0FED" w14:paraId="0077C16A" w14:textId="77777777">
        <w:tc>
          <w:tcPr>
            <w:tcW w:w="3539" w:type="dxa"/>
            <w:tcMar/>
          </w:tcPr>
          <w:p w:rsidRPr="00122214" w:rsidR="00AD7BA0" w:rsidP="00DF1B84" w:rsidRDefault="00AD7BA0" w14:paraId="02FC0C3A" w14:textId="6E7867A1">
            <w:r>
              <w:t>Quality of offer</w:t>
            </w:r>
          </w:p>
        </w:tc>
        <w:tc>
          <w:tcPr>
            <w:tcW w:w="2552" w:type="dxa"/>
            <w:vMerge w:val="restart"/>
            <w:tcMar/>
          </w:tcPr>
          <w:p w:rsidRPr="00DD2E40" w:rsidR="00AD7BA0" w:rsidP="00DF1B84" w:rsidRDefault="00AD7BA0" w14:paraId="52AD71EB" w14:textId="77777777"/>
          <w:p w:rsidRPr="00DD2E40" w:rsidR="00AD7BA0" w:rsidP="00DF1B84" w:rsidRDefault="00AD7BA0" w14:paraId="4F5EC003" w14:textId="6917434F">
            <w:r w:rsidR="00AD7BA0">
              <w:rPr/>
              <w:t xml:space="preserve">The Quotation Form </w:t>
            </w:r>
            <w:r w:rsidR="1617EFE8">
              <w:rPr/>
              <w:t xml:space="preserve">&amp; Interview </w:t>
            </w:r>
          </w:p>
        </w:tc>
        <w:tc>
          <w:tcPr>
            <w:tcW w:w="2552" w:type="dxa"/>
            <w:tcMar/>
          </w:tcPr>
          <w:p w:rsidRPr="00DD2E40" w:rsidR="00AD7BA0" w:rsidP="00DF1B84" w:rsidRDefault="005551E6" w14:paraId="1A6DC6FE" w14:textId="20954DF6">
            <w:r w:rsidR="4AA450C8">
              <w:rPr/>
              <w:t>20%</w:t>
            </w:r>
          </w:p>
        </w:tc>
      </w:tr>
      <w:tr w:rsidR="00AD7BA0" w:rsidTr="1A9E0FED" w14:paraId="4C6036AA" w14:textId="77777777">
        <w:tc>
          <w:tcPr>
            <w:tcW w:w="3539" w:type="dxa"/>
            <w:tcMar/>
          </w:tcPr>
          <w:p w:rsidRPr="00122214" w:rsidR="00AD7BA0" w:rsidP="00DF1B84" w:rsidRDefault="00AD7BA0" w14:paraId="0D43C066" w14:textId="77777777">
            <w:r>
              <w:t xml:space="preserve">Experience </w:t>
            </w:r>
          </w:p>
        </w:tc>
        <w:tc>
          <w:tcPr>
            <w:tcW w:w="2552" w:type="dxa"/>
            <w:vMerge/>
            <w:tcMar/>
          </w:tcPr>
          <w:p w:rsidRPr="00DD2E40" w:rsidR="00AD7BA0" w:rsidP="00DF1B84" w:rsidRDefault="00AD7BA0" w14:paraId="12244A3E" w14:textId="15703EB4"/>
        </w:tc>
        <w:tc>
          <w:tcPr>
            <w:tcW w:w="2552" w:type="dxa"/>
            <w:tcMar/>
          </w:tcPr>
          <w:p w:rsidRPr="00DD2E40" w:rsidR="00AD7BA0" w:rsidP="00DF1B84" w:rsidRDefault="009C57B3" w14:paraId="7B38C811" w14:textId="172DD583">
            <w:r w:rsidR="3033CE2B">
              <w:rPr/>
              <w:t>20%</w:t>
            </w:r>
          </w:p>
        </w:tc>
      </w:tr>
      <w:tr w:rsidR="00AD7BA0" w:rsidTr="1A9E0FED" w14:paraId="10A7CCA1" w14:textId="77777777">
        <w:tc>
          <w:tcPr>
            <w:tcW w:w="3539" w:type="dxa"/>
            <w:tcMar/>
          </w:tcPr>
          <w:p w:rsidRPr="00122214" w:rsidR="00AD7BA0" w:rsidP="00DF1B84" w:rsidRDefault="00AD7BA0" w14:paraId="221DEB01" w14:textId="77777777">
            <w:r>
              <w:t xml:space="preserve">Price </w:t>
            </w:r>
          </w:p>
        </w:tc>
        <w:tc>
          <w:tcPr>
            <w:tcW w:w="2552" w:type="dxa"/>
            <w:vMerge/>
            <w:tcMar/>
          </w:tcPr>
          <w:p w:rsidRPr="00DD2E40" w:rsidR="00AD7BA0" w:rsidP="00DF1B84" w:rsidRDefault="00AD7BA0" w14:paraId="7DFD616C" w14:textId="77777777"/>
        </w:tc>
        <w:tc>
          <w:tcPr>
            <w:tcW w:w="2552" w:type="dxa"/>
            <w:tcMar/>
          </w:tcPr>
          <w:p w:rsidRPr="00DD2E40" w:rsidR="00AD7BA0" w:rsidP="00DF1B84" w:rsidRDefault="005551E6" w14:paraId="70CD57A2" w14:textId="3FE4FF5E">
            <w:r>
              <w:t>70%</w:t>
            </w:r>
          </w:p>
        </w:tc>
      </w:tr>
    </w:tbl>
    <w:p w:rsidR="001C4DCD" w:rsidP="004956FA" w:rsidRDefault="001C4DCD" w14:paraId="353A6382" w14:textId="1C0839EF"/>
    <w:p w:rsidRPr="003B7166" w:rsidR="00C17AA8" w:rsidP="004956FA" w:rsidRDefault="00674F73" w14:paraId="7D7E4D75" w14:textId="1FF36878">
      <w:pPr>
        <w:rPr>
          <w:b/>
          <w:bCs/>
        </w:rPr>
      </w:pPr>
      <w:r w:rsidRPr="003B7166">
        <w:rPr>
          <w:b/>
          <w:bCs/>
        </w:rPr>
        <w:t>Link Documents</w:t>
      </w:r>
    </w:p>
    <w:p w:rsidR="00674F73" w:rsidP="00674F73" w:rsidRDefault="00674F73" w14:paraId="25052AD0" w14:textId="3AA15F45">
      <w:pPr>
        <w:pStyle w:val="ListParagraph"/>
        <w:numPr>
          <w:ilvl w:val="0"/>
          <w:numId w:val="3"/>
        </w:numPr>
      </w:pPr>
      <w:r>
        <w:t xml:space="preserve">The Quotation Form </w:t>
      </w:r>
    </w:p>
    <w:p w:rsidR="00674F73" w:rsidP="00674F73" w:rsidRDefault="00674F73" w14:paraId="5BD0A298" w14:textId="2D11F7EB">
      <w:pPr>
        <w:pStyle w:val="ListParagraph"/>
        <w:numPr>
          <w:ilvl w:val="0"/>
          <w:numId w:val="3"/>
        </w:numPr>
      </w:pPr>
      <w:r>
        <w:t>The PQQ and Due Diligence Form</w:t>
      </w:r>
    </w:p>
    <w:p w:rsidR="00E136F1" w:rsidP="00E136F1" w:rsidRDefault="00674F73" w14:paraId="4595D9AC" w14:textId="26037D00">
      <w:pPr>
        <w:pStyle w:val="ListParagraph"/>
        <w:numPr>
          <w:ilvl w:val="0"/>
          <w:numId w:val="3"/>
        </w:numPr>
      </w:pPr>
      <w:r>
        <w:t xml:space="preserve">The </w:t>
      </w:r>
      <w:r w:rsidR="003B7166">
        <w:t xml:space="preserve">Form of </w:t>
      </w:r>
      <w:r>
        <w:t xml:space="preserve">Subcontract </w:t>
      </w:r>
    </w:p>
    <w:p w:rsidRPr="004956FA" w:rsidR="00E136F1" w:rsidP="00E136F1" w:rsidRDefault="00E136F1" w14:paraId="6EDF3DBE" w14:textId="77777777"/>
    <w:p w:rsidR="004242D0" w:rsidRDefault="004242D0" w14:paraId="7B194F42" w14:textId="77777777">
      <w:pPr>
        <w:rPr>
          <w:b/>
          <w:bCs/>
        </w:rPr>
      </w:pPr>
    </w:p>
    <w:p w:rsidR="00F05345" w:rsidRDefault="00F05345" w14:paraId="207EC0D7" w14:textId="18EF4E2B">
      <w:pPr>
        <w:rPr>
          <w:b/>
          <w:bCs/>
        </w:rPr>
      </w:pPr>
    </w:p>
    <w:p w:rsidRPr="00D0582B" w:rsidR="00E54D64" w:rsidRDefault="00E54D64" w14:paraId="1C08B33F" w14:textId="77777777">
      <w:pPr>
        <w:rPr>
          <w:b/>
          <w:bCs/>
        </w:rPr>
      </w:pPr>
    </w:p>
    <w:sectPr w:rsidRPr="00D0582B" w:rsidR="00E54D64">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510319"/>
    <w:multiLevelType w:val="hybridMultilevel"/>
    <w:tmpl w:val="1DAA6430"/>
    <w:lvl w:ilvl="0" w:tplc="1E32D37E">
      <w:start w:val="1"/>
      <w:numFmt w:val="decimal"/>
      <w:lvlText w:val="%1."/>
      <w:lvlJc w:val="left"/>
      <w:pPr>
        <w:ind w:left="2520" w:hanging="360"/>
      </w:pPr>
      <w:rPr>
        <w:rFonts w:hint="default"/>
      </w:rPr>
    </w:lvl>
    <w:lvl w:ilvl="1" w:tplc="08090019" w:tentative="1">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1" w15:restartNumberingAfterBreak="0">
    <w:nsid w:val="35CA4D99"/>
    <w:multiLevelType w:val="hybridMultilevel"/>
    <w:tmpl w:val="667AD1B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3F31072F"/>
    <w:multiLevelType w:val="hybridMultilevel"/>
    <w:tmpl w:val="778EE20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4BA66BB1"/>
    <w:multiLevelType w:val="hybridMultilevel"/>
    <w:tmpl w:val="0E34370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5C85222A"/>
    <w:multiLevelType w:val="hybridMultilevel"/>
    <w:tmpl w:val="07B4D2A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712F7746"/>
    <w:multiLevelType w:val="hybridMultilevel"/>
    <w:tmpl w:val="4946544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7D073D58"/>
    <w:multiLevelType w:val="hybridMultilevel"/>
    <w:tmpl w:val="3C6EAB1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abstractNumId w:val="2"/>
  </w:num>
  <w:num w:numId="2">
    <w:abstractNumId w:val="5"/>
  </w:num>
  <w:num w:numId="3">
    <w:abstractNumId w:val="4"/>
  </w:num>
  <w:num w:numId="4">
    <w:abstractNumId w:val="0"/>
  </w:num>
  <w:num w:numId="5">
    <w:abstractNumId w:val="6"/>
  </w:num>
  <w:num w:numId="6">
    <w:abstractNumId w:val="1"/>
  </w:num>
  <w:num w:numId="7">
    <w:abstractNumId w:val="3"/>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trackRevisions w:val="false"/>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56FA"/>
    <w:rsid w:val="00014000"/>
    <w:rsid w:val="00035190"/>
    <w:rsid w:val="00057B53"/>
    <w:rsid w:val="0009241D"/>
    <w:rsid w:val="000960D9"/>
    <w:rsid w:val="000967AD"/>
    <w:rsid w:val="000A65DA"/>
    <w:rsid w:val="000B044C"/>
    <w:rsid w:val="000B0463"/>
    <w:rsid w:val="000B61F4"/>
    <w:rsid w:val="00107A07"/>
    <w:rsid w:val="00117B0D"/>
    <w:rsid w:val="00122214"/>
    <w:rsid w:val="00123521"/>
    <w:rsid w:val="0013461F"/>
    <w:rsid w:val="00150545"/>
    <w:rsid w:val="00163460"/>
    <w:rsid w:val="00164829"/>
    <w:rsid w:val="00183F6D"/>
    <w:rsid w:val="00193AEC"/>
    <w:rsid w:val="001A7015"/>
    <w:rsid w:val="001C4DCD"/>
    <w:rsid w:val="001C6C5B"/>
    <w:rsid w:val="001E5457"/>
    <w:rsid w:val="001E66E9"/>
    <w:rsid w:val="00200DA6"/>
    <w:rsid w:val="00212257"/>
    <w:rsid w:val="00220066"/>
    <w:rsid w:val="00220C5F"/>
    <w:rsid w:val="00220C7A"/>
    <w:rsid w:val="002356D9"/>
    <w:rsid w:val="002654EB"/>
    <w:rsid w:val="00275A6E"/>
    <w:rsid w:val="00282F30"/>
    <w:rsid w:val="00285036"/>
    <w:rsid w:val="002B555E"/>
    <w:rsid w:val="002C0B49"/>
    <w:rsid w:val="002D1BED"/>
    <w:rsid w:val="002E6B14"/>
    <w:rsid w:val="00307734"/>
    <w:rsid w:val="0037300C"/>
    <w:rsid w:val="0039143B"/>
    <w:rsid w:val="0039357F"/>
    <w:rsid w:val="003A43A1"/>
    <w:rsid w:val="003B7166"/>
    <w:rsid w:val="003D262F"/>
    <w:rsid w:val="004242D0"/>
    <w:rsid w:val="00424373"/>
    <w:rsid w:val="00442AEC"/>
    <w:rsid w:val="00445D83"/>
    <w:rsid w:val="00451A2A"/>
    <w:rsid w:val="00494FAD"/>
    <w:rsid w:val="004956FA"/>
    <w:rsid w:val="004A43DD"/>
    <w:rsid w:val="004C35AC"/>
    <w:rsid w:val="00515E3F"/>
    <w:rsid w:val="005224F8"/>
    <w:rsid w:val="005551E6"/>
    <w:rsid w:val="005578C5"/>
    <w:rsid w:val="00565C05"/>
    <w:rsid w:val="00592B7A"/>
    <w:rsid w:val="005B75AC"/>
    <w:rsid w:val="005D6363"/>
    <w:rsid w:val="005E0C83"/>
    <w:rsid w:val="005E6A09"/>
    <w:rsid w:val="006133D1"/>
    <w:rsid w:val="006405C1"/>
    <w:rsid w:val="006540D4"/>
    <w:rsid w:val="00655872"/>
    <w:rsid w:val="006716EC"/>
    <w:rsid w:val="00674F73"/>
    <w:rsid w:val="006900C6"/>
    <w:rsid w:val="006B6A72"/>
    <w:rsid w:val="006C0635"/>
    <w:rsid w:val="006E6E0E"/>
    <w:rsid w:val="006E7590"/>
    <w:rsid w:val="00721FBD"/>
    <w:rsid w:val="0072295E"/>
    <w:rsid w:val="007360A0"/>
    <w:rsid w:val="007371B6"/>
    <w:rsid w:val="00743555"/>
    <w:rsid w:val="00753307"/>
    <w:rsid w:val="007772CE"/>
    <w:rsid w:val="007A2E80"/>
    <w:rsid w:val="007B2524"/>
    <w:rsid w:val="007C4D31"/>
    <w:rsid w:val="007D4501"/>
    <w:rsid w:val="00806355"/>
    <w:rsid w:val="008223E8"/>
    <w:rsid w:val="00835DAE"/>
    <w:rsid w:val="0084449E"/>
    <w:rsid w:val="008457FE"/>
    <w:rsid w:val="00855B0D"/>
    <w:rsid w:val="00875944"/>
    <w:rsid w:val="00895CC5"/>
    <w:rsid w:val="008A3D6C"/>
    <w:rsid w:val="008B1A6B"/>
    <w:rsid w:val="009279D4"/>
    <w:rsid w:val="009705A5"/>
    <w:rsid w:val="009707BD"/>
    <w:rsid w:val="009800F9"/>
    <w:rsid w:val="009803C7"/>
    <w:rsid w:val="009B57E1"/>
    <w:rsid w:val="009C57B3"/>
    <w:rsid w:val="00A04B27"/>
    <w:rsid w:val="00A35A4A"/>
    <w:rsid w:val="00A44D89"/>
    <w:rsid w:val="00AB1829"/>
    <w:rsid w:val="00AB2EE8"/>
    <w:rsid w:val="00AD7BA0"/>
    <w:rsid w:val="00B02062"/>
    <w:rsid w:val="00B61A25"/>
    <w:rsid w:val="00BB29BA"/>
    <w:rsid w:val="00BD26A9"/>
    <w:rsid w:val="00BE4BE7"/>
    <w:rsid w:val="00BF5C51"/>
    <w:rsid w:val="00BF608F"/>
    <w:rsid w:val="00C120E2"/>
    <w:rsid w:val="00C17AA8"/>
    <w:rsid w:val="00C22D23"/>
    <w:rsid w:val="00C269A6"/>
    <w:rsid w:val="00C33C45"/>
    <w:rsid w:val="00C37132"/>
    <w:rsid w:val="00C4554A"/>
    <w:rsid w:val="00C52140"/>
    <w:rsid w:val="00C56814"/>
    <w:rsid w:val="00C61853"/>
    <w:rsid w:val="00C77DD0"/>
    <w:rsid w:val="00C87D9E"/>
    <w:rsid w:val="00C910F3"/>
    <w:rsid w:val="00C9393B"/>
    <w:rsid w:val="00C969B3"/>
    <w:rsid w:val="00CA42EE"/>
    <w:rsid w:val="00CA4366"/>
    <w:rsid w:val="00CD1EDF"/>
    <w:rsid w:val="00CD4568"/>
    <w:rsid w:val="00CE160A"/>
    <w:rsid w:val="00CE22EE"/>
    <w:rsid w:val="00CE59C7"/>
    <w:rsid w:val="00D0582B"/>
    <w:rsid w:val="00D13825"/>
    <w:rsid w:val="00D210A7"/>
    <w:rsid w:val="00D41B23"/>
    <w:rsid w:val="00D77BEF"/>
    <w:rsid w:val="00D77EB1"/>
    <w:rsid w:val="00D869E7"/>
    <w:rsid w:val="00DA4917"/>
    <w:rsid w:val="00DC6DF0"/>
    <w:rsid w:val="00DD2E40"/>
    <w:rsid w:val="00E136F1"/>
    <w:rsid w:val="00E42A7E"/>
    <w:rsid w:val="00E525E2"/>
    <w:rsid w:val="00E52BAB"/>
    <w:rsid w:val="00E54D64"/>
    <w:rsid w:val="00E56580"/>
    <w:rsid w:val="00E56D0C"/>
    <w:rsid w:val="00E72F9E"/>
    <w:rsid w:val="00E7340E"/>
    <w:rsid w:val="00E9082E"/>
    <w:rsid w:val="00E931A6"/>
    <w:rsid w:val="00E970D2"/>
    <w:rsid w:val="00EA24AE"/>
    <w:rsid w:val="00EC5C68"/>
    <w:rsid w:val="00EF3C35"/>
    <w:rsid w:val="00F05345"/>
    <w:rsid w:val="00F11E09"/>
    <w:rsid w:val="00F404F2"/>
    <w:rsid w:val="00F429D1"/>
    <w:rsid w:val="00F43A3A"/>
    <w:rsid w:val="00F50F00"/>
    <w:rsid w:val="00F53EED"/>
    <w:rsid w:val="00F61600"/>
    <w:rsid w:val="00F82F18"/>
    <w:rsid w:val="00F9025A"/>
    <w:rsid w:val="00FC2503"/>
    <w:rsid w:val="00FC6A21"/>
    <w:rsid w:val="05F28183"/>
    <w:rsid w:val="12B5496A"/>
    <w:rsid w:val="1617EFE8"/>
    <w:rsid w:val="1A9E0FED"/>
    <w:rsid w:val="1BB6B106"/>
    <w:rsid w:val="1F6ECF50"/>
    <w:rsid w:val="2425C263"/>
    <w:rsid w:val="287D6237"/>
    <w:rsid w:val="3033CE2B"/>
    <w:rsid w:val="3078A8B3"/>
    <w:rsid w:val="324403DA"/>
    <w:rsid w:val="3A35ED62"/>
    <w:rsid w:val="3FE6BF0F"/>
    <w:rsid w:val="403D98FA"/>
    <w:rsid w:val="41828F70"/>
    <w:rsid w:val="466C5FEE"/>
    <w:rsid w:val="492AEF9E"/>
    <w:rsid w:val="4941F71D"/>
    <w:rsid w:val="4AA450C8"/>
    <w:rsid w:val="4D6F054F"/>
    <w:rsid w:val="4DB054F6"/>
    <w:rsid w:val="58029C06"/>
    <w:rsid w:val="588500C4"/>
    <w:rsid w:val="5A4BDDDA"/>
    <w:rsid w:val="619DA67F"/>
    <w:rsid w:val="69CC45BA"/>
    <w:rsid w:val="793A5C16"/>
    <w:rsid w:val="7CD56808"/>
    <w:rsid w:val="7DE76C8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C7C094"/>
  <w15:chartTrackingRefBased/>
  <w15:docId w15:val="{49895EC1-7F06-44C5-88DB-425AABD198FD}"/>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4956FA"/>
    <w:pPr>
      <w:ind w:left="720"/>
      <w:contextualSpacing/>
    </w:pPr>
  </w:style>
  <w:style w:type="table" w:styleId="TableGrid">
    <w:name w:val="Table Grid"/>
    <w:basedOn w:val="TableNormal"/>
    <w:uiPriority w:val="39"/>
    <w:rsid w:val="00D0582B"/>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yperlink">
    <w:name w:val="Hyperlink"/>
    <w:basedOn w:val="DefaultParagraphFont"/>
    <w:uiPriority w:val="99"/>
    <w:unhideWhenUsed/>
    <w:rsid w:val="00BF608F"/>
    <w:rPr>
      <w:color w:val="0563C1" w:themeColor="hyperlink"/>
      <w:u w:val="single"/>
    </w:rPr>
  </w:style>
  <w:style w:type="character" w:styleId="UnresolvedMention">
    <w:name w:val="Unresolved Mention"/>
    <w:basedOn w:val="DefaultParagraphFont"/>
    <w:uiPriority w:val="99"/>
    <w:semiHidden/>
    <w:unhideWhenUsed/>
    <w:rsid w:val="00BF608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ettings" Target="settings.xml" Id="rId3" /><Relationship Type="http://schemas.openxmlformats.org/officeDocument/2006/relationships/hyperlink" Target="mailto:Stephen.belling@bmet.ac.uk" TargetMode="Externa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hyperlink" Target="mailto:Stephen.belling@bmet.ac.uk" TargetMode="External" Id="rId6" /><Relationship Type="http://schemas.openxmlformats.org/officeDocument/2006/relationships/image" Target="media/image1.jpeg" Id="rId5" /><Relationship Type="http://schemas.openxmlformats.org/officeDocument/2006/relationships/webSettings" Target="webSettings.xml" Id="rId4" /><Relationship Type="http://schemas.openxmlformats.org/officeDocument/2006/relationships/theme" Target="theme/theme1.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Rachel Jones</dc:creator>
  <keywords/>
  <dc:description/>
  <lastModifiedBy>Stephen Belling</lastModifiedBy>
  <revision>39</revision>
  <dcterms:created xsi:type="dcterms:W3CDTF">2022-07-11T18:17:00.0000000Z</dcterms:created>
  <dcterms:modified xsi:type="dcterms:W3CDTF">2023-01-16T17:35:59.3080968Z</dcterms:modified>
</coreProperties>
</file>