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7ED6" w14:textId="334B9A52" w:rsidR="00204EF3" w:rsidRDefault="35224A56" w:rsidP="0DF3AD4D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DF3AD4D">
        <w:rPr>
          <w:rFonts w:ascii="Arial" w:eastAsia="Arial" w:hAnsi="Arial" w:cs="Arial"/>
          <w:b/>
          <w:bCs/>
          <w:sz w:val="24"/>
          <w:szCs w:val="24"/>
          <w:u w:val="single"/>
        </w:rPr>
        <w:t>Thetford Town Council Is seeking a tender for the design and creation of heritage displays within the Guildhall</w:t>
      </w:r>
      <w:r w:rsidR="00EB210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as part of a National Heritage Lottery Fund project.</w:t>
      </w:r>
    </w:p>
    <w:p w14:paraId="18BAE86C" w14:textId="714DA800" w:rsidR="00204EF3" w:rsidRDefault="35224A56" w:rsidP="0DF3AD4D">
      <w:pPr>
        <w:jc w:val="center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  <w:u w:val="single"/>
        </w:rPr>
        <w:t>TTC/21/003</w:t>
      </w:r>
    </w:p>
    <w:p w14:paraId="58D24E73" w14:textId="6EBFD9F9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349B4F45" w14:textId="3F25CBCE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 xml:space="preserve">INTRODUCTION </w:t>
      </w:r>
    </w:p>
    <w:p w14:paraId="52E55900" w14:textId="5681F70E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7FCD3E7C" w14:textId="6FC3BEDD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Thetford Town Council were successful in securing NHLF funding for the Thetford Guildhall Heritage Hub Project.</w:t>
      </w:r>
    </w:p>
    <w:p w14:paraId="55D8E7E5" w14:textId="2BB318CA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1A0010D0">
        <w:rPr>
          <w:rFonts w:ascii="Arial" w:eastAsia="Arial" w:hAnsi="Arial" w:cs="Arial"/>
          <w:sz w:val="24"/>
          <w:szCs w:val="24"/>
        </w:rPr>
        <w:t>Within this project is the creation of displays that tell the stories of Thetford Folk and the history of the Guildhall</w:t>
      </w:r>
      <w:r w:rsidR="6920ABBC" w:rsidRPr="1A0010D0">
        <w:rPr>
          <w:rFonts w:ascii="Arial" w:eastAsia="Arial" w:hAnsi="Arial" w:cs="Arial"/>
          <w:sz w:val="24"/>
          <w:szCs w:val="24"/>
        </w:rPr>
        <w:t>, and this would need to be completed within 12 months.</w:t>
      </w:r>
      <w:r w:rsidRPr="1A0010D0">
        <w:rPr>
          <w:rFonts w:ascii="Arial" w:eastAsia="Arial" w:hAnsi="Arial" w:cs="Arial"/>
          <w:sz w:val="24"/>
          <w:szCs w:val="24"/>
        </w:rPr>
        <w:t xml:space="preserve"> </w:t>
      </w:r>
    </w:p>
    <w:p w14:paraId="3E58FA55" w14:textId="70BB769D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There are 2 rooms for display with the potential to expand into a third space. There is also a desire for mobile displays in multifunctional areas for pop up events.</w:t>
      </w:r>
    </w:p>
    <w:p w14:paraId="094D562B" w14:textId="6BE42038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  <w:u w:val="single"/>
        </w:rPr>
        <w:t>Room 1</w:t>
      </w:r>
    </w:p>
    <w:p w14:paraId="78254A84" w14:textId="5D4CB2A4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Small Court room (current name)</w:t>
      </w:r>
    </w:p>
    <w:p w14:paraId="44D1A33B" w14:textId="2744EF06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This will be;</w:t>
      </w:r>
    </w:p>
    <w:p w14:paraId="54612BAB" w14:textId="271B3E7F" w:rsidR="00204EF3" w:rsidRDefault="35224A56" w:rsidP="0DF3AD4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 A Tea Room and Heritage Hub</w:t>
      </w:r>
    </w:p>
    <w:p w14:paraId="417CD295" w14:textId="5BA111E1" w:rsidR="00204EF3" w:rsidRDefault="35224A56" w:rsidP="0DF3AD4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 Act as a jumping off point for visitors to Thetford</w:t>
      </w:r>
    </w:p>
    <w:p w14:paraId="0630B712" w14:textId="0975AF3B" w:rsidR="00204EF3" w:rsidRDefault="35224A56" w:rsidP="0DF3AD4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Tell the story of the Guildhall’s Judicial history</w:t>
      </w:r>
    </w:p>
    <w:p w14:paraId="0E36EA54" w14:textId="20AE1987" w:rsidR="00204EF3" w:rsidRDefault="35224A56" w:rsidP="0DF3AD4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Sir Joseph Williamson</w:t>
      </w:r>
    </w:p>
    <w:p w14:paraId="590202DA" w14:textId="4093CB79" w:rsidR="00204EF3" w:rsidRDefault="35224A56" w:rsidP="0DF3AD4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Holmes &amp; Cable</w:t>
      </w:r>
    </w:p>
    <w:p w14:paraId="1B4278BC" w14:textId="3C178C32" w:rsidR="00204EF3" w:rsidRDefault="00204EF3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</w:p>
    <w:p w14:paraId="00CEB905" w14:textId="0B5FD5B1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  <w:u w:val="single"/>
        </w:rPr>
        <w:t>Room 2</w:t>
      </w:r>
    </w:p>
    <w:p w14:paraId="3586165D" w14:textId="7636E364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Council Chamber (current name)</w:t>
      </w:r>
    </w:p>
    <w:p w14:paraId="57627BCD" w14:textId="0441925B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This room will tell the story of the Singh family and their civic connections to Thetford. </w:t>
      </w:r>
    </w:p>
    <w:p w14:paraId="595A2685" w14:textId="604DF523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Maharajah Duleep Singh was buried on the outskirts of Thetford at Elveden. Thetford is the 2nd most important place in the world for the Sikh community. </w:t>
      </w:r>
    </w:p>
    <w:p w14:paraId="5BE6C482" w14:textId="6A04C54C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1A0010D0">
        <w:rPr>
          <w:rFonts w:ascii="Arial" w:eastAsia="Arial" w:hAnsi="Arial" w:cs="Arial"/>
          <w:sz w:val="24"/>
          <w:szCs w:val="24"/>
        </w:rPr>
        <w:t xml:space="preserve">The steering </w:t>
      </w:r>
      <w:r w:rsidR="6A3A48F4" w:rsidRPr="1A0010D0">
        <w:rPr>
          <w:rFonts w:ascii="Arial" w:eastAsia="Arial" w:hAnsi="Arial" w:cs="Arial"/>
          <w:sz w:val="24"/>
          <w:szCs w:val="24"/>
        </w:rPr>
        <w:t xml:space="preserve">group </w:t>
      </w:r>
      <w:r w:rsidRPr="1A0010D0">
        <w:rPr>
          <w:rFonts w:ascii="Arial" w:eastAsia="Arial" w:hAnsi="Arial" w:cs="Arial"/>
          <w:sz w:val="24"/>
          <w:szCs w:val="24"/>
        </w:rPr>
        <w:t>that was set up to develop our Sikh links have expressed a wish that there should be a focus on Maharaja Ranjit Singh – the father of Duleep Singh.</w:t>
      </w:r>
    </w:p>
    <w:p w14:paraId="250E6670" w14:textId="7071230D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1A0010D0">
        <w:rPr>
          <w:rFonts w:ascii="Arial" w:eastAsia="Arial" w:hAnsi="Arial" w:cs="Arial"/>
          <w:sz w:val="24"/>
          <w:szCs w:val="24"/>
        </w:rPr>
        <w:t>Displays will be created in consultation with the project</w:t>
      </w:r>
      <w:r w:rsidR="1B927B9D" w:rsidRPr="1A0010D0">
        <w:rPr>
          <w:rFonts w:ascii="Arial" w:eastAsia="Arial" w:hAnsi="Arial" w:cs="Arial"/>
          <w:sz w:val="24"/>
          <w:szCs w:val="24"/>
        </w:rPr>
        <w:t>’</w:t>
      </w:r>
      <w:r w:rsidRPr="1A0010D0">
        <w:rPr>
          <w:rFonts w:ascii="Arial" w:eastAsia="Arial" w:hAnsi="Arial" w:cs="Arial"/>
          <w:sz w:val="24"/>
          <w:szCs w:val="24"/>
        </w:rPr>
        <w:t xml:space="preserve">s Sikh Steering Group </w:t>
      </w:r>
    </w:p>
    <w:p w14:paraId="1E60275A" w14:textId="686F324F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79E1BF37" w14:textId="0C102593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  <w:u w:val="single"/>
        </w:rPr>
        <w:t>Room 3 (possible so please quote separately)</w:t>
      </w:r>
    </w:p>
    <w:p w14:paraId="3C4932F9" w14:textId="164E5A0C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Large Court (current name)</w:t>
      </w:r>
    </w:p>
    <w:p w14:paraId="4FAB2EC3" w14:textId="4EC26EB2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This is a multifunctional room that will be used for a wide variety of community uses.</w:t>
      </w:r>
    </w:p>
    <w:p w14:paraId="0B93876E" w14:textId="1DFAEBDA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There is possibility of using this space for some interpretation/display for and /or </w:t>
      </w:r>
    </w:p>
    <w:p w14:paraId="1496F29D" w14:textId="5DF143CF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mobile exhibits. </w:t>
      </w:r>
    </w:p>
    <w:p w14:paraId="02CFEE0E" w14:textId="03FC250D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A town of firsts</w:t>
      </w:r>
    </w:p>
    <w:p w14:paraId="635C4E48" w14:textId="44AC09C0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Rod and mace the same design as Parliaments</w:t>
      </w:r>
    </w:p>
    <w:p w14:paraId="2BD9DB7C" w14:textId="13EE9D71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Henry Fitzroy</w:t>
      </w:r>
    </w:p>
    <w:p w14:paraId="0633F4DE" w14:textId="0626C34D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Boudicca</w:t>
      </w:r>
    </w:p>
    <w:p w14:paraId="75CE308E" w14:textId="293FCC4F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Sweyne Forkbeard</w:t>
      </w:r>
    </w:p>
    <w:p w14:paraId="1E4100FD" w14:textId="1CC332D6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Howard family (early Dukes of Norfolk)</w:t>
      </w:r>
    </w:p>
    <w:p w14:paraId="3A97CB55" w14:textId="3331D1AF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68236646" w14:textId="13514098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Please list prices of the different mediums, such as talking pictures, augmented</w:t>
      </w:r>
    </w:p>
    <w:p w14:paraId="3E03748E" w14:textId="65170C81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 reality, audio visual and information boards. </w:t>
      </w:r>
    </w:p>
    <w:p w14:paraId="1B23A2FC" w14:textId="5B91ED24" w:rsidR="00204EF3" w:rsidRDefault="00204EF3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</w:p>
    <w:p w14:paraId="6573B906" w14:textId="2294D180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 xml:space="preserve">There is a budget of £30-40k </w:t>
      </w:r>
    </w:p>
    <w:p w14:paraId="32DEBBC3" w14:textId="7CB4D508" w:rsidR="00204EF3" w:rsidRDefault="02E73442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The available funding is limited, however, there may be some fundraising activities that could add to this.</w:t>
      </w:r>
    </w:p>
    <w:p w14:paraId="324D57A6" w14:textId="0180E0AC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56F539D7" w14:textId="0377A2FC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Site visits are considered essential and available on request.</w:t>
      </w:r>
    </w:p>
    <w:p w14:paraId="6217ECBD" w14:textId="279FD5FB" w:rsidR="00204EF3" w:rsidRDefault="35224A56" w:rsidP="0DF3AD4D">
      <w:pPr>
        <w:ind w:left="360" w:hanging="36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Please contact David Brooks 07553388554</w:t>
      </w:r>
    </w:p>
    <w:p w14:paraId="117168FC" w14:textId="77777777" w:rsidR="006B2736" w:rsidRDefault="006B2736" w:rsidP="0DF3AD4D">
      <w:pPr>
        <w:spacing w:after="20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73986E0" w14:textId="63E0E081" w:rsidR="00204EF3" w:rsidRDefault="35224A56" w:rsidP="0DF3AD4D">
      <w:pPr>
        <w:spacing w:after="20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  <w:u w:val="single"/>
        </w:rPr>
        <w:t>Tender Requirements</w:t>
      </w:r>
    </w:p>
    <w:p w14:paraId="4547F5B9" w14:textId="727CE007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A written</w:t>
      </w:r>
      <w:r w:rsidR="1DA4244D" w:rsidRPr="0DF3AD4D">
        <w:rPr>
          <w:rFonts w:ascii="Arial" w:eastAsia="Arial" w:hAnsi="Arial" w:cs="Arial"/>
          <w:sz w:val="24"/>
          <w:szCs w:val="24"/>
        </w:rPr>
        <w:t xml:space="preserve"> itemised</w:t>
      </w:r>
      <w:r w:rsidRPr="0DF3AD4D">
        <w:rPr>
          <w:rFonts w:ascii="Arial" w:eastAsia="Arial" w:hAnsi="Arial" w:cs="Arial"/>
          <w:sz w:val="24"/>
          <w:szCs w:val="24"/>
        </w:rPr>
        <w:t xml:space="preserve"> quote for</w:t>
      </w:r>
      <w:r w:rsidR="4B1EDE7C" w:rsidRPr="0DF3AD4D">
        <w:rPr>
          <w:rFonts w:ascii="Arial" w:eastAsia="Arial" w:hAnsi="Arial" w:cs="Arial"/>
          <w:sz w:val="24"/>
          <w:szCs w:val="24"/>
        </w:rPr>
        <w:t xml:space="preserve"> project  </w:t>
      </w:r>
    </w:p>
    <w:p w14:paraId="0E611237" w14:textId="5A234590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Copy of Public Liability and Employers’ Insurance.</w:t>
      </w:r>
    </w:p>
    <w:p w14:paraId="64F26D45" w14:textId="041CA237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Health &amp; Safety Policy.</w:t>
      </w:r>
    </w:p>
    <w:p w14:paraId="44E51376" w14:textId="1FFBDCD9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Environment Strategy.</w:t>
      </w:r>
    </w:p>
    <w:p w14:paraId="388F4B43" w14:textId="5FA29288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Example Risk Assessment/ Example Method Statement.</w:t>
      </w:r>
    </w:p>
    <w:p w14:paraId="1E85C513" w14:textId="1B1DB8B7" w:rsidR="00204EF3" w:rsidRDefault="35224A56" w:rsidP="0DF3AD4D">
      <w:pPr>
        <w:pStyle w:val="ListParagraph"/>
        <w:numPr>
          <w:ilvl w:val="0"/>
          <w:numId w:val="2"/>
        </w:numPr>
        <w:spacing w:after="200"/>
        <w:rPr>
          <w:rFonts w:eastAsiaTheme="minorEastAsia"/>
          <w:sz w:val="24"/>
          <w:szCs w:val="24"/>
        </w:rPr>
      </w:pPr>
      <w:r w:rsidRPr="0DF3AD4D">
        <w:rPr>
          <w:rFonts w:ascii="Arial" w:eastAsia="Arial" w:hAnsi="Arial" w:cs="Arial"/>
          <w:sz w:val="24"/>
          <w:szCs w:val="24"/>
        </w:rPr>
        <w:t>Two references (commercial/business).</w:t>
      </w:r>
    </w:p>
    <w:p w14:paraId="0589DAA5" w14:textId="33A5B1EE" w:rsidR="00204EF3" w:rsidRDefault="00204EF3" w:rsidP="0DF3AD4D">
      <w:pPr>
        <w:spacing w:after="200"/>
        <w:rPr>
          <w:rFonts w:ascii="Arial" w:eastAsia="Arial" w:hAnsi="Arial" w:cs="Arial"/>
          <w:sz w:val="24"/>
          <w:szCs w:val="24"/>
        </w:rPr>
      </w:pPr>
    </w:p>
    <w:p w14:paraId="4B0B4686" w14:textId="137A0678" w:rsidR="00204EF3" w:rsidRDefault="35224A56" w:rsidP="0DF3AD4D">
      <w:pPr>
        <w:spacing w:after="200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>Please note that tenders that do not include all the above may be discarded.</w:t>
      </w:r>
    </w:p>
    <w:p w14:paraId="66235927" w14:textId="122BF966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>Contact name and number:  Tina Cunnell, Town Clerk, 01842 754247</w:t>
      </w:r>
    </w:p>
    <w:p w14:paraId="117AB808" w14:textId="7F732AFC" w:rsidR="00204EF3" w:rsidRDefault="00177EF8" w:rsidP="0DF3AD4D">
      <w:pPr>
        <w:rPr>
          <w:rFonts w:ascii="Arial" w:eastAsia="Arial" w:hAnsi="Arial" w:cs="Arial"/>
          <w:sz w:val="24"/>
          <w:szCs w:val="24"/>
        </w:rPr>
      </w:pPr>
      <w:hyperlink r:id="rId8">
        <w:r w:rsidR="35224A56" w:rsidRPr="0DF3AD4D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tinacunnell@thetfordtowncouncil.gov.uk</w:t>
        </w:r>
      </w:hyperlink>
    </w:p>
    <w:p w14:paraId="6E0F7135" w14:textId="7D704120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16604907" w14:textId="689F773E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14C04E64" w14:textId="79B68486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 xml:space="preserve">Quotations to be in by 12 noon, </w:t>
      </w:r>
      <w:r w:rsidR="27BB1B78" w:rsidRPr="0DF3AD4D">
        <w:rPr>
          <w:rFonts w:ascii="Arial" w:eastAsia="Arial" w:hAnsi="Arial" w:cs="Arial"/>
          <w:b/>
          <w:bCs/>
          <w:sz w:val="24"/>
          <w:szCs w:val="24"/>
        </w:rPr>
        <w:t>Thursday 1</w:t>
      </w:r>
      <w:r w:rsidR="27BB1B78" w:rsidRPr="0DF3AD4D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="27BB1B78" w:rsidRPr="0DF3AD4D">
        <w:rPr>
          <w:rFonts w:ascii="Arial" w:eastAsia="Arial" w:hAnsi="Arial" w:cs="Arial"/>
          <w:b/>
          <w:bCs/>
          <w:sz w:val="24"/>
          <w:szCs w:val="24"/>
        </w:rPr>
        <w:t xml:space="preserve"> July </w:t>
      </w:r>
      <w:r w:rsidRPr="0DF3AD4D">
        <w:rPr>
          <w:rFonts w:ascii="Arial" w:eastAsia="Arial" w:hAnsi="Arial" w:cs="Arial"/>
          <w:b/>
          <w:bCs/>
          <w:sz w:val="24"/>
          <w:szCs w:val="24"/>
        </w:rPr>
        <w:t xml:space="preserve"> 2021</w:t>
      </w:r>
    </w:p>
    <w:p w14:paraId="2F4DFB32" w14:textId="678D1F0E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26FF3E19" w14:textId="73037FF8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>Sealed inner envelopes to be marked ‘</w:t>
      </w:r>
      <w:r w:rsidR="5C49097E" w:rsidRPr="0DF3AD4D">
        <w:rPr>
          <w:rFonts w:ascii="Arial" w:eastAsia="Arial" w:hAnsi="Arial" w:cs="Arial"/>
          <w:b/>
          <w:bCs/>
          <w:sz w:val="24"/>
          <w:szCs w:val="24"/>
        </w:rPr>
        <w:t>Guildhall Heritage Display Project</w:t>
      </w:r>
      <w:r w:rsidRPr="0DF3AD4D">
        <w:rPr>
          <w:rFonts w:ascii="Arial" w:eastAsia="Arial" w:hAnsi="Arial" w:cs="Arial"/>
          <w:b/>
          <w:bCs/>
          <w:sz w:val="24"/>
          <w:szCs w:val="24"/>
        </w:rPr>
        <w:t>’, for the attention of the Town Clerk, Thetford Town Council. Electronic submissions cannot be accepted, to comply with our financial regulations.</w:t>
      </w:r>
    </w:p>
    <w:p w14:paraId="5B69EBEA" w14:textId="7102C313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27B3B6AC" w14:textId="2A7A4389" w:rsidR="00204EF3" w:rsidRDefault="35224A56" w:rsidP="0DF3AD4D">
      <w:pPr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 xml:space="preserve">Postal Address: The Carnegie, Cage Lane, Thetford, Norfolk, IP24 2DS </w:t>
      </w:r>
    </w:p>
    <w:p w14:paraId="5CD34E38" w14:textId="3CB2F9D0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54A35EE3" w14:textId="5CA23995" w:rsidR="00204EF3" w:rsidRDefault="35224A56" w:rsidP="0DF3AD4D">
      <w:pPr>
        <w:jc w:val="both"/>
        <w:rPr>
          <w:rFonts w:ascii="Arial" w:eastAsia="Arial" w:hAnsi="Arial" w:cs="Arial"/>
          <w:sz w:val="24"/>
          <w:szCs w:val="24"/>
        </w:rPr>
      </w:pPr>
      <w:r w:rsidRPr="0DF3AD4D">
        <w:rPr>
          <w:rFonts w:ascii="Arial" w:eastAsia="Arial" w:hAnsi="Arial" w:cs="Arial"/>
          <w:b/>
          <w:bCs/>
          <w:sz w:val="24"/>
          <w:szCs w:val="24"/>
        </w:rPr>
        <w:t>Details of the winning contract will be published IAW Local Government Transparency Code 2014.</w:t>
      </w:r>
    </w:p>
    <w:p w14:paraId="5AA23BFD" w14:textId="74085A28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1CC0E838" w14:textId="01C44353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74F1BC4A" w14:textId="7A0BB21F" w:rsidR="00204EF3" w:rsidRDefault="00E27A10" w:rsidP="0DF3AD4D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0DF3AD4D" w14:paraId="00CA8541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D44577" w14:textId="20E371E2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Section 1 – Contact details. </w:t>
            </w:r>
          </w:p>
          <w:p w14:paraId="00DE229B" w14:textId="77EBF2A1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211CE77D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DB5471" w14:textId="5ADE56F3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Name of Applicant:</w:t>
            </w:r>
            <w:r w:rsidRPr="0DF3AD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  <w:p w14:paraId="28C65DE0" w14:textId="12C91C4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73C8D3A4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283B" w14:textId="6C28B9F3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Contact Telephone Numbers:</w:t>
            </w:r>
          </w:p>
          <w:p w14:paraId="2E5C70DE" w14:textId="1BAFD134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759E874E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563F" w14:textId="5CF18EBC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Address:</w:t>
            </w:r>
            <w:r>
              <w:tab/>
            </w:r>
          </w:p>
          <w:p w14:paraId="70BE96BC" w14:textId="53EC145B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186A55" w14:textId="03D2AAFC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6AEBC2" w14:textId="4DFE35A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3A6226" w14:textId="1A6AF610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4DB66B98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E08E" w14:textId="6A2B774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Postcode:</w:t>
            </w:r>
            <w:r w:rsidRPr="0DF3AD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72BC0C3" w14:textId="19992482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73BCAC97" w14:textId="77777777" w:rsidTr="0DF3AD4D">
        <w:trPr>
          <w:trHeight w:val="6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03FC" w14:textId="160FEB4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Email address: </w:t>
            </w:r>
          </w:p>
          <w:p w14:paraId="7AC253E3" w14:textId="718FFA47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57976BD3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ED296A" w14:textId="09FE0201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Section 2 - Referees who can provide details of your work  s</w:t>
            </w:r>
          </w:p>
          <w:p w14:paraId="210006E1" w14:textId="3D61FDFC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791E86BA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5634B0" w14:textId="1FE2DE89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1 Name of Referee</w:t>
            </w:r>
          </w:p>
          <w:p w14:paraId="14669E6A" w14:textId="1DADD1AD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3BA6A62A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43B4" w14:textId="3DA56DBD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Contact Number:</w:t>
            </w:r>
          </w:p>
          <w:p w14:paraId="20A19A26" w14:textId="7AFAE7A2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69384A57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D90E" w14:textId="1BCF11A4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Address:</w:t>
            </w:r>
            <w:r>
              <w:tab/>
            </w:r>
          </w:p>
          <w:p w14:paraId="15DB2E4A" w14:textId="37D49B72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A37FB2" w14:textId="3B121DE5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2BB6B1F2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4C" w14:textId="43D5CF5B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Postcode:</w:t>
            </w:r>
            <w:r w:rsidRPr="0DF3AD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077AFE" w14:textId="3FE97E2E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142889AE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ACC1" w14:textId="37189614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Email address: </w:t>
            </w:r>
          </w:p>
          <w:p w14:paraId="2FDFC421" w14:textId="5AD21B35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00A3F47F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CCF38" w14:textId="0B08543A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2 Name of Referee</w:t>
            </w:r>
          </w:p>
          <w:p w14:paraId="440C5FDA" w14:textId="4B763A63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1BC92C1F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AB9F" w14:textId="650C854E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Contact Number:</w:t>
            </w:r>
          </w:p>
          <w:p w14:paraId="656AB8FA" w14:textId="263A5368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6E684CEA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93B8" w14:textId="345CDFD4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Address:</w:t>
            </w:r>
            <w:r>
              <w:tab/>
            </w:r>
          </w:p>
          <w:p w14:paraId="64309D2D" w14:textId="769CBD82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07BB71" w14:textId="17F92BD7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0AAA7EFF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93D4" w14:textId="35CB192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Postcode:</w:t>
            </w:r>
            <w:r w:rsidRPr="0DF3AD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1C93776" w14:textId="200A44D1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3BA54FBF" w14:textId="77777777" w:rsidTr="0DF3AD4D">
        <w:trPr>
          <w:trHeight w:val="70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929F" w14:textId="6D6AF1D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Email address: </w:t>
            </w:r>
          </w:p>
        </w:tc>
      </w:tr>
    </w:tbl>
    <w:p w14:paraId="5A8E751F" w14:textId="1452D2E0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0DF3AD4D" w14:paraId="1A4D5E05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DE0124" w14:textId="041BA1C4" w:rsidR="0DF3AD4D" w:rsidRDefault="0DF3AD4D" w:rsidP="0DF3AD4D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Section 3 – Application Statements</w:t>
            </w:r>
          </w:p>
        </w:tc>
      </w:tr>
      <w:tr w:rsidR="0DF3AD4D" w14:paraId="0730A8AF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7EB597" w14:textId="3FF6335D" w:rsidR="0DF3AD4D" w:rsidRDefault="0DF3AD4D" w:rsidP="0DF3AD4D">
            <w:pPr>
              <w:spacing w:after="200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Please provide a supporting statement not exceeding 300 words giving details of your experience </w:t>
            </w:r>
            <w:r w:rsidR="6D2E2F59"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of display</w:t>
            </w: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installations and how you would approach Thetford’s installation as detailed above. Also please provide photographs of previous installations.</w:t>
            </w:r>
          </w:p>
        </w:tc>
      </w:tr>
      <w:tr w:rsidR="0DF3AD4D" w14:paraId="42FE51BF" w14:textId="77777777" w:rsidTr="0DF3AD4D">
        <w:trPr>
          <w:trHeight w:val="373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56FF" w14:textId="76FA4028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BDFC4A" w14:textId="2664C7BE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8CAAA4" w14:textId="1EF01758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F8587F" w14:textId="5FDB76A3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832DA0" w14:textId="0A25C376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171B3F" w14:textId="031FBFF0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974B36" w14:textId="098C7EBC" w:rsidR="0DF3AD4D" w:rsidRDefault="0DF3AD4D" w:rsidP="0DF3AD4D">
            <w:pPr>
              <w:spacing w:after="200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53BF062D" w14:textId="77777777" w:rsidTr="0DF3AD4D">
        <w:trPr>
          <w:trHeight w:val="114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19F722" w14:textId="0AB4150C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Section 4 – </w:t>
            </w:r>
            <w:r w:rsidRPr="0DF3AD4D">
              <w:rPr>
                <w:rFonts w:ascii="Arial" w:eastAsia="Arial" w:hAnsi="Arial" w:cs="Arial"/>
                <w:sz w:val="24"/>
                <w:szCs w:val="24"/>
              </w:rPr>
              <w:t>Please provide a quote for a one year and a three-year arrangement.</w:t>
            </w:r>
          </w:p>
          <w:p w14:paraId="59058835" w14:textId="531B9EC9" w:rsidR="0DF3AD4D" w:rsidRDefault="0DF3AD4D" w:rsidP="0DF3AD4D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7F05F6" w14:textId="46331799" w:rsidR="0DF3AD4D" w:rsidRDefault="0DF3AD4D" w:rsidP="0DF3AD4D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2488A26C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3BD8C" w14:textId="0584051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Please tick to confirm completion/attachment of documents </w:t>
            </w:r>
          </w:p>
          <w:p w14:paraId="703F2817" w14:textId="16012AA6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4B8CFE79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ED7AF1" w14:textId="52280C05" w:rsidR="0DF3AD4D" w:rsidRDefault="0DF3AD4D" w:rsidP="0DF3AD4D">
            <w:pPr>
              <w:pStyle w:val="NoSpacing"/>
              <w:rPr>
                <w:rFonts w:ascii="Wingdings" w:eastAsia="Wingdings" w:hAnsi="Wingdings" w:cs="Wingdings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</w:rPr>
              <w:t xml:space="preserve">Completed supporting statement with contact details and referees   </w:t>
            </w:r>
            <w:r w:rsidRPr="0DF3AD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q</w:t>
            </w:r>
          </w:p>
          <w:p w14:paraId="1D191B03" w14:textId="7B9E1043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7F9C0821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CAB2C2" w14:textId="21DA5818" w:rsidR="0DF3AD4D" w:rsidRDefault="0DF3AD4D" w:rsidP="0DF3AD4D">
            <w:pPr>
              <w:spacing w:after="20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</w:rPr>
              <w:t xml:space="preserve">Copy of public liability £10,000,000 minimum cover. </w:t>
            </w:r>
            <w:r w:rsidRPr="0DF3AD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q</w:t>
            </w:r>
          </w:p>
          <w:p w14:paraId="6D6B65CA" w14:textId="0D85A7AC" w:rsidR="0DF3AD4D" w:rsidRDefault="0DF3AD4D" w:rsidP="0DF3AD4D">
            <w:pPr>
              <w:spacing w:after="20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</w:rPr>
              <w:t xml:space="preserve">Copy of employers’ liability £10,000,000 minimum cover. </w:t>
            </w:r>
            <w:r w:rsidRPr="0DF3AD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q</w:t>
            </w:r>
          </w:p>
        </w:tc>
      </w:tr>
      <w:tr w:rsidR="0DF3AD4D" w14:paraId="6CF87CB1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EC5342" w14:textId="1904C5A6" w:rsidR="0DF3AD4D" w:rsidRDefault="0DF3AD4D" w:rsidP="0DF3AD4D">
            <w:pPr>
              <w:spacing w:after="20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</w:rPr>
              <w:t xml:space="preserve">An example/copy of your health &amp; safety policy/risk assessments/method statement </w:t>
            </w:r>
            <w:r w:rsidRPr="0DF3AD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q</w:t>
            </w:r>
          </w:p>
          <w:p w14:paraId="126BCAC2" w14:textId="1C815E3C" w:rsidR="0DF3AD4D" w:rsidRDefault="0DF3AD4D" w:rsidP="0DF3AD4D">
            <w:pPr>
              <w:spacing w:after="20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Environment Strategy </w:t>
            </w:r>
            <w:r w:rsidRPr="0DF3AD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q</w:t>
            </w:r>
          </w:p>
        </w:tc>
      </w:tr>
      <w:tr w:rsidR="0DF3AD4D" w14:paraId="5627EF8A" w14:textId="77777777" w:rsidTr="0DF3AD4D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8D3A97" w14:textId="6372AD05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A07A3E" w14:textId="70C7E3D4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sz w:val="24"/>
                <w:szCs w:val="24"/>
              </w:rPr>
              <w:t>Signed                                                                                        Date</w:t>
            </w:r>
          </w:p>
          <w:p w14:paraId="3C535310" w14:textId="40B634FB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DF3AD4D" w14:paraId="675041BB" w14:textId="77777777" w:rsidTr="0DF3AD4D">
        <w:trPr>
          <w:trHeight w:val="58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075D0E" w14:textId="06044EBD" w:rsidR="0DF3AD4D" w:rsidRDefault="0DF3AD4D" w:rsidP="0DF3AD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8A7E06" w14:textId="35CA77C5" w:rsidR="0DF3AD4D" w:rsidRDefault="0DF3AD4D" w:rsidP="0DF3AD4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return to the address below by noon on </w:t>
            </w:r>
            <w:r w:rsidR="7A406148" w:rsidRPr="0DF3AD4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Thursday 1st July</w:t>
            </w:r>
            <w:r w:rsidRPr="0DF3AD4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</w:tbl>
    <w:p w14:paraId="38660E16" w14:textId="6263B818" w:rsidR="00204EF3" w:rsidRDefault="00204EF3" w:rsidP="0DF3AD4D">
      <w:pPr>
        <w:rPr>
          <w:rFonts w:ascii="Arial" w:eastAsia="Arial" w:hAnsi="Arial" w:cs="Arial"/>
          <w:sz w:val="24"/>
          <w:szCs w:val="24"/>
        </w:rPr>
      </w:pPr>
    </w:p>
    <w:p w14:paraId="5E5787A5" w14:textId="36CD0682" w:rsidR="00204EF3" w:rsidRDefault="00204EF3" w:rsidP="0DF3AD4D"/>
    <w:sectPr w:rsidR="00204E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F6D4D"/>
    <w:multiLevelType w:val="hybridMultilevel"/>
    <w:tmpl w:val="EB9452EC"/>
    <w:lvl w:ilvl="0" w:tplc="B9069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0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A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6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1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26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C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8A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4D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14DC"/>
    <w:multiLevelType w:val="hybridMultilevel"/>
    <w:tmpl w:val="FFFFFFFF"/>
    <w:lvl w:ilvl="0" w:tplc="DEB6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1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8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64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3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40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2E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63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8F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BEE90E"/>
    <w:rsid w:val="00177EF8"/>
    <w:rsid w:val="00204EF3"/>
    <w:rsid w:val="006B2736"/>
    <w:rsid w:val="009611F2"/>
    <w:rsid w:val="009E0BEF"/>
    <w:rsid w:val="00AE39E1"/>
    <w:rsid w:val="00E27A10"/>
    <w:rsid w:val="00EB210B"/>
    <w:rsid w:val="01CAB3E4"/>
    <w:rsid w:val="02E73442"/>
    <w:rsid w:val="08A017E6"/>
    <w:rsid w:val="09C3C3AE"/>
    <w:rsid w:val="0A85C0BD"/>
    <w:rsid w:val="0DA43922"/>
    <w:rsid w:val="0DBD617F"/>
    <w:rsid w:val="0DF3AD4D"/>
    <w:rsid w:val="1290D2A2"/>
    <w:rsid w:val="1A0010D0"/>
    <w:rsid w:val="1B927B9D"/>
    <w:rsid w:val="1DA4244D"/>
    <w:rsid w:val="1F5E1AD3"/>
    <w:rsid w:val="24318BF6"/>
    <w:rsid w:val="2443C0DB"/>
    <w:rsid w:val="25CD5C57"/>
    <w:rsid w:val="27BB1B78"/>
    <w:rsid w:val="29849F91"/>
    <w:rsid w:val="3046EBAD"/>
    <w:rsid w:val="337E8C6F"/>
    <w:rsid w:val="35224A56"/>
    <w:rsid w:val="3851FD92"/>
    <w:rsid w:val="39F5BB79"/>
    <w:rsid w:val="41E7A501"/>
    <w:rsid w:val="48325A77"/>
    <w:rsid w:val="4B1EDE7C"/>
    <w:rsid w:val="5960CD42"/>
    <w:rsid w:val="5C49097E"/>
    <w:rsid w:val="5E894613"/>
    <w:rsid w:val="6920ABBC"/>
    <w:rsid w:val="6A3A48F4"/>
    <w:rsid w:val="6ABEE90E"/>
    <w:rsid w:val="6D2E2F59"/>
    <w:rsid w:val="76ADFAC8"/>
    <w:rsid w:val="7A40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E90E"/>
  <w15:chartTrackingRefBased/>
  <w15:docId w15:val="{4D15C77F-FE66-45F0-A738-2F4BE6C0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cunnell@thetford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109A1C41A74A872DE5DE3C787BDC" ma:contentTypeVersion="11" ma:contentTypeDescription="Create a new document." ma:contentTypeScope="" ma:versionID="685ad0837d6a37a8570c2e8d7905f1bc">
  <xsd:schema xmlns:xsd="http://www.w3.org/2001/XMLSchema" xmlns:xs="http://www.w3.org/2001/XMLSchema" xmlns:p="http://schemas.microsoft.com/office/2006/metadata/properties" xmlns:ns2="dcbe4973-5c25-4c08-a495-528d331f600b" xmlns:ns3="2121c35b-e467-44ab-bbdb-4c44a0326481" targetNamespace="http://schemas.microsoft.com/office/2006/metadata/properties" ma:root="true" ma:fieldsID="b2db65824e8e036a6f1de1c1925089a0" ns2:_="" ns3:_="">
    <xsd:import namespace="dcbe4973-5c25-4c08-a495-528d331f600b"/>
    <xsd:import namespace="2121c35b-e467-44ab-bbdb-4c44a0326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4973-5c25-4c08-a495-528d331f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c35b-e467-44ab-bbdb-4c44a032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55772-868F-4232-89F2-B442DBD3A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33D83-7ED5-4305-8CA1-06BC8265E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51EC8-33B2-43D8-87DA-0A043F8A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e4973-5c25-4c08-a495-528d331f600b"/>
    <ds:schemaRef ds:uri="2121c35b-e467-44ab-bbdb-4c44a032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3729</Characters>
  <Application>Microsoft Office Word</Application>
  <DocSecurity>4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Cunnell</dc:creator>
  <cp:keywords/>
  <dc:description/>
  <cp:lastModifiedBy>Tina Cunnell</cp:lastModifiedBy>
  <cp:revision>7</cp:revision>
  <dcterms:created xsi:type="dcterms:W3CDTF">2021-06-01T23:14:00Z</dcterms:created>
  <dcterms:modified xsi:type="dcterms:W3CDTF">2021-06-01T15:33:00Z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0x0101006514109A1C41A74A872DE5DE3C787BDC</vt:lpwstr>
  </property>
</Properties>
</file>