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CE33C" w14:textId="2F7CC910" w:rsidR="00206FB1" w:rsidRPr="00285606" w:rsidRDefault="003B6295" w:rsidP="00A85B19">
      <w:pPr>
        <w:pStyle w:val="CoverTitle"/>
        <w:rPr>
          <w:sz w:val="40"/>
        </w:rPr>
      </w:pPr>
      <w:r w:rsidRPr="00285606">
        <w:rPr>
          <w:sz w:val="40"/>
        </w:rPr>
        <w:t xml:space="preserve">Specification for </w:t>
      </w:r>
      <w:r w:rsidR="00206FB1" w:rsidRPr="00285606">
        <w:rPr>
          <w:sz w:val="40"/>
        </w:rPr>
        <w:t xml:space="preserve">research project </w:t>
      </w:r>
    </w:p>
    <w:p w14:paraId="3AC1359D" w14:textId="77777777" w:rsidR="00093C0A" w:rsidRPr="00285606" w:rsidRDefault="00093C0A" w:rsidP="00A85B19">
      <w:pPr>
        <w:pStyle w:val="CoverTitle"/>
        <w:rPr>
          <w:sz w:val="40"/>
        </w:rPr>
      </w:pPr>
      <w:r w:rsidRPr="00285606">
        <w:rPr>
          <w:sz w:val="40"/>
        </w:rPr>
        <w:t>T1166 - Minimising the impact of ‘high and tight’ platforms on the overall PTI step/gap dimensions</w:t>
      </w:r>
    </w:p>
    <w:p w14:paraId="2743721D" w14:textId="6C0515E3" w:rsidR="00A132AF" w:rsidRPr="00285606" w:rsidRDefault="00A132AF" w:rsidP="00A132AF">
      <w:pPr>
        <w:pStyle w:val="Body"/>
      </w:pPr>
      <w:r>
        <w:t xml:space="preserve">The </w:t>
      </w:r>
      <w:r w:rsidR="002C01DB">
        <w:t>d</w:t>
      </w:r>
      <w:r>
        <w:t xml:space="preserve">raft research specification </w:t>
      </w:r>
      <w:r w:rsidR="00F81CCD">
        <w:t xml:space="preserve">that </w:t>
      </w:r>
      <w:r>
        <w:t>follows</w:t>
      </w:r>
      <w:r w:rsidR="00F81CCD">
        <w:t>,</w:t>
      </w:r>
      <w:r>
        <w:t xml:space="preserve"> outlines RSSB’s proposed research into </w:t>
      </w:r>
      <w:r w:rsidR="00F906A8" w:rsidRPr="00285606">
        <w:t>Minimising the impact of ‘high and tight’ platforms on the overall PTI step/gap dimensions</w:t>
      </w:r>
      <w:r w:rsidRPr="00285606">
        <w:t>.</w:t>
      </w:r>
      <w:r w:rsidR="001327F5" w:rsidRPr="00285606">
        <w:t xml:space="preserve">  </w:t>
      </w:r>
      <w:r w:rsidR="00C00FDE" w:rsidRPr="00285606">
        <w:t>This is a draft specification that is subject to change following the supplier day.</w:t>
      </w:r>
      <w:r w:rsidR="005E795B" w:rsidRPr="00285606">
        <w:t xml:space="preserve"> </w:t>
      </w:r>
    </w:p>
    <w:p w14:paraId="26CF3813" w14:textId="716120CF" w:rsidR="001327F5" w:rsidRDefault="001327F5" w:rsidP="00A132AF">
      <w:pPr>
        <w:pStyle w:val="Body"/>
      </w:pPr>
      <w:r w:rsidRPr="00285606">
        <w:t xml:space="preserve">A </w:t>
      </w:r>
      <w:r w:rsidR="00540310" w:rsidRPr="00285606">
        <w:t>pre-tender</w:t>
      </w:r>
      <w:r w:rsidR="00540310" w:rsidRPr="00B7351D">
        <w:t xml:space="preserve"> </w:t>
      </w:r>
      <w:r w:rsidRPr="00B7351D">
        <w:t>suppliers</w:t>
      </w:r>
      <w:r w:rsidR="002C01DB" w:rsidRPr="00B7351D">
        <w:t xml:space="preserve"> </w:t>
      </w:r>
      <w:r w:rsidRPr="00B7351D">
        <w:t xml:space="preserve">meeting has been arranged </w:t>
      </w:r>
      <w:r w:rsidR="002C01DB" w:rsidRPr="00B7351D">
        <w:t xml:space="preserve">for </w:t>
      </w:r>
      <w:r w:rsidR="00B7351D" w:rsidRPr="00285606">
        <w:t>Tuesday 20</w:t>
      </w:r>
      <w:r w:rsidR="00B7351D" w:rsidRPr="00285606">
        <w:rPr>
          <w:vertAlign w:val="superscript"/>
        </w:rPr>
        <w:t xml:space="preserve"> </w:t>
      </w:r>
      <w:r w:rsidR="00B7351D" w:rsidRPr="00285606">
        <w:t>November 2018</w:t>
      </w:r>
      <w:r w:rsidRPr="00285606">
        <w:t xml:space="preserve"> at 1</w:t>
      </w:r>
      <w:r w:rsidR="00B7351D" w:rsidRPr="00285606">
        <w:t>1</w:t>
      </w:r>
      <w:r w:rsidRPr="00285606">
        <w:t>.00</w:t>
      </w:r>
      <w:r w:rsidRPr="00616B20">
        <w:t xml:space="preserve"> at the RSSB offices in</w:t>
      </w:r>
      <w:r w:rsidR="002C01DB" w:rsidRPr="00616B20">
        <w:t xml:space="preserve"> Moorgate,</w:t>
      </w:r>
      <w:r w:rsidRPr="00616B20">
        <w:t xml:space="preserve"> London.  </w:t>
      </w:r>
      <w:r w:rsidR="00A132AF" w:rsidRPr="00344434">
        <w:t xml:space="preserve">The purpose of </w:t>
      </w:r>
      <w:r w:rsidR="002C01DB" w:rsidRPr="00B7351D">
        <w:t xml:space="preserve">this </w:t>
      </w:r>
      <w:r w:rsidR="00A132AF" w:rsidRPr="00B7351D">
        <w:t xml:space="preserve">meeting </w:t>
      </w:r>
      <w:r w:rsidRPr="00B7351D">
        <w:t>is to:</w:t>
      </w:r>
      <w:r>
        <w:t xml:space="preserve"> </w:t>
      </w:r>
    </w:p>
    <w:p w14:paraId="286C7D00" w14:textId="2A7D70AF" w:rsidR="00A132AF" w:rsidRDefault="00A132AF" w:rsidP="00234E9A">
      <w:pPr>
        <w:pStyle w:val="Body"/>
        <w:numPr>
          <w:ilvl w:val="0"/>
          <w:numId w:val="27"/>
        </w:numPr>
      </w:pPr>
      <w:r>
        <w:t>Provide an outline of</w:t>
      </w:r>
      <w:r w:rsidR="001327F5">
        <w:t xml:space="preserve"> the project proposal</w:t>
      </w:r>
    </w:p>
    <w:p w14:paraId="6504344D" w14:textId="39E7550C" w:rsidR="00A132AF" w:rsidRDefault="00A132AF" w:rsidP="00234E9A">
      <w:pPr>
        <w:pStyle w:val="Body"/>
        <w:numPr>
          <w:ilvl w:val="0"/>
          <w:numId w:val="27"/>
        </w:numPr>
      </w:pPr>
      <w:r>
        <w:t>Validate estimat</w:t>
      </w:r>
      <w:r w:rsidR="001327F5">
        <w:t>es of the likely research costs</w:t>
      </w:r>
    </w:p>
    <w:p w14:paraId="6D575CDD" w14:textId="24FBDE82" w:rsidR="00A132AF" w:rsidRDefault="001327F5" w:rsidP="00234E9A">
      <w:pPr>
        <w:pStyle w:val="Body"/>
        <w:numPr>
          <w:ilvl w:val="0"/>
          <w:numId w:val="27"/>
        </w:numPr>
      </w:pPr>
      <w:r>
        <w:t>Provide interested suppliers an opportunity to discuss and understand the draft research specification.</w:t>
      </w:r>
    </w:p>
    <w:p w14:paraId="4B9283E5" w14:textId="77777777" w:rsidR="00A132AF" w:rsidRDefault="00A132AF" w:rsidP="00A132AF">
      <w:pPr>
        <w:pStyle w:val="Body"/>
      </w:pPr>
      <w:r>
        <w:t>Suppliers should be prepared to discuss the following:</w:t>
      </w:r>
    </w:p>
    <w:p w14:paraId="78EFAD50" w14:textId="189E2180" w:rsidR="001327F5" w:rsidRDefault="00A132AF" w:rsidP="00234E9A">
      <w:pPr>
        <w:pStyle w:val="Body"/>
        <w:numPr>
          <w:ilvl w:val="0"/>
          <w:numId w:val="28"/>
        </w:numPr>
      </w:pPr>
      <w:r>
        <w:t>There is a budget of up to £</w:t>
      </w:r>
      <w:r w:rsidR="005E795B">
        <w:t>75</w:t>
      </w:r>
      <w:r>
        <w:t>,000</w:t>
      </w:r>
      <w:r w:rsidR="001327F5">
        <w:t xml:space="preserve"> available </w:t>
      </w:r>
      <w:r w:rsidR="005E795B">
        <w:t xml:space="preserve">to undertake a desk-based review, </w:t>
      </w:r>
      <w:r w:rsidR="00B7351D">
        <w:t>platform arrangement</w:t>
      </w:r>
      <w:r w:rsidR="005E795B">
        <w:t xml:space="preserve"> surveys </w:t>
      </w:r>
      <w:r w:rsidR="00B7351D">
        <w:t>at</w:t>
      </w:r>
      <w:r w:rsidR="005E795B">
        <w:t xml:space="preserve"> selected case study sites, an economic assessment of possible solutions to minimise the adverse impact of high and tight platforms, and an implementation strategy.  </w:t>
      </w:r>
      <w:r w:rsidR="001327F5">
        <w:t xml:space="preserve">Does the proposed </w:t>
      </w:r>
      <w:r w:rsidR="00540310">
        <w:t>budget</w:t>
      </w:r>
      <w:r>
        <w:t xml:space="preserve"> reasonably cover </w:t>
      </w:r>
      <w:r w:rsidR="001327F5">
        <w:t xml:space="preserve">the requirements to undertake and deliver this work? </w:t>
      </w:r>
      <w:bookmarkStart w:id="0" w:name="_Hlk486413674"/>
      <w:r w:rsidR="00540310">
        <w:t>How might the outputs change with a variation to the budget?</w:t>
      </w:r>
    </w:p>
    <w:p w14:paraId="111F2EB5" w14:textId="6769D92B" w:rsidR="00602E1E" w:rsidRDefault="00602E1E" w:rsidP="00234E9A">
      <w:pPr>
        <w:pStyle w:val="Body"/>
        <w:numPr>
          <w:ilvl w:val="0"/>
          <w:numId w:val="28"/>
        </w:numPr>
      </w:pPr>
      <w:r w:rsidRPr="00602E1E">
        <w:t xml:space="preserve">A definition of what this project looks at in terms of high and tight platforms is needed.  </w:t>
      </w:r>
      <w:r w:rsidRPr="00616B20">
        <w:t xml:space="preserve">An initial suggestion from the RSSB team is this </w:t>
      </w:r>
      <w:r w:rsidRPr="00344434">
        <w:t>set of parameters</w:t>
      </w:r>
      <w:r w:rsidRPr="00285606">
        <w:t>:</w:t>
      </w:r>
      <w:r w:rsidRPr="00616B20">
        <w:t xml:space="preserve"> </w:t>
      </w:r>
      <w:r w:rsidR="009C6A75">
        <w:t xml:space="preserve">platform thresholds that exceed both </w:t>
      </w:r>
      <w:r w:rsidRPr="00616B20">
        <w:t>950mm ‘high’ and 730</w:t>
      </w:r>
      <w:r>
        <w:t>mm</w:t>
      </w:r>
      <w:r w:rsidRPr="00616B20">
        <w:t xml:space="preserve"> ‘tight’</w:t>
      </w:r>
      <w:r w:rsidR="00F81CCD">
        <w:rPr>
          <w:rStyle w:val="FootnoteReference"/>
        </w:rPr>
        <w:footnoteReference w:id="1"/>
      </w:r>
      <w:r w:rsidRPr="00616B20">
        <w:t xml:space="preserve">.  Alternative </w:t>
      </w:r>
      <w:r w:rsidR="00F81CCD">
        <w:t xml:space="preserve">parameters and </w:t>
      </w:r>
      <w:r w:rsidR="009C6A75">
        <w:t xml:space="preserve">recommendations </w:t>
      </w:r>
      <w:r w:rsidR="00F81CCD">
        <w:t>from suppliers are welcomed, including</w:t>
      </w:r>
      <w:r w:rsidR="009C6A75">
        <w:t xml:space="preserve"> rationale</w:t>
      </w:r>
      <w:r w:rsidR="00F81CCD">
        <w:t>s for</w:t>
      </w:r>
      <w:r w:rsidR="009C6A75">
        <w:t xml:space="preserve"> </w:t>
      </w:r>
      <w:r w:rsidR="00F81CCD">
        <w:t xml:space="preserve">alternative </w:t>
      </w:r>
      <w:r w:rsidR="009C6A75">
        <w:t xml:space="preserve">parameters. </w:t>
      </w:r>
    </w:p>
    <w:p w14:paraId="584315C5" w14:textId="05D32AD7" w:rsidR="001327F5" w:rsidRDefault="00A132AF" w:rsidP="00234E9A">
      <w:pPr>
        <w:pStyle w:val="Body"/>
        <w:numPr>
          <w:ilvl w:val="0"/>
          <w:numId w:val="28"/>
        </w:numPr>
      </w:pPr>
      <w:r>
        <w:t>A</w:t>
      </w:r>
      <w:r w:rsidR="005E795B">
        <w:t>re</w:t>
      </w:r>
      <w:r>
        <w:t xml:space="preserve"> </w:t>
      </w:r>
      <w:r w:rsidR="005E795B">
        <w:t xml:space="preserve">there any </w:t>
      </w:r>
      <w:proofErr w:type="gramStart"/>
      <w:r>
        <w:t>particular factors</w:t>
      </w:r>
      <w:proofErr w:type="gramEnd"/>
      <w:r>
        <w:t xml:space="preserve"> that might impact </w:t>
      </w:r>
      <w:r w:rsidR="001327F5">
        <w:t xml:space="preserve">successful delivery of the project outputs? </w:t>
      </w:r>
    </w:p>
    <w:p w14:paraId="114AE74C" w14:textId="0577F1A3" w:rsidR="00540310" w:rsidRDefault="00540310" w:rsidP="00234E9A">
      <w:pPr>
        <w:pStyle w:val="Body"/>
        <w:numPr>
          <w:ilvl w:val="0"/>
          <w:numId w:val="28"/>
        </w:numPr>
        <w:jc w:val="both"/>
      </w:pPr>
      <w:r>
        <w:t xml:space="preserve">Are </w:t>
      </w:r>
      <w:r w:rsidR="00A97182">
        <w:t>there</w:t>
      </w:r>
      <w:r>
        <w:t xml:space="preserve"> </w:t>
      </w:r>
      <w:bookmarkEnd w:id="0"/>
      <w:r>
        <w:t>barriers to achieving the objectives?  Is this the right approach, and can the objective be achieved?</w:t>
      </w:r>
    </w:p>
    <w:p w14:paraId="0198156C" w14:textId="604927CF" w:rsidR="00540310" w:rsidRDefault="00540310" w:rsidP="00234E9A">
      <w:pPr>
        <w:pStyle w:val="Body"/>
        <w:numPr>
          <w:ilvl w:val="0"/>
          <w:numId w:val="28"/>
        </w:numPr>
        <w:jc w:val="both"/>
      </w:pPr>
      <w:r>
        <w:t>Are timescales achievable?  How might the outputs change with a variation to the time?</w:t>
      </w:r>
    </w:p>
    <w:p w14:paraId="5EEAB2CB" w14:textId="77777777" w:rsidR="00B90DA0" w:rsidRDefault="00B90DA0" w:rsidP="00B90DA0">
      <w:pPr>
        <w:pStyle w:val="Heading1"/>
      </w:pPr>
      <w:r>
        <w:lastRenderedPageBreak/>
        <w:t>Background</w:t>
      </w:r>
    </w:p>
    <w:p w14:paraId="6E5C11FF" w14:textId="657DAE4A" w:rsidR="005E795B" w:rsidRPr="00285606" w:rsidRDefault="005E795B" w:rsidP="005E795B">
      <w:pPr>
        <w:pStyle w:val="Body"/>
      </w:pPr>
      <w:r>
        <w:t>Following rolling stock cascades</w:t>
      </w:r>
      <w:r w:rsidR="0061193F">
        <w:t xml:space="preserve"> and new vehicle introductions</w:t>
      </w:r>
      <w:r>
        <w:t xml:space="preserve"> in recent years, a larger step / gap distance is becoming apparent due to footsteps on new stock being further away than on the older stock.  This is believed to be the result, and adverse impact </w:t>
      </w:r>
      <w:r w:rsidR="00A97182">
        <w:t xml:space="preserve">from </w:t>
      </w:r>
      <w:r>
        <w:t xml:space="preserve">a very small minority of platforms that are both high and close to the track position, forcing rolling stock design and modifications to accommodate these platforms.  New rolling stock, cascades and refurbishment of existing stock, are being modified to cope with the worst case ‘high and tight’ platforms for gauge clearance.  For example, raising the vehicle body and / or reducing the size of the footstep to achieve clearance at high and tight platforms.  However, such modifications </w:t>
      </w:r>
      <w:r w:rsidR="00D8458A">
        <w:t>may</w:t>
      </w:r>
      <w:r>
        <w:t xml:space="preserve"> creat</w:t>
      </w:r>
      <w:r w:rsidR="00D8458A">
        <w:t xml:space="preserve">e </w:t>
      </w:r>
      <w:r>
        <w:t xml:space="preserve">a worse step gap position at </w:t>
      </w:r>
      <w:proofErr w:type="gramStart"/>
      <w:r>
        <w:t>the majority of</w:t>
      </w:r>
      <w:proofErr w:type="gramEnd"/>
      <w:r>
        <w:t xml:space="preserve"> other GB platforms, and may consequently, exacerbate PTI risks and </w:t>
      </w:r>
      <w:r w:rsidRPr="00285606">
        <w:t xml:space="preserve">increase dwell time. </w:t>
      </w:r>
    </w:p>
    <w:p w14:paraId="137668AF" w14:textId="53D3CFC4" w:rsidR="004C7A88" w:rsidRDefault="00F1508C" w:rsidP="00344434">
      <w:pPr>
        <w:pStyle w:val="Body"/>
      </w:pPr>
      <w:r w:rsidRPr="00285606">
        <w:t>T</w:t>
      </w:r>
      <w:r w:rsidRPr="00285606">
        <w:t xml:space="preserve">arget </w:t>
      </w:r>
      <w:r w:rsidRPr="00285606">
        <w:t xml:space="preserve">platform </w:t>
      </w:r>
      <w:r w:rsidRPr="00285606">
        <w:t>ranges for new or modified platforms are: offset (lateral) 730 to 745mm</w:t>
      </w:r>
      <w:r w:rsidRPr="00285606">
        <w:t xml:space="preserve"> and</w:t>
      </w:r>
      <w:r w:rsidRPr="00285606">
        <w:t xml:space="preserve"> vertical 890 to 915 mm</w:t>
      </w:r>
      <w:r w:rsidRPr="00285606">
        <w:t xml:space="preserve"> (Railway Group Standard GIRT7020, RSSB, 2018).  </w:t>
      </w:r>
      <w:r w:rsidR="005E795B" w:rsidRPr="00285606">
        <w:t xml:space="preserve">Previous research (T866 - Investigation of platform edge positions on the GB network) </w:t>
      </w:r>
      <w:r w:rsidRPr="00285606">
        <w:t>examined</w:t>
      </w:r>
      <w:r>
        <w:t xml:space="preserve"> </w:t>
      </w:r>
      <w:r w:rsidR="005E795B">
        <w:t>every platform on the GB network to determine the platform offset (horizontal) and height (vertical) positions, using the January 2011 National Gauging Database.  The findings of the research were based on a total of 132,024 measured platform profiles for a total of 5,671 platforms</w:t>
      </w:r>
      <w:r w:rsidR="00C52153">
        <w:t xml:space="preserve">.  From the data, 18 platforms had an average height of greater than 1000 mm, which was considered to have a disproportionate effect on the stepping distances elsewhere because vehicle footsteps </w:t>
      </w:r>
      <w:r w:rsidR="00ED74F6">
        <w:t>are being specified</w:t>
      </w:r>
      <w:r w:rsidR="00C52153">
        <w:t xml:space="preserve"> to provide a clearance to the 'high' platforms.  Recently,</w:t>
      </w:r>
      <w:r w:rsidR="00ED74F6">
        <w:t xml:space="preserve"> further analysis of</w:t>
      </w:r>
      <w:r w:rsidR="00C52153">
        <w:t xml:space="preserve"> data from T866 </w:t>
      </w:r>
      <w:r w:rsidR="004C7A88">
        <w:t>showed that of t</w:t>
      </w:r>
      <w:r w:rsidR="004C7A88" w:rsidRPr="008304B2">
        <w:t>he average position</w:t>
      </w:r>
      <w:r w:rsidR="004C7A88">
        <w:t xml:space="preserve"> </w:t>
      </w:r>
      <w:r w:rsidR="004C7A88" w:rsidRPr="008304B2">
        <w:t xml:space="preserve">for </w:t>
      </w:r>
      <w:r w:rsidR="004C7A88">
        <w:t>GB</w:t>
      </w:r>
      <w:r w:rsidR="004C7A88" w:rsidRPr="008304B2">
        <w:t xml:space="preserve"> platform</w:t>
      </w:r>
      <w:r w:rsidR="004C7A88">
        <w:t>s,</w:t>
      </w:r>
      <w:r w:rsidR="004C7A88" w:rsidRPr="008304B2">
        <w:t xml:space="preserve"> 6% were</w:t>
      </w:r>
      <w:r w:rsidR="00616B20">
        <w:t xml:space="preserve"> considered</w:t>
      </w:r>
      <w:r w:rsidR="004C7A88" w:rsidRPr="008304B2">
        <w:t xml:space="preserve"> 'high'</w:t>
      </w:r>
      <w:r w:rsidR="004C7A88">
        <w:t xml:space="preserve"> (&gt;</w:t>
      </w:r>
      <w:r w:rsidR="004C7A88" w:rsidRPr="008304B2">
        <w:t>950mm</w:t>
      </w:r>
      <w:r w:rsidR="004C7A88">
        <w:t>)</w:t>
      </w:r>
      <w:r w:rsidR="004C7A88" w:rsidRPr="008304B2">
        <w:t xml:space="preserve"> and 19% tight</w:t>
      </w:r>
      <w:r w:rsidR="004C7A88">
        <w:t xml:space="preserve"> (&lt;</w:t>
      </w:r>
      <w:r w:rsidR="004C7A88" w:rsidRPr="008304B2">
        <w:t>730mm</w:t>
      </w:r>
      <w:r w:rsidR="004C7A88">
        <w:t>)</w:t>
      </w:r>
      <w:r w:rsidR="00616B20">
        <w:rPr>
          <w:rStyle w:val="FootnoteReference"/>
        </w:rPr>
        <w:footnoteReference w:id="2"/>
      </w:r>
      <w:r w:rsidR="004C7A88">
        <w:t xml:space="preserve">. </w:t>
      </w:r>
      <w:r w:rsidR="00616B20">
        <w:t xml:space="preserve"> However, a clear definition of a high and tight platform remains to be established</w:t>
      </w:r>
      <w:r w:rsidR="00673800">
        <w:t>,</w:t>
      </w:r>
      <w:r w:rsidR="00340C75">
        <w:t xml:space="preserve"> and it is those that are both high and tight that are the major concern</w:t>
      </w:r>
      <w:r w:rsidR="00616B20">
        <w:t xml:space="preserve">. </w:t>
      </w:r>
    </w:p>
    <w:p w14:paraId="62D6158B" w14:textId="7FD6734E" w:rsidR="005E795B" w:rsidRDefault="005E795B" w:rsidP="005E795B">
      <w:pPr>
        <w:pStyle w:val="Body"/>
      </w:pPr>
      <w:r>
        <w:t xml:space="preserve">Since T866, further gauging has been undertaken, and rolling stock procured and cascaded.  Feasibility studies have also indicated that it is possible to alter a vehicle’s height position at specific locations with more dynamic solutions such as the control of air suspension systems (COF-PTI-03 - Feasibility study of a kneeling train).  Engineering, track, technology, platform materials and research have also advanced (e.g. T1054 - Evaluating platform gap fillers to reduce risk at the platform/train interface).  </w:t>
      </w:r>
    </w:p>
    <w:p w14:paraId="157232AE" w14:textId="2AC4335B" w:rsidR="008B78F7" w:rsidRDefault="005E795B" w:rsidP="005E795B">
      <w:pPr>
        <w:pStyle w:val="Body"/>
      </w:pPr>
      <w:r>
        <w:t xml:space="preserve">Accordingly, the current position on high and tight platforms is unclear, particularly following rolling stock cascades in recent years and the detailed constraints at the high and tight platforms that would need addressing.  It is also unclear what cost-effective solutions are currently available to reduce the adverse impact of high and tight platforms, including </w:t>
      </w:r>
      <w:r w:rsidR="000D7973">
        <w:t xml:space="preserve">an </w:t>
      </w:r>
      <w:r>
        <w:t>understanding</w:t>
      </w:r>
      <w:r w:rsidR="00BB6045">
        <w:t xml:space="preserve"> of</w:t>
      </w:r>
      <w:r>
        <w:t xml:space="preserve"> what</w:t>
      </w:r>
      <w:r w:rsidR="000D7973">
        <w:t xml:space="preserve"> approach </w:t>
      </w:r>
      <w:r>
        <w:t xml:space="preserve">would bring the </w:t>
      </w:r>
      <w:proofErr w:type="gramStart"/>
      <w:r>
        <w:t>best  economic</w:t>
      </w:r>
      <w:proofErr w:type="gramEnd"/>
      <w:r>
        <w:t xml:space="preserve"> benefit to</w:t>
      </w:r>
      <w:r w:rsidR="000D7973">
        <w:t xml:space="preserve"> wider</w:t>
      </w:r>
      <w:r>
        <w:t xml:space="preserve"> industry.  </w:t>
      </w:r>
    </w:p>
    <w:p w14:paraId="394AF898" w14:textId="6B0E84D3" w:rsidR="00DF1BB7" w:rsidRDefault="005423A7" w:rsidP="00DF1BB7">
      <w:pPr>
        <w:pStyle w:val="Body"/>
      </w:pPr>
      <w:r>
        <w:t xml:space="preserve">The impact of </w:t>
      </w:r>
      <w:r w:rsidRPr="005423A7">
        <w:t xml:space="preserve">high and tight platforms adversely </w:t>
      </w:r>
      <w:r>
        <w:t xml:space="preserve">affecting </w:t>
      </w:r>
      <w:r w:rsidRPr="005423A7">
        <w:t xml:space="preserve">the step gap position at </w:t>
      </w:r>
      <w:r w:rsidR="000D7973">
        <w:t xml:space="preserve">many </w:t>
      </w:r>
      <w:r w:rsidRPr="005423A7">
        <w:t>other platforms</w:t>
      </w:r>
      <w:r>
        <w:t xml:space="preserve"> may c</w:t>
      </w:r>
      <w:r w:rsidRPr="005423A7">
        <w:t xml:space="preserve">onsequently increase the risk to passengers in the higher </w:t>
      </w:r>
      <w:r w:rsidRPr="005423A7">
        <w:lastRenderedPageBreak/>
        <w:t>consequence falls from the platform (often not boarding or alighting)</w:t>
      </w:r>
      <w:r w:rsidRPr="005423A7">
        <w:rPr>
          <w:vertAlign w:val="superscript"/>
        </w:rPr>
        <w:footnoteReference w:id="3"/>
      </w:r>
      <w:r w:rsidRPr="005423A7">
        <w:t xml:space="preserve">.  </w:t>
      </w:r>
      <w:r>
        <w:t>P</w:t>
      </w:r>
      <w:r w:rsidRPr="005423A7">
        <w:t>assengers with limited mobility and those carrying luggage or</w:t>
      </w:r>
      <w:r w:rsidR="00E5589E">
        <w:t xml:space="preserve"> with</w:t>
      </w:r>
      <w:r w:rsidRPr="005423A7">
        <w:t xml:space="preserve"> prams </w:t>
      </w:r>
      <w:r w:rsidR="000D7973">
        <w:t>are</w:t>
      </w:r>
      <w:r w:rsidRPr="005423A7">
        <w:t xml:space="preserve"> believed to be particularly at risk.  </w:t>
      </w:r>
      <w:r w:rsidR="00DF1BB7">
        <w:t>Notably, t</w:t>
      </w:r>
      <w:r w:rsidRPr="005423A7">
        <w:t>he RSSB 2017/18 Safety Performance Report identified</w:t>
      </w:r>
      <w:r>
        <w:t xml:space="preserve"> that the overall level of physical harm at the PTI has increased by 7% </w:t>
      </w:r>
      <w:r w:rsidR="00DF1BB7">
        <w:t xml:space="preserve">over the past year, and </w:t>
      </w:r>
      <w:r w:rsidRPr="005423A7">
        <w:t>the fatalities and weighted injuries (FWI) for platform edge incidents (not boarding/alighting) was 5.6.</w:t>
      </w:r>
      <w:r w:rsidR="00DF1BB7">
        <w:t xml:space="preserve"> </w:t>
      </w:r>
      <w:r w:rsidRPr="005423A7">
        <w:t xml:space="preserve"> PTI incidents that occur </w:t>
      </w:r>
      <w:proofErr w:type="gramStart"/>
      <w:r w:rsidR="00DF1BB7">
        <w:t>as a consequence</w:t>
      </w:r>
      <w:r w:rsidRPr="005423A7">
        <w:t xml:space="preserve"> of</w:t>
      </w:r>
      <w:proofErr w:type="gramEnd"/>
      <w:r w:rsidRPr="005423A7">
        <w:t xml:space="preserve"> </w:t>
      </w:r>
      <w:r w:rsidR="00DF1BB7">
        <w:t xml:space="preserve">the adverse impact of </w:t>
      </w:r>
      <w:r w:rsidRPr="005423A7">
        <w:t xml:space="preserve">high and tight platforms </w:t>
      </w:r>
      <w:r w:rsidR="000D7973">
        <w:t>are</w:t>
      </w:r>
      <w:r w:rsidR="00DF1BB7">
        <w:t xml:space="preserve"> assumed to be a </w:t>
      </w:r>
      <w:r w:rsidRPr="005423A7">
        <w:t>proportion of th</w:t>
      </w:r>
      <w:r w:rsidR="00DF1BB7">
        <w:t>is value</w:t>
      </w:r>
      <w:r w:rsidRPr="005423A7">
        <w:t xml:space="preserve">.  </w:t>
      </w:r>
    </w:p>
    <w:p w14:paraId="27FCFB27" w14:textId="30F0E1A1" w:rsidR="005423A7" w:rsidRDefault="005423A7" w:rsidP="005E795B">
      <w:pPr>
        <w:pStyle w:val="Body"/>
      </w:pPr>
      <w:r w:rsidRPr="005423A7">
        <w:t>Should T1166 identify possible solutions to reduce the adverse impact of high and tight platforms, including improvements in the step gap position at</w:t>
      </w:r>
      <w:r w:rsidR="00BB6045">
        <w:t xml:space="preserve"> </w:t>
      </w:r>
      <w:proofErr w:type="gramStart"/>
      <w:r w:rsidR="00BB6045">
        <w:t>the</w:t>
      </w:r>
      <w:r w:rsidRPr="005423A7">
        <w:t xml:space="preserve"> majority of</w:t>
      </w:r>
      <w:proofErr w:type="gramEnd"/>
      <w:r w:rsidRPr="005423A7">
        <w:t xml:space="preserve"> platforms, then possible safety benefits could be realised.  </w:t>
      </w:r>
      <w:r w:rsidR="00DF1BB7">
        <w:t xml:space="preserve">This may positively impact passenger satisfaction, with recent scores indicating 63% of passengers rated were satisfied with the </w:t>
      </w:r>
      <w:r>
        <w:t>step or gap between the train and the platform (Transport Focus, 2018)</w:t>
      </w:r>
      <w:r>
        <w:rPr>
          <w:rStyle w:val="FootnoteReference"/>
        </w:rPr>
        <w:footnoteReference w:id="4"/>
      </w:r>
      <w:r>
        <w:t xml:space="preserve">.  </w:t>
      </w:r>
    </w:p>
    <w:p w14:paraId="3CBBD676" w14:textId="58CB0EAC" w:rsidR="0086109D" w:rsidRPr="0086109D" w:rsidRDefault="0086109D" w:rsidP="0086109D">
      <w:pPr>
        <w:pStyle w:val="Body"/>
      </w:pPr>
      <w:r>
        <w:t>Therefore, T1166 sets out to investigate</w:t>
      </w:r>
      <w:r w:rsidRPr="0086109D">
        <w:t xml:space="preserve"> high and tigh</w:t>
      </w:r>
      <w:r>
        <w:t>t</w:t>
      </w:r>
      <w:r w:rsidRPr="0086109D">
        <w:t xml:space="preserve"> platforms and the adverse impact these may have on rolling stock modifications and design, and the step / gap position at other platforms</w:t>
      </w:r>
      <w:r>
        <w:t>.  This research is supported by the industry group People on Trains and Stations Risk Group</w:t>
      </w:r>
      <w:r w:rsidR="003B38DE">
        <w:t xml:space="preserve"> (PTSRG)</w:t>
      </w:r>
      <w:r>
        <w:t xml:space="preserve">, and the Vehicle Structures Systems Interface Committee.  Outputs from T1166 </w:t>
      </w:r>
      <w:r w:rsidR="000D7973">
        <w:t>are</w:t>
      </w:r>
      <w:r>
        <w:t xml:space="preserve"> expected to </w:t>
      </w:r>
      <w:r w:rsidRPr="0086109D">
        <w:t>support the PTI strategy</w:t>
      </w:r>
      <w:r>
        <w:rPr>
          <w:rStyle w:val="FootnoteReference"/>
        </w:rPr>
        <w:footnoteReference w:id="5"/>
      </w:r>
      <w:r w:rsidR="005423A7">
        <w:t xml:space="preserve"> and </w:t>
      </w:r>
      <w:r w:rsidRPr="0086109D">
        <w:t>the Leading Health and safety on Britain’s Railway strategy</w:t>
      </w:r>
      <w:r w:rsidR="005423A7">
        <w:t xml:space="preserve">, including priorities of </w:t>
      </w:r>
      <w:r w:rsidRPr="0086109D">
        <w:t>Station Operations (station development and re-development), workforce health and wellbeing and workforce assaults and trauma</w:t>
      </w:r>
      <w:r w:rsidR="005423A7">
        <w:rPr>
          <w:rStyle w:val="FootnoteReference"/>
        </w:rPr>
        <w:footnoteReference w:id="6"/>
      </w:r>
      <w:r w:rsidRPr="0086109D">
        <w:t xml:space="preserve">.  </w:t>
      </w:r>
    </w:p>
    <w:p w14:paraId="7C645C01" w14:textId="77777777" w:rsidR="0086109D" w:rsidRPr="008B78F7" w:rsidRDefault="0086109D" w:rsidP="008B78F7">
      <w:pPr>
        <w:pStyle w:val="Body"/>
      </w:pPr>
    </w:p>
    <w:p w14:paraId="477743BC" w14:textId="77777777" w:rsidR="00B90DA0" w:rsidRDefault="00B90DA0" w:rsidP="00B90DA0">
      <w:pPr>
        <w:pStyle w:val="Heading1"/>
      </w:pPr>
      <w:r>
        <w:t>Work package objectives</w:t>
      </w:r>
    </w:p>
    <w:p w14:paraId="4B0E9DBB" w14:textId="034E6408" w:rsidR="00D8458A" w:rsidRDefault="00D8458A" w:rsidP="00D8458A">
      <w:pPr>
        <w:pStyle w:val="Body"/>
      </w:pPr>
      <w:r>
        <w:t>The purpose of T1166 is to investigate 'high and tight' platforms and the adverse impact these may have on rolling stock modifications and design, and the step / gap position at other platforms.  The objectives for this work include:</w:t>
      </w:r>
    </w:p>
    <w:p w14:paraId="55989759" w14:textId="3A023ECD" w:rsidR="00133D6F" w:rsidRPr="00285606" w:rsidRDefault="00133D6F" w:rsidP="00234E9A">
      <w:pPr>
        <w:pStyle w:val="Body"/>
        <w:numPr>
          <w:ilvl w:val="0"/>
          <w:numId w:val="29"/>
        </w:numPr>
      </w:pPr>
      <w:r w:rsidRPr="00285606">
        <w:t>Define the parameters of a high and tight platform</w:t>
      </w:r>
      <w:r w:rsidR="003A2658" w:rsidRPr="00285606">
        <w:t xml:space="preserve">, including a </w:t>
      </w:r>
      <w:r w:rsidR="004113FF" w:rsidRPr="00285606">
        <w:t>criterion to analyse gauging data</w:t>
      </w:r>
      <w:r w:rsidR="003A2658" w:rsidRPr="00285606">
        <w:t xml:space="preserve"> to determine whether a platform is both high and tight</w:t>
      </w:r>
    </w:p>
    <w:p w14:paraId="0AC5E0AF" w14:textId="7A421E7D" w:rsidR="00D8458A" w:rsidRDefault="00D8458A" w:rsidP="00234E9A">
      <w:pPr>
        <w:pStyle w:val="Body"/>
        <w:numPr>
          <w:ilvl w:val="0"/>
          <w:numId w:val="29"/>
        </w:numPr>
      </w:pPr>
      <w:r>
        <w:t>Confirm the current locations of high and tight platforms that are adversely impacting rolling stock design, modifications and making the step gap worse at the majority of other platforms</w:t>
      </w:r>
    </w:p>
    <w:p w14:paraId="64495391" w14:textId="0B6411F6" w:rsidR="00D8458A" w:rsidRDefault="00D8458A" w:rsidP="00234E9A">
      <w:pPr>
        <w:pStyle w:val="Body"/>
        <w:numPr>
          <w:ilvl w:val="0"/>
          <w:numId w:val="29"/>
        </w:numPr>
      </w:pPr>
      <w:r>
        <w:t>Define the impact high and tight platforms have on rolling stock design, modification and the step gap position at other platforms, including PTI risks and platform dwell time</w:t>
      </w:r>
    </w:p>
    <w:p w14:paraId="6C17D224" w14:textId="1911B514" w:rsidR="00D8458A" w:rsidRDefault="00D8458A" w:rsidP="00234E9A">
      <w:pPr>
        <w:pStyle w:val="Body"/>
        <w:numPr>
          <w:ilvl w:val="0"/>
          <w:numId w:val="29"/>
        </w:numPr>
      </w:pPr>
      <w:r>
        <w:lastRenderedPageBreak/>
        <w:t xml:space="preserve">Identify possible solutions that may reduce the adverse impact of high and tight platforms </w:t>
      </w:r>
    </w:p>
    <w:p w14:paraId="68E5A191" w14:textId="6CC7CE5C" w:rsidR="00D8458A" w:rsidRDefault="00996F57" w:rsidP="00996F57">
      <w:pPr>
        <w:pStyle w:val="Body"/>
        <w:numPr>
          <w:ilvl w:val="0"/>
          <w:numId w:val="29"/>
        </w:numPr>
      </w:pPr>
      <w:r>
        <w:t>S</w:t>
      </w:r>
      <w:r w:rsidRPr="00996F57">
        <w:t xml:space="preserve">urvey of features </w:t>
      </w:r>
      <w:r w:rsidR="0066118A">
        <w:t xml:space="preserve">and related constraints </w:t>
      </w:r>
      <w:r>
        <w:t xml:space="preserve">that </w:t>
      </w:r>
      <w:r w:rsidRPr="00996F57">
        <w:t>affect</w:t>
      </w:r>
      <w:r>
        <w:t xml:space="preserve"> </w:t>
      </w:r>
      <w:r w:rsidRPr="00996F57">
        <w:t xml:space="preserve">achieving </w:t>
      </w:r>
      <w:r>
        <w:t>a</w:t>
      </w:r>
      <w:r w:rsidRPr="00996F57">
        <w:t xml:space="preserve"> conforming platform edge position</w:t>
      </w:r>
      <w:r w:rsidR="0066118A">
        <w:t xml:space="preserve"> (e.g. buildings, track geometry, bridges, overhead lines, electrical cables, level crossings),</w:t>
      </w:r>
      <w:r>
        <w:t xml:space="preserve"> at selected case study </w:t>
      </w:r>
      <w:r w:rsidR="0066118A">
        <w:t>sites</w:t>
      </w:r>
      <w:r w:rsidR="00E5472C">
        <w:t>.</w:t>
      </w:r>
    </w:p>
    <w:p w14:paraId="4C74267F" w14:textId="13E4AE43" w:rsidR="00D8458A" w:rsidRDefault="00D8458A" w:rsidP="00234E9A">
      <w:pPr>
        <w:pStyle w:val="Body"/>
        <w:numPr>
          <w:ilvl w:val="0"/>
          <w:numId w:val="29"/>
        </w:numPr>
      </w:pPr>
      <w:r>
        <w:t>Undertake an economic assessment to determine the cost-effectiveness of possible solutions reducing the adverse impact of high and tight platforms, and bring the best wider economic benefits to industry</w:t>
      </w:r>
    </w:p>
    <w:p w14:paraId="1EF5A26B" w14:textId="46FE0918" w:rsidR="00D8458A" w:rsidRDefault="00D8458A" w:rsidP="00234E9A">
      <w:pPr>
        <w:pStyle w:val="Body"/>
        <w:numPr>
          <w:ilvl w:val="0"/>
          <w:numId w:val="29"/>
        </w:numPr>
      </w:pPr>
      <w:r>
        <w:t xml:space="preserve">Identify the problems, challenges and opportunities for reducing the adverse impact of high and tight platforms    </w:t>
      </w:r>
    </w:p>
    <w:p w14:paraId="506492E6" w14:textId="1AAFC5DF" w:rsidR="00D8458A" w:rsidRDefault="00D8458A" w:rsidP="00234E9A">
      <w:pPr>
        <w:pStyle w:val="Body"/>
        <w:numPr>
          <w:ilvl w:val="0"/>
          <w:numId w:val="29"/>
        </w:numPr>
      </w:pPr>
      <w:r>
        <w:t>Identify the best economic solution(s) that may improve high and tight platform positions, reduce PTI risks and improve dwell performance</w:t>
      </w:r>
    </w:p>
    <w:p w14:paraId="3D646BF4" w14:textId="6446C1EB" w:rsidR="00D8458A" w:rsidRDefault="00D8458A" w:rsidP="00234E9A">
      <w:pPr>
        <w:pStyle w:val="Body"/>
        <w:numPr>
          <w:ilvl w:val="0"/>
          <w:numId w:val="29"/>
        </w:numPr>
      </w:pPr>
      <w:r>
        <w:t xml:space="preserve">Findings report, including recommendations for PTI risk and dwell management </w:t>
      </w:r>
    </w:p>
    <w:p w14:paraId="487450BE" w14:textId="007016B4" w:rsidR="00D8458A" w:rsidRDefault="00D8458A" w:rsidP="00234E9A">
      <w:pPr>
        <w:pStyle w:val="Body"/>
        <w:numPr>
          <w:ilvl w:val="0"/>
          <w:numId w:val="29"/>
        </w:numPr>
      </w:pPr>
      <w:r>
        <w:t>Develop a robust implementation strategy, including guidance on transitioning to implementing the platform solution and impact on rolling stock cascade</w:t>
      </w:r>
      <w:r w:rsidR="000D7973">
        <w:t>.  This would include temporary works, possession considerations and site logistics.</w:t>
      </w:r>
    </w:p>
    <w:p w14:paraId="4B9CF7E5" w14:textId="77777777" w:rsidR="0066118A" w:rsidRDefault="0066118A" w:rsidP="00E5472C">
      <w:pPr>
        <w:pStyle w:val="Body"/>
      </w:pPr>
    </w:p>
    <w:p w14:paraId="269BEB27" w14:textId="710895F2" w:rsidR="00C00FDE" w:rsidRPr="00285606" w:rsidRDefault="00C00FDE" w:rsidP="00C00FDE">
      <w:pPr>
        <w:pStyle w:val="Body"/>
      </w:pPr>
      <w:r w:rsidRPr="00285606">
        <w:t xml:space="preserve">RSSB </w:t>
      </w:r>
      <w:r w:rsidR="00F1508C" w:rsidRPr="00285606">
        <w:t xml:space="preserve">intend to </w:t>
      </w:r>
      <w:r w:rsidRPr="00285606">
        <w:t xml:space="preserve">provide a list of high and tight platforms in the full ITT, to support suppliers identify and propose potential case study sites for the platform arrangement surveys. </w:t>
      </w:r>
      <w:bookmarkStart w:id="1" w:name="_GoBack"/>
      <w:bookmarkEnd w:id="1"/>
    </w:p>
    <w:p w14:paraId="2D62594E" w14:textId="4844A192" w:rsidR="00C00FDE" w:rsidRDefault="00C00FDE" w:rsidP="00285606">
      <w:pPr>
        <w:pStyle w:val="Body"/>
      </w:pPr>
      <w:r w:rsidRPr="00285606">
        <w:t xml:space="preserve">Suppliers are asked to include in their bid, to propose up to five locations to undertake the case study </w:t>
      </w:r>
      <w:proofErr w:type="gramStart"/>
      <w:r w:rsidRPr="00285606">
        <w:t>surveys, and</w:t>
      </w:r>
      <w:proofErr w:type="gramEnd"/>
      <w:r w:rsidRPr="00285606">
        <w:t xml:space="preserve"> include a rationale for each site</w:t>
      </w:r>
      <w:r w:rsidR="00F1508C" w:rsidRPr="00285606">
        <w:t xml:space="preserve"> selection</w:t>
      </w:r>
      <w:r w:rsidRPr="00285606">
        <w:t>. Proposed case study sites will need to be supported and agreed by the project steering group and by the applicable SFO and Network Rail route.</w:t>
      </w:r>
    </w:p>
    <w:p w14:paraId="19D45730" w14:textId="77777777" w:rsidR="00E5472C" w:rsidRDefault="00E5472C" w:rsidP="00285606">
      <w:pPr>
        <w:pStyle w:val="Body"/>
      </w:pPr>
    </w:p>
    <w:p w14:paraId="2894B00B" w14:textId="77777777" w:rsidR="00B90DA0" w:rsidRPr="00B90DA0" w:rsidRDefault="00B90DA0" w:rsidP="00B90DA0">
      <w:pPr>
        <w:pStyle w:val="Heading1"/>
      </w:pPr>
      <w:r>
        <w:t>Scope</w:t>
      </w:r>
    </w:p>
    <w:tbl>
      <w:tblPr>
        <w:tblStyle w:val="TableGrid"/>
        <w:tblW w:w="7706" w:type="dxa"/>
        <w:tblInd w:w="227" w:type="dxa"/>
        <w:tblLook w:val="04A0" w:firstRow="1" w:lastRow="0" w:firstColumn="1" w:lastColumn="0" w:noHBand="0" w:noVBand="1"/>
      </w:tblPr>
      <w:tblGrid>
        <w:gridCol w:w="5297"/>
        <w:gridCol w:w="2409"/>
      </w:tblGrid>
      <w:tr w:rsidR="004E0FFB" w:rsidRPr="00D8458A" w14:paraId="1437F89B" w14:textId="77777777" w:rsidTr="00D8458A">
        <w:tc>
          <w:tcPr>
            <w:tcW w:w="5297" w:type="dxa"/>
          </w:tcPr>
          <w:p w14:paraId="19DBB257" w14:textId="4187ED3B" w:rsidR="004E0FFB" w:rsidRPr="00D8458A" w:rsidRDefault="004E0FFB" w:rsidP="006440C8">
            <w:pPr>
              <w:pStyle w:val="BodyIndent1"/>
              <w:ind w:left="0"/>
              <w:rPr>
                <w:b/>
                <w:sz w:val="20"/>
              </w:rPr>
            </w:pPr>
            <w:r w:rsidRPr="00D8458A">
              <w:rPr>
                <w:b/>
                <w:sz w:val="20"/>
              </w:rPr>
              <w:t xml:space="preserve">In scope </w:t>
            </w:r>
          </w:p>
        </w:tc>
        <w:tc>
          <w:tcPr>
            <w:tcW w:w="2409" w:type="dxa"/>
          </w:tcPr>
          <w:p w14:paraId="1C556CB4" w14:textId="62E24D1F" w:rsidR="004E0FFB" w:rsidRPr="00D8458A" w:rsidRDefault="004E0FFB" w:rsidP="006440C8">
            <w:pPr>
              <w:pStyle w:val="BodyIndent1"/>
              <w:ind w:left="0"/>
              <w:rPr>
                <w:b/>
                <w:sz w:val="20"/>
              </w:rPr>
            </w:pPr>
            <w:r w:rsidRPr="00D8458A">
              <w:rPr>
                <w:b/>
                <w:sz w:val="20"/>
              </w:rPr>
              <w:t>Out of scope</w:t>
            </w:r>
          </w:p>
        </w:tc>
      </w:tr>
      <w:tr w:rsidR="004E0FFB" w:rsidRPr="00D8458A" w14:paraId="74C60284" w14:textId="77777777" w:rsidTr="00D8458A">
        <w:tc>
          <w:tcPr>
            <w:tcW w:w="5297" w:type="dxa"/>
          </w:tcPr>
          <w:p w14:paraId="6F1DB2C6" w14:textId="77777777" w:rsidR="00D8458A" w:rsidRPr="00D8458A" w:rsidRDefault="00D8458A" w:rsidP="00234E9A">
            <w:pPr>
              <w:pStyle w:val="Body"/>
              <w:numPr>
                <w:ilvl w:val="0"/>
                <w:numId w:val="25"/>
              </w:numPr>
              <w:spacing w:before="120" w:line="276" w:lineRule="auto"/>
              <w:rPr>
                <w:sz w:val="20"/>
              </w:rPr>
            </w:pPr>
            <w:r w:rsidRPr="00D8458A">
              <w:rPr>
                <w:sz w:val="20"/>
              </w:rPr>
              <w:t xml:space="preserve">Desk based review and analysis including: </w:t>
            </w:r>
          </w:p>
          <w:p w14:paraId="616059E0" w14:textId="77777777" w:rsidR="00D8458A" w:rsidRPr="00D8458A" w:rsidRDefault="00D8458A" w:rsidP="00234E9A">
            <w:pPr>
              <w:pStyle w:val="Body"/>
              <w:numPr>
                <w:ilvl w:val="1"/>
                <w:numId w:val="25"/>
              </w:numPr>
              <w:spacing w:before="120" w:line="276" w:lineRule="auto"/>
              <w:rPr>
                <w:sz w:val="20"/>
              </w:rPr>
            </w:pPr>
            <w:r w:rsidRPr="00D8458A">
              <w:rPr>
                <w:sz w:val="20"/>
              </w:rPr>
              <w:t xml:space="preserve">Previous research (e.g. T866, T1037, COF-PTI-03, T1054) </w:t>
            </w:r>
          </w:p>
          <w:p w14:paraId="4864E1A2" w14:textId="77777777" w:rsidR="00D8458A" w:rsidRPr="00D8458A" w:rsidRDefault="00D8458A" w:rsidP="00234E9A">
            <w:pPr>
              <w:pStyle w:val="Body"/>
              <w:numPr>
                <w:ilvl w:val="1"/>
                <w:numId w:val="25"/>
              </w:numPr>
              <w:spacing w:before="120" w:line="276" w:lineRule="auto"/>
              <w:rPr>
                <w:sz w:val="20"/>
              </w:rPr>
            </w:pPr>
            <w:r w:rsidRPr="00D8458A">
              <w:rPr>
                <w:sz w:val="20"/>
              </w:rPr>
              <w:t>Data on gauging, rolling stock introduction and cascades, PTI incidents and station dwell</w:t>
            </w:r>
          </w:p>
          <w:p w14:paraId="6130D5F9" w14:textId="77777777" w:rsidR="00D8458A" w:rsidRPr="00D8458A" w:rsidRDefault="00D8458A" w:rsidP="00234E9A">
            <w:pPr>
              <w:pStyle w:val="Body"/>
              <w:numPr>
                <w:ilvl w:val="1"/>
                <w:numId w:val="25"/>
              </w:numPr>
              <w:spacing w:before="120" w:line="276" w:lineRule="auto"/>
              <w:rPr>
                <w:sz w:val="20"/>
              </w:rPr>
            </w:pPr>
            <w:r w:rsidRPr="00D8458A">
              <w:rPr>
                <w:sz w:val="20"/>
              </w:rPr>
              <w:t>Engineering, track, technology, platform materials, practices and solutions that may reduce the adverse impact of high and tight platforms</w:t>
            </w:r>
          </w:p>
          <w:p w14:paraId="298D8E4B" w14:textId="77777777" w:rsidR="00D8458A" w:rsidRPr="00D8458A" w:rsidRDefault="00D8458A" w:rsidP="00234E9A">
            <w:pPr>
              <w:pStyle w:val="Body"/>
              <w:numPr>
                <w:ilvl w:val="1"/>
                <w:numId w:val="25"/>
              </w:numPr>
              <w:spacing w:before="120" w:line="276" w:lineRule="auto"/>
              <w:rPr>
                <w:sz w:val="20"/>
              </w:rPr>
            </w:pPr>
            <w:r w:rsidRPr="00D8458A">
              <w:rPr>
                <w:sz w:val="20"/>
              </w:rPr>
              <w:lastRenderedPageBreak/>
              <w:t>Current problems and challenges that adversely impact high and tight platforms</w:t>
            </w:r>
          </w:p>
          <w:p w14:paraId="3698AF1C" w14:textId="77777777" w:rsidR="00D8458A" w:rsidRPr="00D8458A" w:rsidRDefault="00D8458A" w:rsidP="00234E9A">
            <w:pPr>
              <w:pStyle w:val="Body"/>
              <w:numPr>
                <w:ilvl w:val="1"/>
                <w:numId w:val="25"/>
              </w:numPr>
              <w:spacing w:before="120" w:line="276" w:lineRule="auto"/>
              <w:rPr>
                <w:sz w:val="20"/>
              </w:rPr>
            </w:pPr>
            <w:r w:rsidRPr="00D8458A">
              <w:rPr>
                <w:sz w:val="20"/>
              </w:rPr>
              <w:t>Station, track and rolling stock requirements for possible modifications to reduce the adverse impact of ‘high and tight’ platforms</w:t>
            </w:r>
          </w:p>
          <w:p w14:paraId="68AA7D78" w14:textId="77777777" w:rsidR="00F24E03" w:rsidRPr="00285606" w:rsidRDefault="00182E57" w:rsidP="00234E9A">
            <w:pPr>
              <w:pStyle w:val="Body"/>
              <w:numPr>
                <w:ilvl w:val="0"/>
                <w:numId w:val="25"/>
              </w:numPr>
              <w:spacing w:before="120" w:line="276" w:lineRule="auto"/>
              <w:rPr>
                <w:sz w:val="20"/>
              </w:rPr>
            </w:pPr>
            <w:r>
              <w:rPr>
                <w:sz w:val="20"/>
              </w:rPr>
              <w:t>Define the parameters of a high and tight platform</w:t>
            </w:r>
            <w:r w:rsidR="00F24E03" w:rsidRPr="00F24E03">
              <w:rPr>
                <w:rFonts w:ascii="Arial" w:hAnsi="Arial" w:cs="Times New Roman"/>
                <w:sz w:val="24"/>
                <w:szCs w:val="24"/>
                <w:lang w:eastAsia="en-US"/>
              </w:rPr>
              <w:t xml:space="preserve"> </w:t>
            </w:r>
          </w:p>
          <w:p w14:paraId="0FEA1FA7" w14:textId="094A7FB4" w:rsidR="00182E57" w:rsidRDefault="00F24E03" w:rsidP="00234E9A">
            <w:pPr>
              <w:pStyle w:val="Body"/>
              <w:numPr>
                <w:ilvl w:val="0"/>
                <w:numId w:val="25"/>
              </w:numPr>
              <w:spacing w:before="120" w:line="276" w:lineRule="auto"/>
              <w:rPr>
                <w:sz w:val="20"/>
              </w:rPr>
            </w:pPr>
            <w:r>
              <w:rPr>
                <w:sz w:val="20"/>
              </w:rPr>
              <w:t xml:space="preserve">Define </w:t>
            </w:r>
            <w:r w:rsidRPr="00F24E03">
              <w:rPr>
                <w:sz w:val="20"/>
              </w:rPr>
              <w:t>a criterion to analyse gauging data to determine whether a platform is both high and tight</w:t>
            </w:r>
          </w:p>
          <w:p w14:paraId="6AFB5731" w14:textId="29D10C55" w:rsidR="00022B96" w:rsidRDefault="00022B96" w:rsidP="00234E9A">
            <w:pPr>
              <w:pStyle w:val="Body"/>
              <w:numPr>
                <w:ilvl w:val="0"/>
                <w:numId w:val="25"/>
              </w:numPr>
              <w:spacing w:before="120" w:line="276" w:lineRule="auto"/>
              <w:rPr>
                <w:sz w:val="20"/>
              </w:rPr>
            </w:pPr>
            <w:r w:rsidRPr="00022B96">
              <w:rPr>
                <w:sz w:val="20"/>
              </w:rPr>
              <w:t>Confirm the current locations of high and tight platforms</w:t>
            </w:r>
            <w:r>
              <w:rPr>
                <w:sz w:val="20"/>
              </w:rPr>
              <w:t xml:space="preserve"> and identify case study sites for platform arrangement surveys</w:t>
            </w:r>
          </w:p>
          <w:p w14:paraId="1A82932D" w14:textId="29E0DF11" w:rsidR="00D8458A" w:rsidRPr="00D8458A" w:rsidRDefault="00FE1554" w:rsidP="00234E9A">
            <w:pPr>
              <w:pStyle w:val="Body"/>
              <w:numPr>
                <w:ilvl w:val="0"/>
                <w:numId w:val="25"/>
              </w:numPr>
              <w:spacing w:before="120" w:line="276" w:lineRule="auto"/>
              <w:rPr>
                <w:sz w:val="20"/>
              </w:rPr>
            </w:pPr>
            <w:r>
              <w:rPr>
                <w:sz w:val="20"/>
              </w:rPr>
              <w:t>High and tight platform</w:t>
            </w:r>
            <w:r w:rsidR="00B53F8D">
              <w:rPr>
                <w:sz w:val="20"/>
              </w:rPr>
              <w:t xml:space="preserve"> </w:t>
            </w:r>
            <w:r w:rsidR="00D8458A" w:rsidRPr="00D8458A">
              <w:rPr>
                <w:sz w:val="20"/>
              </w:rPr>
              <w:t>arrangement survey</w:t>
            </w:r>
            <w:r w:rsidR="00B53F8D">
              <w:rPr>
                <w:sz w:val="20"/>
              </w:rPr>
              <w:t xml:space="preserve">s at selected case study sites, including an overview of constraints in the area (e.g. level crossings, </w:t>
            </w:r>
            <w:r w:rsidR="00D8458A" w:rsidRPr="00D8458A">
              <w:rPr>
                <w:sz w:val="20"/>
              </w:rPr>
              <w:t>buildings, bridges, lifts, escalators, electrical wires,</w:t>
            </w:r>
            <w:r w:rsidR="00B53F8D">
              <w:rPr>
                <w:sz w:val="20"/>
              </w:rPr>
              <w:t xml:space="preserve"> track geometry,</w:t>
            </w:r>
            <w:r w:rsidR="00D8458A" w:rsidRPr="00D8458A">
              <w:rPr>
                <w:sz w:val="20"/>
              </w:rPr>
              <w:t xml:space="preserve"> platform use, etc.</w:t>
            </w:r>
            <w:r w:rsidR="00B53F8D">
              <w:rPr>
                <w:sz w:val="20"/>
              </w:rPr>
              <w:t>)</w:t>
            </w:r>
          </w:p>
          <w:p w14:paraId="1E54DC33" w14:textId="77777777" w:rsidR="00D8458A" w:rsidRPr="00D8458A" w:rsidRDefault="00D8458A" w:rsidP="00234E9A">
            <w:pPr>
              <w:pStyle w:val="Body"/>
              <w:numPr>
                <w:ilvl w:val="0"/>
                <w:numId w:val="25"/>
              </w:numPr>
              <w:spacing w:before="120" w:line="276" w:lineRule="auto"/>
              <w:rPr>
                <w:sz w:val="20"/>
              </w:rPr>
            </w:pPr>
            <w:r w:rsidRPr="00D8458A">
              <w:rPr>
                <w:sz w:val="20"/>
              </w:rPr>
              <w:t>Economic assessment to define the optimal balance for reducing the adverse impact of high and tight platforms on the majority of UK platforms</w:t>
            </w:r>
          </w:p>
          <w:p w14:paraId="38904281" w14:textId="77777777" w:rsidR="00D8458A" w:rsidRPr="00D8458A" w:rsidRDefault="00D8458A" w:rsidP="00234E9A">
            <w:pPr>
              <w:pStyle w:val="Body"/>
              <w:numPr>
                <w:ilvl w:val="0"/>
                <w:numId w:val="25"/>
              </w:numPr>
              <w:spacing w:before="120" w:line="276" w:lineRule="auto"/>
              <w:rPr>
                <w:sz w:val="20"/>
              </w:rPr>
            </w:pPr>
            <w:r w:rsidRPr="00D8458A">
              <w:rPr>
                <w:sz w:val="20"/>
              </w:rPr>
              <w:t>Cost-effective opportunities and solutions to reduce the adverse impact of high and tight platforms, including adjustments and modifications to combinations of platform, track and rolling stock etc</w:t>
            </w:r>
          </w:p>
          <w:p w14:paraId="11542EA0" w14:textId="77777777" w:rsidR="00D8458A" w:rsidRPr="00D8458A" w:rsidRDefault="00D8458A" w:rsidP="00234E9A">
            <w:pPr>
              <w:pStyle w:val="Body"/>
              <w:numPr>
                <w:ilvl w:val="0"/>
                <w:numId w:val="25"/>
              </w:numPr>
              <w:spacing w:before="120" w:line="276" w:lineRule="auto"/>
              <w:rPr>
                <w:sz w:val="20"/>
              </w:rPr>
            </w:pPr>
            <w:r w:rsidRPr="00D8458A">
              <w:rPr>
                <w:sz w:val="20"/>
              </w:rPr>
              <w:t>Propose possible mitigation strategies if potential solutions may result in making the step / gap position worse at high and tight platforms, achieving the best balance of wider benefits</w:t>
            </w:r>
          </w:p>
          <w:p w14:paraId="658D68D8" w14:textId="77777777" w:rsidR="00D8458A" w:rsidRPr="00D8458A" w:rsidRDefault="00D8458A" w:rsidP="00234E9A">
            <w:pPr>
              <w:pStyle w:val="Body"/>
              <w:numPr>
                <w:ilvl w:val="0"/>
                <w:numId w:val="25"/>
              </w:numPr>
              <w:spacing w:before="120" w:line="276" w:lineRule="auto"/>
              <w:rPr>
                <w:sz w:val="20"/>
              </w:rPr>
            </w:pPr>
            <w:r w:rsidRPr="00D8458A">
              <w:rPr>
                <w:sz w:val="20"/>
              </w:rPr>
              <w:t>Impact of high and tight platforms on dwell time and PTI management, and how possible solutions may improve these</w:t>
            </w:r>
          </w:p>
          <w:p w14:paraId="42490329" w14:textId="17EB7AC9" w:rsidR="004E0FFB" w:rsidRPr="00D8458A" w:rsidRDefault="00D8458A" w:rsidP="00234E9A">
            <w:pPr>
              <w:pStyle w:val="Body"/>
              <w:numPr>
                <w:ilvl w:val="0"/>
                <w:numId w:val="25"/>
              </w:numPr>
              <w:spacing w:before="120" w:line="276" w:lineRule="auto"/>
              <w:rPr>
                <w:sz w:val="20"/>
              </w:rPr>
            </w:pPr>
            <w:r w:rsidRPr="00D8458A">
              <w:rPr>
                <w:sz w:val="20"/>
              </w:rPr>
              <w:t>Implementation strategy, including planned platform/station upgrades, new rolling stock, stock cascades and modifications</w:t>
            </w:r>
          </w:p>
        </w:tc>
        <w:tc>
          <w:tcPr>
            <w:tcW w:w="2409" w:type="dxa"/>
          </w:tcPr>
          <w:p w14:paraId="4EF32A14" w14:textId="77777777" w:rsidR="00D8458A" w:rsidRDefault="00D8458A" w:rsidP="00234E9A">
            <w:pPr>
              <w:pStyle w:val="Body"/>
              <w:numPr>
                <w:ilvl w:val="0"/>
                <w:numId w:val="25"/>
              </w:numPr>
              <w:rPr>
                <w:sz w:val="20"/>
              </w:rPr>
            </w:pPr>
            <w:r w:rsidRPr="00D8458A">
              <w:rPr>
                <w:sz w:val="20"/>
              </w:rPr>
              <w:lastRenderedPageBreak/>
              <w:t>Testing of solutions and/or modifications to platforms, track, or rolling stock</w:t>
            </w:r>
          </w:p>
          <w:p w14:paraId="5BEA341E" w14:textId="77777777" w:rsidR="00D8458A" w:rsidRDefault="00D8458A" w:rsidP="00234E9A">
            <w:pPr>
              <w:pStyle w:val="Body"/>
              <w:numPr>
                <w:ilvl w:val="0"/>
                <w:numId w:val="25"/>
              </w:numPr>
              <w:rPr>
                <w:sz w:val="20"/>
              </w:rPr>
            </w:pPr>
            <w:r w:rsidRPr="00D8458A">
              <w:rPr>
                <w:sz w:val="20"/>
              </w:rPr>
              <w:t>Solutions that are not transferable to GB rail</w:t>
            </w:r>
          </w:p>
          <w:p w14:paraId="060B2639" w14:textId="739F5875" w:rsidR="00DF0D13" w:rsidRPr="00DF0D13" w:rsidRDefault="00D8458A">
            <w:pPr>
              <w:pStyle w:val="Body"/>
              <w:numPr>
                <w:ilvl w:val="0"/>
                <w:numId w:val="25"/>
              </w:numPr>
              <w:rPr>
                <w:sz w:val="20"/>
              </w:rPr>
            </w:pPr>
            <w:r w:rsidRPr="00D8458A">
              <w:rPr>
                <w:sz w:val="20"/>
              </w:rPr>
              <w:t>Survey of platforms that are not high and tight</w:t>
            </w:r>
          </w:p>
        </w:tc>
      </w:tr>
    </w:tbl>
    <w:p w14:paraId="79AD91CE" w14:textId="77777777" w:rsidR="00B90DA0" w:rsidRPr="007617B6" w:rsidRDefault="00B90DA0" w:rsidP="007617B6">
      <w:pPr>
        <w:pStyle w:val="BodyIndent1"/>
        <w:ind w:left="0"/>
        <w:rPr>
          <w:i/>
        </w:rPr>
      </w:pPr>
    </w:p>
    <w:p w14:paraId="3FD63A5D" w14:textId="6331DA64" w:rsidR="00A53EA0" w:rsidRDefault="00A53EA0" w:rsidP="00A53EA0">
      <w:pPr>
        <w:pStyle w:val="Heading1"/>
      </w:pPr>
      <w:r>
        <w:t xml:space="preserve">Methodology </w:t>
      </w:r>
    </w:p>
    <w:p w14:paraId="557CB3C3" w14:textId="12587D17" w:rsidR="00221F9B" w:rsidRDefault="00A53EA0" w:rsidP="00A53EA0">
      <w:pPr>
        <w:rPr>
          <w:rFonts w:ascii="Calibri" w:hAnsi="Calibri" w:cs="Arial"/>
          <w:sz w:val="22"/>
          <w:szCs w:val="22"/>
          <w:lang w:eastAsia="en-GB"/>
        </w:rPr>
      </w:pPr>
      <w:r w:rsidRPr="00A53EA0">
        <w:rPr>
          <w:rFonts w:ascii="Calibri" w:hAnsi="Calibri" w:cs="Arial"/>
          <w:sz w:val="22"/>
          <w:szCs w:val="22"/>
          <w:lang w:eastAsia="en-GB"/>
        </w:rPr>
        <w:t xml:space="preserve">Suppliers are </w:t>
      </w:r>
      <w:r w:rsidR="008D6E09">
        <w:rPr>
          <w:rFonts w:ascii="Calibri" w:hAnsi="Calibri" w:cs="Arial"/>
          <w:sz w:val="22"/>
          <w:szCs w:val="22"/>
          <w:lang w:eastAsia="en-GB"/>
        </w:rPr>
        <w:t>expected to explain the methodology that they are intending to use to successful</w:t>
      </w:r>
      <w:r w:rsidR="007D4616">
        <w:rPr>
          <w:rFonts w:ascii="Calibri" w:hAnsi="Calibri" w:cs="Arial"/>
          <w:sz w:val="22"/>
          <w:szCs w:val="22"/>
          <w:lang w:eastAsia="en-GB"/>
        </w:rPr>
        <w:t>ly</w:t>
      </w:r>
      <w:r w:rsidR="008D6E09">
        <w:rPr>
          <w:rFonts w:ascii="Calibri" w:hAnsi="Calibri" w:cs="Arial"/>
          <w:sz w:val="22"/>
          <w:szCs w:val="22"/>
          <w:lang w:eastAsia="en-GB"/>
        </w:rPr>
        <w:t xml:space="preserve"> meet the project objectives and cover the scope.</w:t>
      </w:r>
      <w:r w:rsidR="00221F9B">
        <w:rPr>
          <w:rFonts w:ascii="Calibri" w:hAnsi="Calibri" w:cs="Arial"/>
          <w:sz w:val="22"/>
          <w:szCs w:val="22"/>
          <w:lang w:eastAsia="en-GB"/>
        </w:rPr>
        <w:t xml:space="preserve">  </w:t>
      </w:r>
      <w:r w:rsidR="00614442" w:rsidRPr="005C3416">
        <w:rPr>
          <w:rFonts w:ascii="Calibri" w:hAnsi="Calibri" w:cs="Arial"/>
          <w:sz w:val="22"/>
          <w:szCs w:val="22"/>
          <w:lang w:eastAsia="en-GB"/>
        </w:rPr>
        <w:t>Within that methodology there should be:</w:t>
      </w:r>
    </w:p>
    <w:p w14:paraId="46356526" w14:textId="02A2AA41" w:rsidR="00614442" w:rsidRDefault="00614442" w:rsidP="00A53EA0">
      <w:pPr>
        <w:rPr>
          <w:rFonts w:ascii="Calibri" w:hAnsi="Calibri" w:cs="Arial"/>
          <w:sz w:val="22"/>
          <w:szCs w:val="22"/>
          <w:lang w:eastAsia="en-GB"/>
        </w:rPr>
      </w:pPr>
    </w:p>
    <w:p w14:paraId="372CAE88" w14:textId="77777777" w:rsidR="00636E84" w:rsidRDefault="00636E84" w:rsidP="00614442">
      <w:pPr>
        <w:pStyle w:val="Style1"/>
      </w:pPr>
      <w:r w:rsidRPr="00636E84">
        <w:t xml:space="preserve">Desk based review and analysis, </w:t>
      </w:r>
    </w:p>
    <w:p w14:paraId="4B5B1A16" w14:textId="1B41E4EC" w:rsidR="00636E84" w:rsidRDefault="00636E84" w:rsidP="00614442">
      <w:pPr>
        <w:pStyle w:val="Style1"/>
      </w:pPr>
      <w:r w:rsidRPr="00636E84">
        <w:lastRenderedPageBreak/>
        <w:t>Case study survey arrangement</w:t>
      </w:r>
      <w:r w:rsidR="000D7973">
        <w:t>s</w:t>
      </w:r>
    </w:p>
    <w:p w14:paraId="293E8CAC" w14:textId="77777777" w:rsidR="00636E84" w:rsidRDefault="00636E84" w:rsidP="00614442">
      <w:pPr>
        <w:pStyle w:val="Style1"/>
      </w:pPr>
      <w:r w:rsidRPr="00636E84">
        <w:t>Economic assessment</w:t>
      </w:r>
    </w:p>
    <w:p w14:paraId="223E01F4" w14:textId="66DCA918" w:rsidR="00636E84" w:rsidRDefault="00636E84" w:rsidP="00614442">
      <w:pPr>
        <w:pStyle w:val="Style1"/>
      </w:pPr>
      <w:r w:rsidRPr="00636E84">
        <w:t xml:space="preserve">Implementation strategy </w:t>
      </w:r>
    </w:p>
    <w:p w14:paraId="284BE9BD" w14:textId="77777777" w:rsidR="00636E84" w:rsidRDefault="00636E84" w:rsidP="00A53EA0">
      <w:pPr>
        <w:rPr>
          <w:rFonts w:ascii="Calibri" w:hAnsi="Calibri" w:cs="Arial"/>
          <w:sz w:val="22"/>
          <w:szCs w:val="22"/>
          <w:lang w:eastAsia="en-GB"/>
        </w:rPr>
      </w:pPr>
    </w:p>
    <w:p w14:paraId="6EB524C5" w14:textId="304BAF08" w:rsidR="006440C8" w:rsidRPr="006440C8" w:rsidRDefault="007617B6" w:rsidP="006440C8">
      <w:pPr>
        <w:pStyle w:val="Heading1"/>
      </w:pPr>
      <w:r>
        <w:t>Deliverables</w:t>
      </w:r>
    </w:p>
    <w:tbl>
      <w:tblPr>
        <w:tblW w:w="10314" w:type="dxa"/>
        <w:tblLayout w:type="fixed"/>
        <w:tblLook w:val="00A0" w:firstRow="1" w:lastRow="0" w:firstColumn="1" w:lastColumn="0" w:noHBand="0" w:noVBand="0"/>
      </w:tblPr>
      <w:tblGrid>
        <w:gridCol w:w="250"/>
        <w:gridCol w:w="10064"/>
      </w:tblGrid>
      <w:tr w:rsidR="00B90DA0" w14:paraId="5B580871" w14:textId="77777777" w:rsidTr="00744E48">
        <w:tc>
          <w:tcPr>
            <w:tcW w:w="250" w:type="dxa"/>
          </w:tcPr>
          <w:p w14:paraId="365092F3" w14:textId="77777777" w:rsidR="00B90DA0" w:rsidRDefault="00B90DA0" w:rsidP="00744E48">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B90DA0" w14:paraId="2B20A1FF" w14:textId="77777777" w:rsidTr="00DF1BB7">
              <w:tc>
                <w:tcPr>
                  <w:tcW w:w="5307" w:type="dxa"/>
                  <w:shd w:val="clear" w:color="auto" w:fill="99CC00"/>
                </w:tcPr>
                <w:p w14:paraId="4C225802" w14:textId="77777777" w:rsidR="00B90DA0" w:rsidRDefault="00B90DA0" w:rsidP="00087FC1">
                  <w:pPr>
                    <w:pStyle w:val="BodyIndent1"/>
                    <w:rPr>
                      <w:b/>
                    </w:rPr>
                  </w:pPr>
                  <w:r>
                    <w:rPr>
                      <w:b/>
                    </w:rPr>
                    <w:t>Deliverable Name</w:t>
                  </w:r>
                </w:p>
              </w:tc>
              <w:tc>
                <w:tcPr>
                  <w:tcW w:w="2694" w:type="dxa"/>
                  <w:shd w:val="clear" w:color="auto" w:fill="99CC00"/>
                </w:tcPr>
                <w:p w14:paraId="5C97157F" w14:textId="77777777" w:rsidR="00B90DA0" w:rsidRDefault="00B90DA0" w:rsidP="00087FC1">
                  <w:pPr>
                    <w:pStyle w:val="BodyIndent1"/>
                    <w:rPr>
                      <w:b/>
                    </w:rPr>
                  </w:pPr>
                  <w:r>
                    <w:rPr>
                      <w:b/>
                    </w:rPr>
                    <w:t>Type</w:t>
                  </w:r>
                </w:p>
              </w:tc>
            </w:tr>
            <w:tr w:rsidR="00B90DA0" w14:paraId="159ACE6E" w14:textId="77777777" w:rsidTr="00DF1BB7">
              <w:trPr>
                <w:tblHeader/>
              </w:trPr>
              <w:tc>
                <w:tcPr>
                  <w:tcW w:w="5307" w:type="dxa"/>
                  <w:shd w:val="clear" w:color="auto" w:fill="FFFFFF"/>
                </w:tcPr>
                <w:p w14:paraId="1DF38CF4" w14:textId="32525B6B" w:rsidR="00B90DA0" w:rsidRDefault="0086109D" w:rsidP="00087FC1">
                  <w:pPr>
                    <w:pStyle w:val="BodyIndent1"/>
                  </w:pPr>
                  <w:r>
                    <w:t xml:space="preserve">Desk-based review and analysis </w:t>
                  </w:r>
                  <w:r w:rsidR="00105C89">
                    <w:t xml:space="preserve"> </w:t>
                  </w:r>
                  <w:r w:rsidR="008D6E09">
                    <w:t xml:space="preserve"> </w:t>
                  </w:r>
                </w:p>
              </w:tc>
              <w:tc>
                <w:tcPr>
                  <w:tcW w:w="2694" w:type="dxa"/>
                  <w:shd w:val="clear" w:color="auto" w:fill="FFFFFF"/>
                </w:tcPr>
                <w:p w14:paraId="237333E6" w14:textId="62D022CE" w:rsidR="00B90DA0" w:rsidRDefault="00C0656F" w:rsidP="008D6E09">
                  <w:pPr>
                    <w:pStyle w:val="BodyIndent1"/>
                  </w:pPr>
                  <w:r>
                    <w:t>Report</w:t>
                  </w:r>
                </w:p>
              </w:tc>
            </w:tr>
            <w:tr w:rsidR="00B90DA0" w14:paraId="6485A99F" w14:textId="77777777" w:rsidTr="00DF1BB7">
              <w:trPr>
                <w:tblHeader/>
              </w:trPr>
              <w:tc>
                <w:tcPr>
                  <w:tcW w:w="8001" w:type="dxa"/>
                  <w:gridSpan w:val="2"/>
                  <w:shd w:val="clear" w:color="auto" w:fill="FFFFFF"/>
                </w:tcPr>
                <w:p w14:paraId="0E5FF7AF" w14:textId="03536862" w:rsidR="001D7E2A" w:rsidRDefault="003B38DE" w:rsidP="00B35F20">
                  <w:pPr>
                    <w:pStyle w:val="Body"/>
                  </w:pPr>
                  <w:r>
                    <w:t>This report presents the findings from the desk-based review and analysis, including:</w:t>
                  </w:r>
                </w:p>
                <w:p w14:paraId="5DE9CE56" w14:textId="516FECD4" w:rsidR="00B53F8D" w:rsidRDefault="00B53F8D" w:rsidP="00234E9A">
                  <w:pPr>
                    <w:pStyle w:val="Body"/>
                    <w:numPr>
                      <w:ilvl w:val="0"/>
                      <w:numId w:val="30"/>
                    </w:numPr>
                  </w:pPr>
                  <w:r>
                    <w:t>Defined high and tight platform parameters</w:t>
                  </w:r>
                </w:p>
                <w:p w14:paraId="412CD722" w14:textId="29E5548F" w:rsidR="003B38DE" w:rsidRDefault="003B38DE" w:rsidP="00234E9A">
                  <w:pPr>
                    <w:pStyle w:val="Body"/>
                    <w:numPr>
                      <w:ilvl w:val="0"/>
                      <w:numId w:val="30"/>
                    </w:numPr>
                  </w:pPr>
                  <w:r>
                    <w:t>An update and current position on high and tight platforms and the adverse impact on the wider network</w:t>
                  </w:r>
                </w:p>
                <w:p w14:paraId="5B4BF787" w14:textId="1D53BA42" w:rsidR="003B38DE" w:rsidRDefault="003B38DE" w:rsidP="00234E9A">
                  <w:pPr>
                    <w:pStyle w:val="Body"/>
                    <w:numPr>
                      <w:ilvl w:val="0"/>
                      <w:numId w:val="30"/>
                    </w:numPr>
                  </w:pPr>
                  <w:r>
                    <w:t>The PTI risk and impact on dwell performance</w:t>
                  </w:r>
                </w:p>
                <w:p w14:paraId="677AF65F" w14:textId="19BF3D22" w:rsidR="003B38DE" w:rsidRDefault="003B38DE" w:rsidP="00234E9A">
                  <w:pPr>
                    <w:pStyle w:val="Body"/>
                    <w:numPr>
                      <w:ilvl w:val="0"/>
                      <w:numId w:val="30"/>
                    </w:numPr>
                  </w:pPr>
                  <w:r>
                    <w:t xml:space="preserve">Possible </w:t>
                  </w:r>
                  <w:r w:rsidRPr="003B38DE">
                    <w:t xml:space="preserve">track, train and platform </w:t>
                  </w:r>
                  <w:r>
                    <w:t>solutions that may reduce the adverse impact of high and tight platforms</w:t>
                  </w:r>
                </w:p>
                <w:p w14:paraId="05D8AD86" w14:textId="39CECB2F" w:rsidR="00B35F20" w:rsidRPr="00B35F20" w:rsidRDefault="003B38DE" w:rsidP="00B35F20">
                  <w:pPr>
                    <w:pStyle w:val="Body"/>
                  </w:pPr>
                  <w:r w:rsidRPr="003B38DE">
                    <w:t>This deliverable should be accepted by the project steering group</w:t>
                  </w:r>
                  <w:r>
                    <w:t xml:space="preserve"> and PTSRG</w:t>
                  </w:r>
                  <w:r w:rsidRPr="003B38DE">
                    <w:t>.  The report will be produced in the RSSB template and will be made available on SPARK to RSSB members</w:t>
                  </w:r>
                  <w:r w:rsidR="00B35F20">
                    <w:t>.</w:t>
                  </w:r>
                </w:p>
              </w:tc>
            </w:tr>
          </w:tbl>
          <w:p w14:paraId="2A97FDF4" w14:textId="77777777" w:rsidR="000F7E3E" w:rsidRDefault="000F7E3E" w:rsidP="000F7E3E">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0F7E3E" w14:paraId="68D37C70" w14:textId="77777777" w:rsidTr="005423A7">
              <w:tc>
                <w:tcPr>
                  <w:tcW w:w="5307" w:type="dxa"/>
                  <w:shd w:val="clear" w:color="auto" w:fill="99CC00"/>
                </w:tcPr>
                <w:p w14:paraId="23F64518" w14:textId="77777777" w:rsidR="000F7E3E" w:rsidRDefault="000F7E3E" w:rsidP="000F7E3E">
                  <w:pPr>
                    <w:pStyle w:val="BodyIndent1"/>
                    <w:rPr>
                      <w:b/>
                    </w:rPr>
                  </w:pPr>
                  <w:r>
                    <w:rPr>
                      <w:b/>
                    </w:rPr>
                    <w:t>Deliverable Name</w:t>
                  </w:r>
                </w:p>
              </w:tc>
              <w:tc>
                <w:tcPr>
                  <w:tcW w:w="2694" w:type="dxa"/>
                  <w:shd w:val="clear" w:color="auto" w:fill="99CC00"/>
                </w:tcPr>
                <w:p w14:paraId="39C58030" w14:textId="77777777" w:rsidR="000F7E3E" w:rsidRDefault="000F7E3E" w:rsidP="000F7E3E">
                  <w:pPr>
                    <w:pStyle w:val="BodyIndent1"/>
                    <w:rPr>
                      <w:b/>
                    </w:rPr>
                  </w:pPr>
                  <w:r>
                    <w:rPr>
                      <w:b/>
                    </w:rPr>
                    <w:t>Type</w:t>
                  </w:r>
                </w:p>
              </w:tc>
            </w:tr>
            <w:tr w:rsidR="000F7E3E" w14:paraId="399D63D7" w14:textId="77777777" w:rsidTr="005423A7">
              <w:trPr>
                <w:tblHeader/>
              </w:trPr>
              <w:tc>
                <w:tcPr>
                  <w:tcW w:w="5307" w:type="dxa"/>
                  <w:shd w:val="clear" w:color="auto" w:fill="FFFFFF"/>
                </w:tcPr>
                <w:p w14:paraId="1459CE13" w14:textId="32DA65CB" w:rsidR="000F7E3E" w:rsidRPr="00B35F20" w:rsidRDefault="00B53F8D" w:rsidP="000F7E3E">
                  <w:pPr>
                    <w:pStyle w:val="BodyIndent1"/>
                  </w:pPr>
                  <w:r>
                    <w:t xml:space="preserve">Platform </w:t>
                  </w:r>
                  <w:r w:rsidR="0086109D">
                    <w:t xml:space="preserve">arrangement </w:t>
                  </w:r>
                  <w:r>
                    <w:t xml:space="preserve">survey </w:t>
                  </w:r>
                  <w:r w:rsidR="0086109D">
                    <w:t xml:space="preserve">of high and tight platforms: Selected case studies </w:t>
                  </w:r>
                  <w:r w:rsidR="000F7E3E" w:rsidRPr="00B35F20">
                    <w:t xml:space="preserve"> </w:t>
                  </w:r>
                </w:p>
              </w:tc>
              <w:tc>
                <w:tcPr>
                  <w:tcW w:w="2694" w:type="dxa"/>
                  <w:shd w:val="clear" w:color="auto" w:fill="FFFFFF"/>
                </w:tcPr>
                <w:p w14:paraId="54436C45" w14:textId="663D88F8" w:rsidR="000F7E3E" w:rsidRDefault="0086109D" w:rsidP="000F7E3E">
                  <w:pPr>
                    <w:pStyle w:val="BodyIndent1"/>
                  </w:pPr>
                  <w:r>
                    <w:t xml:space="preserve">Report </w:t>
                  </w:r>
                </w:p>
              </w:tc>
            </w:tr>
            <w:tr w:rsidR="000F7E3E" w14:paraId="3B2E0628" w14:textId="77777777" w:rsidTr="005423A7">
              <w:trPr>
                <w:tblHeader/>
              </w:trPr>
              <w:tc>
                <w:tcPr>
                  <w:tcW w:w="8001" w:type="dxa"/>
                  <w:gridSpan w:val="2"/>
                  <w:shd w:val="clear" w:color="auto" w:fill="FFFFFF"/>
                </w:tcPr>
                <w:p w14:paraId="37419A42" w14:textId="77777777" w:rsidR="00150DCD" w:rsidRDefault="00E5472C" w:rsidP="00E5472C">
                  <w:pPr>
                    <w:pStyle w:val="BodyIndent1"/>
                  </w:pPr>
                  <w:r w:rsidRPr="00E5472C">
                    <w:t xml:space="preserve">This report presents the findings from the </w:t>
                  </w:r>
                  <w:r>
                    <w:t xml:space="preserve">selected case studies, and should include detail on </w:t>
                  </w:r>
                </w:p>
                <w:p w14:paraId="0ED862BD" w14:textId="6B012BB7" w:rsidR="00593C7B" w:rsidRDefault="00150DCD" w:rsidP="00234E9A">
                  <w:pPr>
                    <w:pStyle w:val="BodyIndent1"/>
                    <w:numPr>
                      <w:ilvl w:val="0"/>
                      <w:numId w:val="31"/>
                    </w:numPr>
                    <w:ind w:left="683"/>
                  </w:pPr>
                  <w:r>
                    <w:t>T</w:t>
                  </w:r>
                  <w:r w:rsidR="00E5472C">
                    <w:t xml:space="preserve">he </w:t>
                  </w:r>
                  <w:r w:rsidR="00B53F8D">
                    <w:t xml:space="preserve">high and tight platform </w:t>
                  </w:r>
                  <w:r w:rsidR="00E5472C">
                    <w:t>survey findings</w:t>
                  </w:r>
                  <w:r w:rsidR="00B53F8D">
                    <w:t xml:space="preserve">, </w:t>
                  </w:r>
                  <w:r w:rsidR="00E5472C">
                    <w:t xml:space="preserve">including common </w:t>
                  </w:r>
                  <w:r w:rsidR="00B53F8D">
                    <w:t xml:space="preserve">constraints, </w:t>
                  </w:r>
                  <w:r w:rsidR="00E5472C">
                    <w:t xml:space="preserve">challenges, opportunities and potential solutions across the cases.  </w:t>
                  </w:r>
                </w:p>
                <w:p w14:paraId="41158345" w14:textId="0146D2AC" w:rsidR="00150DCD" w:rsidRDefault="00150DCD" w:rsidP="00234E9A">
                  <w:pPr>
                    <w:pStyle w:val="Body"/>
                    <w:numPr>
                      <w:ilvl w:val="0"/>
                      <w:numId w:val="31"/>
                    </w:numPr>
                    <w:ind w:left="683"/>
                  </w:pPr>
                  <w:r>
                    <w:t>Implications and recommendations for wider industry platforms</w:t>
                  </w:r>
                </w:p>
                <w:p w14:paraId="024F4269" w14:textId="74EEC7A1" w:rsidR="00150DCD" w:rsidRPr="00150DCD" w:rsidRDefault="00150DCD" w:rsidP="00234E9A">
                  <w:pPr>
                    <w:pStyle w:val="Body"/>
                    <w:numPr>
                      <w:ilvl w:val="0"/>
                      <w:numId w:val="31"/>
                    </w:numPr>
                    <w:ind w:left="683"/>
                  </w:pPr>
                  <w:r>
                    <w:t>Mitigation strategies if solutions to improve step/gap at other locations, make the step/gap worse at high and tight locations</w:t>
                  </w:r>
                </w:p>
                <w:p w14:paraId="6224DC8D" w14:textId="05C5F0FC" w:rsidR="000F7E3E" w:rsidRDefault="00E5472C" w:rsidP="000F7E3E">
                  <w:pPr>
                    <w:pStyle w:val="BodyIndent1"/>
                    <w:rPr>
                      <w:b/>
                    </w:rPr>
                  </w:pPr>
                  <w:r w:rsidRPr="00E5472C">
                    <w:t>This deliverable should be accepted by the project steering group and PTSRG.  The report will be produced in the RSSB template and will be made available on SPARK to RSSB members.</w:t>
                  </w:r>
                  <w:r>
                    <w:t xml:space="preserve"> </w:t>
                  </w:r>
                </w:p>
              </w:tc>
            </w:tr>
          </w:tbl>
          <w:p w14:paraId="7D7CF2EC" w14:textId="0A11CB14" w:rsidR="000F7E3E" w:rsidRDefault="000F7E3E" w:rsidP="000F7E3E">
            <w:pPr>
              <w:pStyle w:val="Body"/>
            </w:pPr>
          </w:p>
          <w:p w14:paraId="67A86897" w14:textId="42C14B7D" w:rsidR="00F24E03" w:rsidRDefault="00F24E03" w:rsidP="000F7E3E">
            <w:pPr>
              <w:pStyle w:val="Body"/>
            </w:pPr>
          </w:p>
          <w:p w14:paraId="0C79DD2B" w14:textId="77777777" w:rsidR="00F24E03" w:rsidRDefault="00F24E03" w:rsidP="000F7E3E">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0F7E3E" w14:paraId="65AD802A" w14:textId="77777777" w:rsidTr="00285606">
              <w:tc>
                <w:tcPr>
                  <w:tcW w:w="5307" w:type="dxa"/>
                  <w:shd w:val="clear" w:color="auto" w:fill="99CC00"/>
                </w:tcPr>
                <w:p w14:paraId="3D805174" w14:textId="77777777" w:rsidR="000F7E3E" w:rsidRDefault="000F7E3E" w:rsidP="000F7E3E">
                  <w:pPr>
                    <w:pStyle w:val="BodyIndent1"/>
                    <w:rPr>
                      <w:b/>
                    </w:rPr>
                  </w:pPr>
                  <w:r>
                    <w:rPr>
                      <w:b/>
                    </w:rPr>
                    <w:lastRenderedPageBreak/>
                    <w:t>Deliverable Name</w:t>
                  </w:r>
                </w:p>
              </w:tc>
              <w:tc>
                <w:tcPr>
                  <w:tcW w:w="2694" w:type="dxa"/>
                  <w:shd w:val="clear" w:color="auto" w:fill="99CC00"/>
                </w:tcPr>
                <w:p w14:paraId="7EC1A395" w14:textId="77777777" w:rsidR="000F7E3E" w:rsidRDefault="000F7E3E" w:rsidP="000F7E3E">
                  <w:pPr>
                    <w:pStyle w:val="BodyIndent1"/>
                    <w:rPr>
                      <w:b/>
                    </w:rPr>
                  </w:pPr>
                  <w:r>
                    <w:rPr>
                      <w:b/>
                    </w:rPr>
                    <w:t>Type</w:t>
                  </w:r>
                </w:p>
              </w:tc>
            </w:tr>
            <w:tr w:rsidR="000F7E3E" w14:paraId="2B9C81D5" w14:textId="77777777" w:rsidTr="00285606">
              <w:trPr>
                <w:tblHeader/>
              </w:trPr>
              <w:tc>
                <w:tcPr>
                  <w:tcW w:w="5307" w:type="dxa"/>
                  <w:shd w:val="clear" w:color="auto" w:fill="FFFFFF"/>
                </w:tcPr>
                <w:p w14:paraId="4C1AC0F8" w14:textId="6A6639E9" w:rsidR="000F7E3E" w:rsidRDefault="00B53F8D">
                  <w:pPr>
                    <w:pStyle w:val="BodyIndent1"/>
                  </w:pPr>
                  <w:r w:rsidRPr="00B53F8D">
                    <w:t>Final Report on options and implementation</w:t>
                  </w:r>
                </w:p>
              </w:tc>
              <w:tc>
                <w:tcPr>
                  <w:tcW w:w="2694" w:type="dxa"/>
                  <w:shd w:val="clear" w:color="auto" w:fill="FFFFFF"/>
                </w:tcPr>
                <w:p w14:paraId="3969D1A5" w14:textId="77777777" w:rsidR="000F7E3E" w:rsidRDefault="000F7E3E" w:rsidP="000F7E3E">
                  <w:pPr>
                    <w:pStyle w:val="BodyIndent1"/>
                  </w:pPr>
                  <w:r>
                    <w:t>Report</w:t>
                  </w:r>
                </w:p>
              </w:tc>
            </w:tr>
            <w:tr w:rsidR="000F7E3E" w14:paraId="786A9211" w14:textId="77777777" w:rsidTr="00285606">
              <w:trPr>
                <w:tblHeader/>
              </w:trPr>
              <w:tc>
                <w:tcPr>
                  <w:tcW w:w="8001" w:type="dxa"/>
                  <w:gridSpan w:val="2"/>
                  <w:shd w:val="clear" w:color="auto" w:fill="FFFFFF"/>
                </w:tcPr>
                <w:p w14:paraId="57BFFD37" w14:textId="6EC89461" w:rsidR="00B53F8D" w:rsidRDefault="00150DCD" w:rsidP="00080836">
                  <w:pPr>
                    <w:pStyle w:val="Style1"/>
                    <w:numPr>
                      <w:ilvl w:val="0"/>
                      <w:numId w:val="0"/>
                    </w:numPr>
                    <w:ind w:left="239"/>
                  </w:pPr>
                  <w:r w:rsidRPr="00150DCD">
                    <w:t xml:space="preserve">This report presents the findings from the </w:t>
                  </w:r>
                  <w:r>
                    <w:t>economic assessment</w:t>
                  </w:r>
                  <w:r w:rsidR="00F477FD">
                    <w:t xml:space="preserve"> and </w:t>
                  </w:r>
                  <w:r w:rsidR="00B53F8D">
                    <w:t>present</w:t>
                  </w:r>
                  <w:r w:rsidR="00F477FD">
                    <w:t>s</w:t>
                  </w:r>
                  <w:r w:rsidR="00B53F8D">
                    <w:t xml:space="preserve"> the options and implementation strategy </w:t>
                  </w:r>
                  <w:r w:rsidR="00F477FD">
                    <w:t>of</w:t>
                  </w:r>
                  <w:r w:rsidR="00B53F8D">
                    <w:t xml:space="preserve"> the research. </w:t>
                  </w:r>
                  <w:r w:rsidR="00F477FD">
                    <w:t xml:space="preserve"> The economic assessment should include:</w:t>
                  </w:r>
                </w:p>
                <w:p w14:paraId="2BD1F8A8" w14:textId="443A49EE" w:rsidR="00150DCD" w:rsidRPr="00150DCD" w:rsidRDefault="00150DCD" w:rsidP="00234E9A">
                  <w:pPr>
                    <w:pStyle w:val="Style1"/>
                    <w:numPr>
                      <w:ilvl w:val="0"/>
                      <w:numId w:val="25"/>
                    </w:numPr>
                    <w:ind w:left="683"/>
                  </w:pPr>
                  <w:r>
                    <w:t>The</w:t>
                  </w:r>
                  <w:r w:rsidRPr="00150DCD">
                    <w:t xml:space="preserve"> optimal balance for reducing the adverse impact of high and tight platforms on the majority of UK platforms</w:t>
                  </w:r>
                </w:p>
                <w:p w14:paraId="40715B37" w14:textId="57C512BD" w:rsidR="00150DCD" w:rsidRDefault="00150DCD" w:rsidP="00234E9A">
                  <w:pPr>
                    <w:pStyle w:val="Style1"/>
                    <w:numPr>
                      <w:ilvl w:val="0"/>
                      <w:numId w:val="25"/>
                    </w:numPr>
                    <w:ind w:left="683"/>
                  </w:pPr>
                  <w:r w:rsidRPr="00150DCD">
                    <w:t>Cost-effective opportunities and solutions to reduce the adverse impact of high and tight platforms</w:t>
                  </w:r>
                </w:p>
                <w:p w14:paraId="313D1EB9" w14:textId="49AE2A12" w:rsidR="00150DCD" w:rsidRDefault="00150DCD" w:rsidP="00234E9A">
                  <w:pPr>
                    <w:pStyle w:val="Style1"/>
                    <w:numPr>
                      <w:ilvl w:val="0"/>
                      <w:numId w:val="25"/>
                    </w:numPr>
                    <w:ind w:left="683"/>
                  </w:pPr>
                  <w:r>
                    <w:t xml:space="preserve">Detail on possible </w:t>
                  </w:r>
                  <w:r w:rsidRPr="00150DCD">
                    <w:t>adjustments and modifications</w:t>
                  </w:r>
                  <w:r>
                    <w:t xml:space="preserve">, including potential </w:t>
                  </w:r>
                  <w:r w:rsidRPr="00150DCD">
                    <w:t>combinations of platform, track and rolling stock</w:t>
                  </w:r>
                </w:p>
                <w:p w14:paraId="3C013FB0" w14:textId="73A2E7A5" w:rsidR="00F477FD" w:rsidRDefault="00F477FD" w:rsidP="00080836">
                  <w:pPr>
                    <w:pStyle w:val="Style1"/>
                    <w:numPr>
                      <w:ilvl w:val="0"/>
                      <w:numId w:val="0"/>
                    </w:numPr>
                    <w:ind w:left="239"/>
                  </w:pPr>
                  <w:r>
                    <w:t>The implementation strategy should identify the steps and transitions for industry adoption of the findings and recommendations from T1166, and include detail on:</w:t>
                  </w:r>
                </w:p>
                <w:p w14:paraId="677AF8F2" w14:textId="30522C2D" w:rsidR="00F477FD" w:rsidRPr="00F477FD" w:rsidRDefault="00F477FD" w:rsidP="00F477FD">
                  <w:pPr>
                    <w:pStyle w:val="Style1"/>
                    <w:numPr>
                      <w:ilvl w:val="0"/>
                      <w:numId w:val="32"/>
                    </w:numPr>
                  </w:pPr>
                  <w:r>
                    <w:t>The p</w:t>
                  </w:r>
                  <w:r w:rsidRPr="00F477FD">
                    <w:t>lanned platform/station upgrades, new rolling stock, stock cascades and modifications</w:t>
                  </w:r>
                </w:p>
                <w:p w14:paraId="73AD4C61" w14:textId="77777777" w:rsidR="00F477FD" w:rsidRPr="00F477FD" w:rsidRDefault="00F477FD" w:rsidP="00F477FD">
                  <w:pPr>
                    <w:pStyle w:val="Style1"/>
                    <w:numPr>
                      <w:ilvl w:val="0"/>
                      <w:numId w:val="32"/>
                    </w:numPr>
                  </w:pPr>
                  <w:r w:rsidRPr="00F477FD">
                    <w:t>Indicator of the benefits (including tangible benefits) that could be realised through industry adoption of the outputs</w:t>
                  </w:r>
                </w:p>
                <w:p w14:paraId="5A5817BA" w14:textId="77777777" w:rsidR="00F477FD" w:rsidRPr="00F477FD" w:rsidRDefault="00F477FD" w:rsidP="00F477FD">
                  <w:pPr>
                    <w:pStyle w:val="Style1"/>
                    <w:numPr>
                      <w:ilvl w:val="0"/>
                      <w:numId w:val="32"/>
                    </w:numPr>
                  </w:pPr>
                  <w:r w:rsidRPr="00F477FD">
                    <w:t>Recommendations for overcoming implementation challenges and barriers, and the potential opportunities that might enable doing so</w:t>
                  </w:r>
                </w:p>
                <w:p w14:paraId="00932965" w14:textId="77777777" w:rsidR="00F477FD" w:rsidRPr="00F477FD" w:rsidRDefault="00F477FD" w:rsidP="00F477FD">
                  <w:pPr>
                    <w:pStyle w:val="Style1"/>
                    <w:numPr>
                      <w:ilvl w:val="0"/>
                      <w:numId w:val="32"/>
                    </w:numPr>
                  </w:pPr>
                  <w:r w:rsidRPr="00F477FD">
                    <w:t xml:space="preserve">Guidance and recommendations on each transition step to realise end benefits  </w:t>
                  </w:r>
                </w:p>
                <w:p w14:paraId="64ED2328" w14:textId="0234D04C" w:rsidR="00B35F20" w:rsidRPr="00E5472C" w:rsidRDefault="00F477FD">
                  <w:pPr>
                    <w:pStyle w:val="Style1"/>
                    <w:numPr>
                      <w:ilvl w:val="0"/>
                      <w:numId w:val="0"/>
                    </w:numPr>
                    <w:ind w:left="239"/>
                  </w:pPr>
                  <w:r w:rsidRPr="00F477FD">
                    <w:t>This deliverable should be accepted by the project steering group and PTSRG and V/S SIC.  The report will be produced in the RSSB template and will be made available on SPARK to RSSB members.</w:t>
                  </w:r>
                </w:p>
              </w:tc>
            </w:tr>
          </w:tbl>
          <w:p w14:paraId="3BB0A5BF" w14:textId="77777777" w:rsidR="0086109D" w:rsidRPr="0086109D" w:rsidRDefault="0086109D" w:rsidP="0086109D">
            <w:pPr>
              <w:pStyle w:val="Body"/>
            </w:pP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5"/>
              <w:gridCol w:w="2410"/>
            </w:tblGrid>
            <w:tr w:rsidR="00636E84" w14:paraId="75923847" w14:textId="77777777" w:rsidTr="00636E84">
              <w:tc>
                <w:tcPr>
                  <w:tcW w:w="5589" w:type="dxa"/>
                  <w:tcBorders>
                    <w:top w:val="single" w:sz="4" w:space="0" w:color="auto"/>
                    <w:left w:val="single" w:sz="4" w:space="0" w:color="auto"/>
                    <w:bottom w:val="single" w:sz="4" w:space="0" w:color="auto"/>
                    <w:right w:val="single" w:sz="4" w:space="0" w:color="auto"/>
                  </w:tcBorders>
                  <w:shd w:val="clear" w:color="auto" w:fill="99CC00"/>
                  <w:hideMark/>
                </w:tcPr>
                <w:p w14:paraId="6055903D" w14:textId="77777777" w:rsidR="00636E84" w:rsidRDefault="00636E84" w:rsidP="00636E84">
                  <w:pPr>
                    <w:pStyle w:val="BodyIndent1"/>
                    <w:spacing w:line="240" w:lineRule="auto"/>
                    <w:rPr>
                      <w:b/>
                    </w:rPr>
                  </w:pPr>
                  <w:r>
                    <w:rPr>
                      <w:b/>
                    </w:rPr>
                    <w:t>Deliverable Name</w:t>
                  </w:r>
                </w:p>
              </w:tc>
              <w:tc>
                <w:tcPr>
                  <w:tcW w:w="2412" w:type="dxa"/>
                  <w:tcBorders>
                    <w:top w:val="single" w:sz="4" w:space="0" w:color="auto"/>
                    <w:left w:val="single" w:sz="4" w:space="0" w:color="auto"/>
                    <w:bottom w:val="single" w:sz="4" w:space="0" w:color="auto"/>
                    <w:right w:val="single" w:sz="4" w:space="0" w:color="auto"/>
                  </w:tcBorders>
                  <w:shd w:val="clear" w:color="auto" w:fill="99CC00"/>
                  <w:hideMark/>
                </w:tcPr>
                <w:p w14:paraId="4D8B56EA" w14:textId="77777777" w:rsidR="00636E84" w:rsidRDefault="00636E84" w:rsidP="00636E84">
                  <w:pPr>
                    <w:pStyle w:val="BodyIndent1"/>
                    <w:spacing w:line="240" w:lineRule="auto"/>
                    <w:rPr>
                      <w:b/>
                    </w:rPr>
                  </w:pPr>
                  <w:r>
                    <w:rPr>
                      <w:b/>
                    </w:rPr>
                    <w:t>Type</w:t>
                  </w:r>
                </w:p>
              </w:tc>
            </w:tr>
            <w:tr w:rsidR="00636E84" w14:paraId="5035199C" w14:textId="77777777" w:rsidTr="00636E84">
              <w:trPr>
                <w:tblHeader/>
              </w:trPr>
              <w:tc>
                <w:tcPr>
                  <w:tcW w:w="5589" w:type="dxa"/>
                  <w:tcBorders>
                    <w:top w:val="single" w:sz="4" w:space="0" w:color="auto"/>
                    <w:left w:val="single" w:sz="4" w:space="0" w:color="auto"/>
                    <w:bottom w:val="single" w:sz="4" w:space="0" w:color="auto"/>
                    <w:right w:val="single" w:sz="4" w:space="0" w:color="auto"/>
                  </w:tcBorders>
                  <w:shd w:val="clear" w:color="auto" w:fill="FFFFFF"/>
                  <w:hideMark/>
                </w:tcPr>
                <w:p w14:paraId="058603DE" w14:textId="77777777" w:rsidR="00636E84" w:rsidRDefault="00636E84" w:rsidP="00636E84">
                  <w:pPr>
                    <w:pStyle w:val="BodyIndent1"/>
                    <w:spacing w:line="240" w:lineRule="auto"/>
                    <w:rPr>
                      <w:b/>
                    </w:rPr>
                  </w:pPr>
                  <w:r>
                    <w:rPr>
                      <w:b/>
                    </w:rPr>
                    <w:t>Executive Summary Presentation of Key Findings</w:t>
                  </w:r>
                </w:p>
              </w:tc>
              <w:tc>
                <w:tcPr>
                  <w:tcW w:w="2412" w:type="dxa"/>
                  <w:tcBorders>
                    <w:top w:val="single" w:sz="4" w:space="0" w:color="auto"/>
                    <w:left w:val="single" w:sz="4" w:space="0" w:color="auto"/>
                    <w:bottom w:val="single" w:sz="4" w:space="0" w:color="auto"/>
                    <w:right w:val="single" w:sz="4" w:space="0" w:color="auto"/>
                  </w:tcBorders>
                  <w:shd w:val="clear" w:color="auto" w:fill="FFFFFF"/>
                  <w:hideMark/>
                </w:tcPr>
                <w:p w14:paraId="014F09BC" w14:textId="77777777" w:rsidR="00636E84" w:rsidRDefault="00636E84" w:rsidP="00636E84">
                  <w:pPr>
                    <w:pStyle w:val="BodyIndent1"/>
                    <w:spacing w:line="240" w:lineRule="auto"/>
                  </w:pPr>
                  <w:r>
                    <w:t>Presentation</w:t>
                  </w:r>
                </w:p>
              </w:tc>
            </w:tr>
            <w:tr w:rsidR="00636E84" w14:paraId="2A730417" w14:textId="77777777" w:rsidTr="00636E84">
              <w:trPr>
                <w:tblHeader/>
              </w:trPr>
              <w:tc>
                <w:tcPr>
                  <w:tcW w:w="80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2444E0" w14:textId="77777777" w:rsidR="00636E84" w:rsidRDefault="00636E84" w:rsidP="00636E84">
                  <w:pPr>
                    <w:pStyle w:val="TableTextBold0"/>
                    <w:keepNext/>
                    <w:keepLines/>
                    <w:widowControl w:val="0"/>
                    <w:spacing w:line="240" w:lineRule="auto"/>
                    <w:ind w:left="254"/>
                    <w:rPr>
                      <w:rFonts w:asciiTheme="minorHAnsi" w:hAnsiTheme="minorHAnsi"/>
                      <w:b w:val="0"/>
                      <w:sz w:val="22"/>
                      <w:szCs w:val="22"/>
                    </w:rPr>
                  </w:pPr>
                  <w:r>
                    <w:rPr>
                      <w:rFonts w:asciiTheme="minorHAnsi" w:eastAsia="Times New Roman" w:hAnsiTheme="minorHAnsi"/>
                      <w:b w:val="0"/>
                      <w:sz w:val="22"/>
                      <w:szCs w:val="22"/>
                    </w:rPr>
                    <w:t xml:space="preserve">The presentation will be provided by the supplier to the project steering group.  </w:t>
                  </w:r>
                  <w:r>
                    <w:rPr>
                      <w:rFonts w:asciiTheme="minorHAnsi" w:hAnsiTheme="minorHAnsi"/>
                      <w:b w:val="0"/>
                      <w:sz w:val="22"/>
                      <w:szCs w:val="22"/>
                    </w:rPr>
                    <w:t>The</w:t>
                  </w:r>
                  <w:r>
                    <w:t xml:space="preserve"> </w:t>
                  </w:r>
                  <w:r>
                    <w:rPr>
                      <w:rFonts w:asciiTheme="minorHAnsi" w:hAnsiTheme="minorHAnsi"/>
                      <w:b w:val="0"/>
                      <w:sz w:val="22"/>
                      <w:szCs w:val="22"/>
                    </w:rPr>
                    <w:t xml:space="preserve">executive summary presentation will be made available on SPARK to RSSB members.  </w:t>
                  </w:r>
                </w:p>
              </w:tc>
            </w:tr>
          </w:tbl>
          <w:p w14:paraId="64CF6006" w14:textId="77777777" w:rsidR="00105C89" w:rsidRDefault="00105C89" w:rsidP="00105C89">
            <w:pPr>
              <w:pStyle w:val="Body"/>
            </w:pP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5"/>
              <w:gridCol w:w="2410"/>
            </w:tblGrid>
            <w:tr w:rsidR="0086109D" w14:paraId="6FB5794A" w14:textId="77777777" w:rsidTr="0068588D">
              <w:tc>
                <w:tcPr>
                  <w:tcW w:w="5589" w:type="dxa"/>
                  <w:tcBorders>
                    <w:top w:val="single" w:sz="4" w:space="0" w:color="auto"/>
                    <w:left w:val="single" w:sz="4" w:space="0" w:color="auto"/>
                    <w:bottom w:val="single" w:sz="4" w:space="0" w:color="auto"/>
                    <w:right w:val="single" w:sz="4" w:space="0" w:color="auto"/>
                  </w:tcBorders>
                  <w:shd w:val="clear" w:color="auto" w:fill="99CC00"/>
                  <w:hideMark/>
                </w:tcPr>
                <w:p w14:paraId="7B4C8FB5" w14:textId="77777777" w:rsidR="0086109D" w:rsidRDefault="0086109D" w:rsidP="0086109D">
                  <w:pPr>
                    <w:pStyle w:val="BodyIndent1"/>
                    <w:spacing w:line="240" w:lineRule="auto"/>
                    <w:rPr>
                      <w:b/>
                    </w:rPr>
                  </w:pPr>
                  <w:r>
                    <w:rPr>
                      <w:b/>
                    </w:rPr>
                    <w:t>Deliverable Name</w:t>
                  </w:r>
                </w:p>
              </w:tc>
              <w:tc>
                <w:tcPr>
                  <w:tcW w:w="2412" w:type="dxa"/>
                  <w:tcBorders>
                    <w:top w:val="single" w:sz="4" w:space="0" w:color="auto"/>
                    <w:left w:val="single" w:sz="4" w:space="0" w:color="auto"/>
                    <w:bottom w:val="single" w:sz="4" w:space="0" w:color="auto"/>
                    <w:right w:val="single" w:sz="4" w:space="0" w:color="auto"/>
                  </w:tcBorders>
                  <w:shd w:val="clear" w:color="auto" w:fill="99CC00"/>
                  <w:hideMark/>
                </w:tcPr>
                <w:p w14:paraId="4331FCA1" w14:textId="77777777" w:rsidR="0086109D" w:rsidRDefault="0086109D" w:rsidP="0086109D">
                  <w:pPr>
                    <w:pStyle w:val="BodyIndent1"/>
                    <w:spacing w:line="240" w:lineRule="auto"/>
                    <w:rPr>
                      <w:b/>
                    </w:rPr>
                  </w:pPr>
                  <w:r>
                    <w:rPr>
                      <w:b/>
                    </w:rPr>
                    <w:t>Type</w:t>
                  </w:r>
                </w:p>
              </w:tc>
            </w:tr>
            <w:tr w:rsidR="0086109D" w14:paraId="3F07F7F6" w14:textId="77777777" w:rsidTr="0068588D">
              <w:trPr>
                <w:tblHeader/>
              </w:trPr>
              <w:tc>
                <w:tcPr>
                  <w:tcW w:w="5589" w:type="dxa"/>
                  <w:tcBorders>
                    <w:top w:val="single" w:sz="4" w:space="0" w:color="auto"/>
                    <w:left w:val="single" w:sz="4" w:space="0" w:color="auto"/>
                    <w:bottom w:val="single" w:sz="4" w:space="0" w:color="auto"/>
                    <w:right w:val="single" w:sz="4" w:space="0" w:color="auto"/>
                  </w:tcBorders>
                  <w:shd w:val="clear" w:color="auto" w:fill="FFFFFF"/>
                  <w:hideMark/>
                </w:tcPr>
                <w:p w14:paraId="1FFAECB1" w14:textId="77777777" w:rsidR="0086109D" w:rsidRDefault="0086109D" w:rsidP="0086109D">
                  <w:pPr>
                    <w:pStyle w:val="BodyIndent1"/>
                    <w:spacing w:line="240" w:lineRule="auto"/>
                    <w:rPr>
                      <w:b/>
                    </w:rPr>
                  </w:pPr>
                  <w:r>
                    <w:rPr>
                      <w:b/>
                    </w:rPr>
                    <w:t>Research in Brief</w:t>
                  </w:r>
                </w:p>
              </w:tc>
              <w:tc>
                <w:tcPr>
                  <w:tcW w:w="2412" w:type="dxa"/>
                  <w:tcBorders>
                    <w:top w:val="single" w:sz="4" w:space="0" w:color="auto"/>
                    <w:left w:val="single" w:sz="4" w:space="0" w:color="auto"/>
                    <w:bottom w:val="single" w:sz="4" w:space="0" w:color="auto"/>
                    <w:right w:val="single" w:sz="4" w:space="0" w:color="auto"/>
                  </w:tcBorders>
                  <w:shd w:val="clear" w:color="auto" w:fill="FFFFFF"/>
                  <w:hideMark/>
                </w:tcPr>
                <w:p w14:paraId="78570FD9" w14:textId="77777777" w:rsidR="0086109D" w:rsidRDefault="0086109D" w:rsidP="0086109D">
                  <w:pPr>
                    <w:pStyle w:val="BodyIndent1"/>
                    <w:spacing w:line="240" w:lineRule="auto"/>
                  </w:pPr>
                  <w:r>
                    <w:t>Report</w:t>
                  </w:r>
                </w:p>
              </w:tc>
            </w:tr>
            <w:tr w:rsidR="0086109D" w14:paraId="7FC79F5A" w14:textId="77777777" w:rsidTr="0068588D">
              <w:trPr>
                <w:tblHeader/>
              </w:trPr>
              <w:tc>
                <w:tcPr>
                  <w:tcW w:w="80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C06339" w14:textId="77777777" w:rsidR="0086109D" w:rsidRDefault="0086109D" w:rsidP="0086109D">
                  <w:pPr>
                    <w:pStyle w:val="BodyIndent1"/>
                    <w:spacing w:line="240" w:lineRule="auto"/>
                  </w:pPr>
                  <w:r>
                    <w:t>The research in brief should be created by the supplier, in partnership with RSSB, to summarise the findings of this work, in no more than 4 pages.  The research in brief will summarise the aim, findings, impacts and benefits, background, and summary method of this work package.  The document should also identify where to find out more information, identify recommendations and next steps for industry and further research and development.</w:t>
                  </w:r>
                </w:p>
                <w:p w14:paraId="02AB46CC" w14:textId="77777777" w:rsidR="0086109D" w:rsidRDefault="0086109D" w:rsidP="0086109D">
                  <w:pPr>
                    <w:pStyle w:val="BodyIndent1"/>
                    <w:spacing w:line="240" w:lineRule="auto"/>
                  </w:pPr>
                  <w:r>
                    <w:lastRenderedPageBreak/>
                    <w:t xml:space="preserve">The draft research in brief will be produced in a RSSB template, and an example can be provided.  The research in brief will be made available on the SPARK and RSSB websites. </w:t>
                  </w:r>
                </w:p>
              </w:tc>
            </w:tr>
          </w:tbl>
          <w:p w14:paraId="1CA75AED" w14:textId="3F3B6646" w:rsidR="00636E84" w:rsidRPr="00105C89" w:rsidRDefault="00636E84" w:rsidP="00105C89">
            <w:pPr>
              <w:pStyle w:val="Body"/>
            </w:pPr>
          </w:p>
        </w:tc>
      </w:tr>
    </w:tbl>
    <w:p w14:paraId="7A14442C" w14:textId="77777777" w:rsidR="00007166" w:rsidRPr="00007166" w:rsidRDefault="00007166" w:rsidP="00007166">
      <w:pPr>
        <w:pStyle w:val="Body"/>
      </w:pPr>
    </w:p>
    <w:p w14:paraId="5B48C8CA" w14:textId="728436AA" w:rsidR="006440C8" w:rsidRDefault="00325F01" w:rsidP="006440C8">
      <w:pPr>
        <w:pStyle w:val="Heading1"/>
      </w:pPr>
      <w:r>
        <w:t>Stakeholders roles and responsibilities</w:t>
      </w:r>
    </w:p>
    <w:tbl>
      <w:tblPr>
        <w:tblStyle w:val="TableGrid"/>
        <w:tblW w:w="8359" w:type="dxa"/>
        <w:tblLook w:val="04A0" w:firstRow="1" w:lastRow="0" w:firstColumn="1" w:lastColumn="0" w:noHBand="0" w:noVBand="1"/>
      </w:tblPr>
      <w:tblGrid>
        <w:gridCol w:w="1271"/>
        <w:gridCol w:w="4961"/>
        <w:gridCol w:w="2127"/>
      </w:tblGrid>
      <w:tr w:rsidR="00636E84" w14:paraId="31424C61" w14:textId="77777777" w:rsidTr="00636E84">
        <w:tc>
          <w:tcPr>
            <w:tcW w:w="1271" w:type="dxa"/>
            <w:tcBorders>
              <w:top w:val="single" w:sz="4" w:space="0" w:color="auto"/>
              <w:left w:val="single" w:sz="4" w:space="0" w:color="auto"/>
              <w:bottom w:val="single" w:sz="4" w:space="0" w:color="auto"/>
              <w:right w:val="single" w:sz="4" w:space="0" w:color="auto"/>
            </w:tcBorders>
            <w:vAlign w:val="center"/>
          </w:tcPr>
          <w:p w14:paraId="73B4AB6C" w14:textId="77777777" w:rsidR="00636E84" w:rsidRDefault="00636E84">
            <w:pPr>
              <w:pStyle w:val="Body"/>
              <w:rPr>
                <w:b/>
                <w:sz w:val="2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52147D7" w14:textId="77777777" w:rsidR="00636E84" w:rsidRDefault="00636E84">
            <w:pPr>
              <w:rPr>
                <w:rFonts w:ascii="Calibri" w:hAnsi="Calibri" w:cs="Arial"/>
                <w:sz w:val="20"/>
                <w:szCs w:val="22"/>
                <w:lang w:eastAsia="en-GB"/>
              </w:rPr>
            </w:pPr>
            <w:r>
              <w:rPr>
                <w:rFonts w:ascii="Calibri" w:hAnsi="Calibri" w:cs="Arial"/>
                <w:b/>
                <w:bCs/>
                <w:kern w:val="28"/>
                <w:sz w:val="20"/>
                <w:szCs w:val="22"/>
              </w:rPr>
              <w:t>General role in project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8CDFBD1" w14:textId="77777777" w:rsidR="00636E84" w:rsidRDefault="00636E84">
            <w:pPr>
              <w:rPr>
                <w:rFonts w:ascii="Calibri" w:hAnsi="Calibri" w:cs="Arial"/>
                <w:sz w:val="20"/>
                <w:szCs w:val="22"/>
                <w:lang w:eastAsia="en-GB"/>
              </w:rPr>
            </w:pPr>
            <w:r>
              <w:rPr>
                <w:rFonts w:ascii="Calibri" w:hAnsi="Calibri" w:cs="Arial"/>
                <w:b/>
                <w:bCs/>
                <w:kern w:val="28"/>
                <w:sz w:val="20"/>
                <w:szCs w:val="22"/>
              </w:rPr>
              <w:t>Specific role in acceptance of deliverables</w:t>
            </w:r>
          </w:p>
        </w:tc>
      </w:tr>
      <w:tr w:rsidR="00636E84" w14:paraId="5AF7BE6B" w14:textId="77777777" w:rsidTr="00636E84">
        <w:tc>
          <w:tcPr>
            <w:tcW w:w="1271" w:type="dxa"/>
            <w:tcBorders>
              <w:top w:val="single" w:sz="4" w:space="0" w:color="auto"/>
              <w:left w:val="single" w:sz="4" w:space="0" w:color="auto"/>
              <w:bottom w:val="single" w:sz="4" w:space="0" w:color="auto"/>
              <w:right w:val="single" w:sz="4" w:space="0" w:color="auto"/>
            </w:tcBorders>
            <w:vAlign w:val="center"/>
            <w:hideMark/>
          </w:tcPr>
          <w:p w14:paraId="5778FBB4" w14:textId="77777777" w:rsidR="00636E84" w:rsidRDefault="00636E84">
            <w:pPr>
              <w:rPr>
                <w:rFonts w:ascii="Calibri" w:hAnsi="Calibri" w:cs="Arial"/>
                <w:b/>
                <w:color w:val="000000" w:themeColor="dark1"/>
                <w:kern w:val="28"/>
                <w:sz w:val="20"/>
                <w:szCs w:val="22"/>
              </w:rPr>
            </w:pPr>
            <w:r>
              <w:rPr>
                <w:rFonts w:ascii="Calibri" w:hAnsi="Calibri" w:cs="Arial"/>
                <w:b/>
                <w:color w:val="000000" w:themeColor="dark1"/>
                <w:kern w:val="28"/>
                <w:sz w:val="20"/>
                <w:szCs w:val="22"/>
              </w:rPr>
              <w:t>Project Manager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5D19C2" w14:textId="77777777" w:rsidR="00636E84" w:rsidRDefault="00636E84">
            <w:pPr>
              <w:pStyle w:val="NormalWeb"/>
              <w:spacing w:before="40" w:beforeAutospacing="0" w:after="40" w:afterAutospacing="0" w:line="260" w:lineRule="exact"/>
              <w:rPr>
                <w:rFonts w:ascii="Calibri" w:hAnsi="Calibri" w:cs="Arial"/>
                <w:color w:val="000000" w:themeColor="dark1"/>
                <w:kern w:val="28"/>
                <w:sz w:val="20"/>
                <w:szCs w:val="22"/>
                <w:lang w:eastAsia="en-US"/>
              </w:rPr>
            </w:pPr>
            <w:r>
              <w:rPr>
                <w:rFonts w:ascii="Calibri" w:hAnsi="Calibri" w:cs="Arial"/>
                <w:color w:val="000000" w:themeColor="dark1"/>
                <w:kern w:val="28"/>
                <w:sz w:val="20"/>
                <w:szCs w:val="22"/>
                <w:lang w:eastAsia="en-US"/>
              </w:rPr>
              <w:t xml:space="preserve">The Project Manager is responsible for the detailed project management including project schedules, cost reporting and other relevant project management tasks.  </w:t>
            </w:r>
          </w:p>
          <w:p w14:paraId="29B1FA80" w14:textId="77777777" w:rsidR="00636E84" w:rsidRDefault="00636E84">
            <w:pPr>
              <w:pStyle w:val="NormalWeb"/>
              <w:spacing w:before="40" w:beforeAutospacing="0" w:after="40" w:afterAutospacing="0" w:line="260" w:lineRule="exact"/>
              <w:rPr>
                <w:rFonts w:ascii="Calibri" w:hAnsi="Calibri" w:cs="Arial"/>
                <w:color w:val="000000" w:themeColor="dark1"/>
                <w:kern w:val="28"/>
                <w:sz w:val="20"/>
                <w:szCs w:val="22"/>
              </w:rPr>
            </w:pPr>
            <w:r>
              <w:rPr>
                <w:rFonts w:ascii="Calibri" w:hAnsi="Calibri" w:cs="Arial"/>
                <w:color w:val="000000" w:themeColor="dark1"/>
                <w:kern w:val="28"/>
                <w:sz w:val="20"/>
                <w:szCs w:val="22"/>
              </w:rPr>
              <w:t>The Project Manager leads the project in organising meetings, etc. and ensures timely and effective delivery towards project objectives.</w:t>
            </w:r>
          </w:p>
        </w:tc>
        <w:tc>
          <w:tcPr>
            <w:tcW w:w="2127" w:type="dxa"/>
            <w:tcBorders>
              <w:top w:val="single" w:sz="4" w:space="0" w:color="auto"/>
              <w:left w:val="single" w:sz="4" w:space="0" w:color="auto"/>
              <w:bottom w:val="single" w:sz="4" w:space="0" w:color="auto"/>
              <w:right w:val="single" w:sz="4" w:space="0" w:color="auto"/>
            </w:tcBorders>
            <w:hideMark/>
          </w:tcPr>
          <w:p w14:paraId="2BE3BDDE" w14:textId="77777777" w:rsidR="00636E84" w:rsidRDefault="00636E84">
            <w:pPr>
              <w:rPr>
                <w:rFonts w:ascii="Calibri" w:hAnsi="Calibri" w:cs="Arial"/>
                <w:color w:val="000000" w:themeColor="dark1"/>
                <w:kern w:val="28"/>
                <w:sz w:val="20"/>
                <w:szCs w:val="22"/>
              </w:rPr>
            </w:pPr>
            <w:r>
              <w:rPr>
                <w:rFonts w:ascii="Calibri" w:hAnsi="Calibri" w:cs="Arial"/>
                <w:color w:val="000000" w:themeColor="dark1"/>
                <w:kern w:val="28"/>
                <w:sz w:val="20"/>
                <w:szCs w:val="22"/>
              </w:rPr>
              <w:t>Facilitates technical review and acceptance processes, identifies, and monitors corrective actions where needed, including facilitating decision making</w:t>
            </w:r>
          </w:p>
        </w:tc>
      </w:tr>
      <w:tr w:rsidR="00636E84" w14:paraId="26DFD00D" w14:textId="77777777" w:rsidTr="00636E84">
        <w:tc>
          <w:tcPr>
            <w:tcW w:w="1271" w:type="dxa"/>
            <w:tcBorders>
              <w:top w:val="single" w:sz="4" w:space="0" w:color="auto"/>
              <w:left w:val="single" w:sz="4" w:space="0" w:color="auto"/>
              <w:bottom w:val="single" w:sz="4" w:space="0" w:color="auto"/>
              <w:right w:val="single" w:sz="4" w:space="0" w:color="auto"/>
            </w:tcBorders>
            <w:vAlign w:val="center"/>
            <w:hideMark/>
          </w:tcPr>
          <w:p w14:paraId="6D5107BA" w14:textId="77777777" w:rsidR="00636E84" w:rsidRDefault="00636E84">
            <w:pPr>
              <w:rPr>
                <w:rFonts w:ascii="Calibri" w:hAnsi="Calibri" w:cs="Arial"/>
                <w:b/>
                <w:color w:val="000000" w:themeColor="dark1"/>
                <w:kern w:val="28"/>
                <w:sz w:val="20"/>
                <w:szCs w:val="22"/>
              </w:rPr>
            </w:pPr>
            <w:r>
              <w:rPr>
                <w:rFonts w:ascii="Calibri" w:hAnsi="Calibri" w:cs="Arial"/>
                <w:b/>
                <w:color w:val="000000" w:themeColor="dark1"/>
                <w:kern w:val="28"/>
                <w:sz w:val="20"/>
                <w:szCs w:val="22"/>
              </w:rPr>
              <w:t>Technical expert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A26A3F" w14:textId="77777777" w:rsidR="00636E84" w:rsidRDefault="00636E84">
            <w:pPr>
              <w:pStyle w:val="NormalWeb"/>
              <w:spacing w:before="40" w:beforeAutospacing="0" w:after="40" w:afterAutospacing="0" w:line="260" w:lineRule="exact"/>
              <w:rPr>
                <w:rFonts w:ascii="Calibri" w:hAnsi="Calibri" w:cs="Arial"/>
                <w:sz w:val="20"/>
                <w:szCs w:val="22"/>
              </w:rPr>
            </w:pPr>
            <w:r>
              <w:rPr>
                <w:rFonts w:ascii="Calibri" w:hAnsi="Calibri" w:cs="Arial"/>
                <w:color w:val="000000" w:themeColor="dark1"/>
                <w:kern w:val="28"/>
                <w:sz w:val="20"/>
                <w:szCs w:val="22"/>
              </w:rPr>
              <w:t xml:space="preserve">Throughout the project, the technical expert ensures that the research accurately reflects technical aspects. </w:t>
            </w:r>
          </w:p>
          <w:p w14:paraId="69D2E081" w14:textId="77777777" w:rsidR="00636E84" w:rsidRDefault="00636E84">
            <w:pPr>
              <w:pStyle w:val="NormalWeb"/>
              <w:spacing w:before="40" w:beforeAutospacing="0" w:after="40" w:afterAutospacing="0" w:line="260" w:lineRule="exact"/>
              <w:rPr>
                <w:rFonts w:ascii="Calibri" w:hAnsi="Calibri" w:cs="Arial"/>
                <w:color w:val="000000" w:themeColor="dark1"/>
                <w:kern w:val="28"/>
                <w:sz w:val="20"/>
                <w:szCs w:val="22"/>
              </w:rPr>
            </w:pPr>
            <w:r>
              <w:rPr>
                <w:rFonts w:ascii="Calibri" w:hAnsi="Calibri" w:cs="Arial"/>
                <w:color w:val="000000" w:themeColor="dark1"/>
                <w:kern w:val="28"/>
                <w:sz w:val="20"/>
                <w:szCs w:val="22"/>
              </w:rPr>
              <w:t xml:space="preserve">Technical aspects can refer to specific issues around Rail Operations, Performance, Recovery Planning, Stock and Crew Management, or any other specialist field. </w:t>
            </w:r>
          </w:p>
        </w:tc>
        <w:tc>
          <w:tcPr>
            <w:tcW w:w="2127" w:type="dxa"/>
            <w:tcBorders>
              <w:top w:val="single" w:sz="4" w:space="0" w:color="auto"/>
              <w:left w:val="single" w:sz="4" w:space="0" w:color="auto"/>
              <w:bottom w:val="single" w:sz="4" w:space="0" w:color="auto"/>
              <w:right w:val="single" w:sz="4" w:space="0" w:color="auto"/>
            </w:tcBorders>
            <w:hideMark/>
          </w:tcPr>
          <w:p w14:paraId="59FBAB19" w14:textId="77777777" w:rsidR="00636E84" w:rsidRDefault="00636E84">
            <w:pPr>
              <w:rPr>
                <w:rFonts w:ascii="Calibri" w:hAnsi="Calibri" w:cs="Arial"/>
                <w:color w:val="000000" w:themeColor="dark1"/>
                <w:kern w:val="28"/>
                <w:sz w:val="20"/>
                <w:szCs w:val="22"/>
              </w:rPr>
            </w:pPr>
            <w:r>
              <w:rPr>
                <w:rFonts w:ascii="Calibri" w:hAnsi="Calibri" w:cs="Arial"/>
                <w:color w:val="000000" w:themeColor="dark1"/>
                <w:kern w:val="28"/>
                <w:sz w:val="20"/>
                <w:szCs w:val="22"/>
              </w:rPr>
              <w:t>Reviews emerging outputs from technical perspective</w:t>
            </w:r>
          </w:p>
        </w:tc>
      </w:tr>
      <w:tr w:rsidR="00636E84" w14:paraId="12D91C42" w14:textId="77777777" w:rsidTr="00636E84">
        <w:tc>
          <w:tcPr>
            <w:tcW w:w="1271" w:type="dxa"/>
            <w:tcBorders>
              <w:top w:val="single" w:sz="4" w:space="0" w:color="auto"/>
              <w:left w:val="single" w:sz="4" w:space="0" w:color="auto"/>
              <w:bottom w:val="single" w:sz="4" w:space="0" w:color="auto"/>
              <w:right w:val="single" w:sz="4" w:space="0" w:color="auto"/>
            </w:tcBorders>
            <w:vAlign w:val="center"/>
            <w:hideMark/>
          </w:tcPr>
          <w:p w14:paraId="733D40C3" w14:textId="77777777" w:rsidR="00636E84" w:rsidRDefault="00636E84">
            <w:pPr>
              <w:rPr>
                <w:rFonts w:ascii="Calibri" w:hAnsi="Calibri" w:cs="Arial"/>
                <w:b/>
                <w:sz w:val="20"/>
                <w:szCs w:val="22"/>
                <w:lang w:eastAsia="en-GB"/>
              </w:rPr>
            </w:pPr>
            <w:r>
              <w:rPr>
                <w:rFonts w:ascii="Calibri" w:hAnsi="Calibri" w:cs="Arial"/>
                <w:b/>
                <w:color w:val="000000" w:themeColor="dark1"/>
                <w:kern w:val="28"/>
                <w:sz w:val="20"/>
                <w:szCs w:val="22"/>
              </w:rPr>
              <w:t>Industry and RSSB sponsor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EA61F8" w14:textId="77777777" w:rsidR="00636E84" w:rsidRDefault="00636E84">
            <w:pPr>
              <w:pStyle w:val="NormalWeb"/>
              <w:spacing w:before="40" w:beforeAutospacing="0" w:after="40" w:afterAutospacing="0" w:line="260" w:lineRule="exact"/>
              <w:rPr>
                <w:rFonts w:ascii="Calibri" w:hAnsi="Calibri" w:cs="Arial"/>
                <w:sz w:val="20"/>
                <w:szCs w:val="22"/>
              </w:rPr>
            </w:pPr>
            <w:r>
              <w:rPr>
                <w:rFonts w:ascii="Calibri" w:hAnsi="Calibri" w:cs="Arial"/>
                <w:color w:val="000000" w:themeColor="dark1"/>
                <w:kern w:val="28"/>
                <w:sz w:val="20"/>
                <w:szCs w:val="22"/>
              </w:rPr>
              <w:t xml:space="preserve">The Industry and RSSB sponsors act as a figurehead for the research, championing its importance and its outputs. </w:t>
            </w:r>
          </w:p>
          <w:p w14:paraId="2DBD1494" w14:textId="77777777" w:rsidR="00636E84" w:rsidRDefault="00636E84">
            <w:pPr>
              <w:rPr>
                <w:rFonts w:ascii="Calibri" w:hAnsi="Calibri" w:cs="Arial"/>
                <w:sz w:val="20"/>
                <w:szCs w:val="22"/>
                <w:lang w:eastAsia="en-GB"/>
              </w:rPr>
            </w:pPr>
            <w:r>
              <w:rPr>
                <w:rFonts w:ascii="Calibri" w:hAnsi="Calibri" w:cs="Arial"/>
                <w:color w:val="000000" w:themeColor="dark1"/>
                <w:kern w:val="28"/>
                <w:sz w:val="20"/>
                <w:szCs w:val="22"/>
              </w:rPr>
              <w:t>Their key role is to provide steer to the research as it progresses and exert pressure on the industry to make use of its findings.</w:t>
            </w:r>
          </w:p>
        </w:tc>
        <w:tc>
          <w:tcPr>
            <w:tcW w:w="2127" w:type="dxa"/>
            <w:tcBorders>
              <w:top w:val="single" w:sz="4" w:space="0" w:color="auto"/>
              <w:left w:val="single" w:sz="4" w:space="0" w:color="auto"/>
              <w:bottom w:val="single" w:sz="4" w:space="0" w:color="auto"/>
              <w:right w:val="single" w:sz="4" w:space="0" w:color="auto"/>
            </w:tcBorders>
            <w:hideMark/>
          </w:tcPr>
          <w:p w14:paraId="49CB2F0F" w14:textId="77777777" w:rsidR="00636E84" w:rsidRDefault="00636E84">
            <w:pPr>
              <w:rPr>
                <w:rFonts w:ascii="Calibri" w:hAnsi="Calibri" w:cs="Arial"/>
                <w:color w:val="000000" w:themeColor="dark1"/>
                <w:kern w:val="28"/>
                <w:sz w:val="20"/>
                <w:szCs w:val="22"/>
              </w:rPr>
            </w:pPr>
            <w:r>
              <w:rPr>
                <w:rFonts w:ascii="Calibri" w:hAnsi="Calibri" w:cs="Arial"/>
                <w:color w:val="000000" w:themeColor="dark1"/>
                <w:kern w:val="28"/>
                <w:sz w:val="20"/>
                <w:szCs w:val="22"/>
              </w:rPr>
              <w:t xml:space="preserve">Formally accepts deliverables </w:t>
            </w:r>
          </w:p>
        </w:tc>
      </w:tr>
      <w:tr w:rsidR="00636E84" w14:paraId="783F3425" w14:textId="77777777" w:rsidTr="00636E84">
        <w:tc>
          <w:tcPr>
            <w:tcW w:w="1271" w:type="dxa"/>
            <w:tcBorders>
              <w:top w:val="single" w:sz="4" w:space="0" w:color="auto"/>
              <w:left w:val="single" w:sz="4" w:space="0" w:color="auto"/>
              <w:bottom w:val="single" w:sz="4" w:space="0" w:color="auto"/>
              <w:right w:val="single" w:sz="4" w:space="0" w:color="auto"/>
            </w:tcBorders>
            <w:vAlign w:val="center"/>
            <w:hideMark/>
          </w:tcPr>
          <w:p w14:paraId="2E1DC03B" w14:textId="77777777" w:rsidR="00636E84" w:rsidRDefault="00636E84">
            <w:pPr>
              <w:rPr>
                <w:rFonts w:ascii="Calibri" w:hAnsi="Calibri" w:cs="Arial"/>
                <w:b/>
                <w:sz w:val="20"/>
                <w:szCs w:val="22"/>
                <w:lang w:eastAsia="en-GB"/>
              </w:rPr>
            </w:pPr>
            <w:r>
              <w:rPr>
                <w:rFonts w:ascii="Calibri" w:hAnsi="Calibri" w:cs="Arial"/>
                <w:b/>
                <w:color w:val="000000" w:themeColor="dark1"/>
                <w:kern w:val="28"/>
                <w:sz w:val="20"/>
                <w:szCs w:val="22"/>
              </w:rPr>
              <w:t>Project supporters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6647060" w14:textId="77777777" w:rsidR="00636E84" w:rsidRDefault="00636E84">
            <w:pPr>
              <w:rPr>
                <w:rFonts w:ascii="Calibri" w:hAnsi="Calibri" w:cs="Arial"/>
                <w:sz w:val="20"/>
                <w:szCs w:val="22"/>
                <w:lang w:eastAsia="en-GB"/>
              </w:rPr>
            </w:pPr>
            <w:r>
              <w:rPr>
                <w:rFonts w:ascii="Calibri" w:hAnsi="Calibri" w:cs="Arial"/>
                <w:color w:val="000000" w:themeColor="dark1"/>
                <w:kern w:val="28"/>
                <w:sz w:val="20"/>
                <w:szCs w:val="22"/>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127" w:type="dxa"/>
            <w:tcBorders>
              <w:top w:val="single" w:sz="4" w:space="0" w:color="auto"/>
              <w:left w:val="single" w:sz="4" w:space="0" w:color="auto"/>
              <w:bottom w:val="single" w:sz="4" w:space="0" w:color="auto"/>
              <w:right w:val="single" w:sz="4" w:space="0" w:color="auto"/>
            </w:tcBorders>
            <w:hideMark/>
          </w:tcPr>
          <w:p w14:paraId="1637DDA8" w14:textId="77777777" w:rsidR="00636E84" w:rsidRDefault="00636E84">
            <w:pPr>
              <w:rPr>
                <w:rFonts w:ascii="Calibri" w:hAnsi="Calibri" w:cs="Arial"/>
                <w:color w:val="000000" w:themeColor="dark1"/>
                <w:kern w:val="28"/>
                <w:sz w:val="20"/>
                <w:szCs w:val="22"/>
              </w:rPr>
            </w:pPr>
            <w:r>
              <w:rPr>
                <w:rFonts w:ascii="Calibri" w:hAnsi="Calibri" w:cs="Arial"/>
                <w:color w:val="000000" w:themeColor="dark1"/>
                <w:kern w:val="28"/>
                <w:sz w:val="20"/>
                <w:szCs w:val="22"/>
              </w:rPr>
              <w:t xml:space="preserve">Formally accepts deliverables </w:t>
            </w:r>
          </w:p>
        </w:tc>
      </w:tr>
      <w:tr w:rsidR="00636E84" w14:paraId="7365F711" w14:textId="77777777" w:rsidTr="00636E84">
        <w:tc>
          <w:tcPr>
            <w:tcW w:w="1271" w:type="dxa"/>
            <w:tcBorders>
              <w:top w:val="single" w:sz="4" w:space="0" w:color="auto"/>
              <w:left w:val="single" w:sz="4" w:space="0" w:color="auto"/>
              <w:bottom w:val="single" w:sz="4" w:space="0" w:color="auto"/>
              <w:right w:val="single" w:sz="4" w:space="0" w:color="auto"/>
            </w:tcBorders>
            <w:vAlign w:val="center"/>
            <w:hideMark/>
          </w:tcPr>
          <w:p w14:paraId="2BC05F89" w14:textId="77777777" w:rsidR="00636E84" w:rsidRDefault="00636E84">
            <w:pPr>
              <w:rPr>
                <w:rFonts w:ascii="Calibri" w:hAnsi="Calibri" w:cs="Arial"/>
                <w:b/>
                <w:sz w:val="20"/>
                <w:szCs w:val="22"/>
                <w:lang w:eastAsia="en-GB"/>
              </w:rPr>
            </w:pPr>
            <w:r>
              <w:rPr>
                <w:rFonts w:ascii="Calibri" w:hAnsi="Calibri" w:cs="Arial"/>
                <w:b/>
                <w:color w:val="000000" w:themeColor="dark1"/>
                <w:kern w:val="28"/>
                <w:sz w:val="20"/>
                <w:szCs w:val="22"/>
              </w:rPr>
              <w:t>Project steering group</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1DDA6C" w14:textId="77777777" w:rsidR="00636E84" w:rsidRDefault="00636E84">
            <w:pPr>
              <w:pStyle w:val="NormalWeb"/>
              <w:spacing w:before="40" w:beforeAutospacing="0" w:after="40" w:afterAutospacing="0" w:line="260" w:lineRule="exact"/>
              <w:rPr>
                <w:rFonts w:ascii="Calibri" w:hAnsi="Calibri" w:cs="Arial"/>
                <w:sz w:val="20"/>
                <w:szCs w:val="22"/>
              </w:rPr>
            </w:pPr>
            <w:r>
              <w:rPr>
                <w:rFonts w:ascii="Calibri" w:hAnsi="Calibri" w:cs="Arial"/>
                <w:color w:val="000000" w:themeColor="dark1"/>
                <w:kern w:val="28"/>
                <w:sz w:val="20"/>
                <w:szCs w:val="22"/>
              </w:rPr>
              <w:t xml:space="preserve">The project steering group ensures the project delivers to industry needs. </w:t>
            </w:r>
          </w:p>
          <w:p w14:paraId="2A5117EF" w14:textId="77777777" w:rsidR="00636E84" w:rsidRDefault="00636E84">
            <w:pPr>
              <w:rPr>
                <w:rFonts w:ascii="Calibri" w:hAnsi="Calibri" w:cs="Arial"/>
                <w:sz w:val="20"/>
                <w:szCs w:val="22"/>
                <w:lang w:eastAsia="en-GB"/>
              </w:rPr>
            </w:pPr>
            <w:r>
              <w:rPr>
                <w:rFonts w:ascii="Calibri" w:hAnsi="Calibri" w:cs="Arial"/>
                <w:color w:val="000000" w:themeColor="dark1"/>
                <w:kern w:val="28"/>
                <w:sz w:val="20"/>
                <w:szCs w:val="22"/>
              </w:rPr>
              <w:t>As such, it helps formulate specifications, assesses tenders, reviews draft and final outputs and other relevant tasks.</w:t>
            </w:r>
          </w:p>
        </w:tc>
        <w:tc>
          <w:tcPr>
            <w:tcW w:w="2127" w:type="dxa"/>
            <w:tcBorders>
              <w:top w:val="single" w:sz="4" w:space="0" w:color="auto"/>
              <w:left w:val="single" w:sz="4" w:space="0" w:color="auto"/>
              <w:bottom w:val="single" w:sz="4" w:space="0" w:color="auto"/>
              <w:right w:val="single" w:sz="4" w:space="0" w:color="auto"/>
            </w:tcBorders>
            <w:hideMark/>
          </w:tcPr>
          <w:p w14:paraId="040FF63B" w14:textId="77777777" w:rsidR="00636E84" w:rsidRDefault="00636E84">
            <w:pPr>
              <w:rPr>
                <w:rFonts w:ascii="Calibri" w:hAnsi="Calibri" w:cs="Arial"/>
                <w:sz w:val="20"/>
                <w:szCs w:val="22"/>
                <w:lang w:eastAsia="en-GB"/>
              </w:rPr>
            </w:pPr>
            <w:r>
              <w:rPr>
                <w:rFonts w:ascii="Calibri" w:hAnsi="Calibri" w:cs="Arial"/>
                <w:color w:val="000000" w:themeColor="dark1"/>
                <w:kern w:val="28"/>
                <w:sz w:val="20"/>
                <w:szCs w:val="22"/>
              </w:rPr>
              <w:t xml:space="preserve">Formally accepts deliverables </w:t>
            </w:r>
          </w:p>
        </w:tc>
      </w:tr>
    </w:tbl>
    <w:p w14:paraId="33E67E19" w14:textId="77777777" w:rsidR="00420F8C" w:rsidRDefault="00420F8C" w:rsidP="00B90DA0">
      <w:pPr>
        <w:rPr>
          <w:rFonts w:ascii="Calibri" w:hAnsi="Calibri" w:cs="Arial"/>
          <w:sz w:val="22"/>
          <w:szCs w:val="22"/>
          <w:lang w:eastAsia="en-GB"/>
        </w:rPr>
      </w:pPr>
    </w:p>
    <w:p w14:paraId="16C4D38D" w14:textId="77777777" w:rsidR="006440C8" w:rsidRDefault="006440C8" w:rsidP="00B90DA0">
      <w:pPr>
        <w:rPr>
          <w:rFonts w:ascii="Calibri" w:hAnsi="Calibri" w:cs="Arial"/>
          <w:sz w:val="22"/>
          <w:szCs w:val="22"/>
          <w:lang w:eastAsia="en-GB"/>
        </w:rPr>
      </w:pPr>
    </w:p>
    <w:p w14:paraId="17F4873E" w14:textId="4A7C1820" w:rsidR="006440C8" w:rsidRDefault="00206FB1" w:rsidP="006440C8">
      <w:pPr>
        <w:pStyle w:val="Heading1"/>
      </w:pPr>
      <w:r>
        <w:t>Budget, timescales and d</w:t>
      </w:r>
      <w:r w:rsidR="006440C8">
        <w:t>ependencies</w:t>
      </w:r>
    </w:p>
    <w:p w14:paraId="236F1A65" w14:textId="461BD4ED" w:rsidR="00206FB1" w:rsidRDefault="00206FB1" w:rsidP="00B90DA0">
      <w:pPr>
        <w:rPr>
          <w:rFonts w:ascii="Calibri" w:hAnsi="Calibri" w:cs="Arial"/>
          <w:sz w:val="22"/>
          <w:szCs w:val="22"/>
          <w:lang w:eastAsia="en-GB"/>
        </w:rPr>
      </w:pPr>
      <w:r>
        <w:rPr>
          <w:rFonts w:ascii="Calibri" w:hAnsi="Calibri" w:cs="Arial"/>
          <w:sz w:val="22"/>
          <w:szCs w:val="22"/>
          <w:lang w:eastAsia="en-GB"/>
        </w:rPr>
        <w:t>The budget for this work is up to £</w:t>
      </w:r>
      <w:r w:rsidR="00636E84">
        <w:rPr>
          <w:rFonts w:ascii="Calibri" w:hAnsi="Calibri" w:cs="Arial"/>
          <w:sz w:val="22"/>
          <w:szCs w:val="22"/>
          <w:lang w:eastAsia="en-GB"/>
        </w:rPr>
        <w:t>75</w:t>
      </w:r>
      <w:r w:rsidR="00C47247">
        <w:rPr>
          <w:rFonts w:ascii="Calibri" w:hAnsi="Calibri" w:cs="Arial"/>
          <w:sz w:val="22"/>
          <w:szCs w:val="22"/>
          <w:lang w:eastAsia="en-GB"/>
        </w:rPr>
        <w:t>,000</w:t>
      </w:r>
      <w:r>
        <w:rPr>
          <w:rFonts w:ascii="Calibri" w:hAnsi="Calibri" w:cs="Arial"/>
          <w:i/>
          <w:sz w:val="22"/>
          <w:szCs w:val="22"/>
          <w:lang w:eastAsia="en-GB"/>
        </w:rPr>
        <w:t xml:space="preserve">. </w:t>
      </w:r>
      <w:r w:rsidR="008378BB">
        <w:rPr>
          <w:rFonts w:ascii="Calibri" w:hAnsi="Calibri" w:cs="Arial"/>
          <w:sz w:val="22"/>
          <w:szCs w:val="22"/>
          <w:lang w:eastAsia="en-GB"/>
        </w:rPr>
        <w:t xml:space="preserve">Any bid above this value will need to provide detailed explanation on why the supplier doesn’t feel that the budget is adequate and in such </w:t>
      </w:r>
      <w:proofErr w:type="gramStart"/>
      <w:r w:rsidR="008378BB">
        <w:rPr>
          <w:rFonts w:ascii="Calibri" w:hAnsi="Calibri" w:cs="Arial"/>
          <w:sz w:val="22"/>
          <w:szCs w:val="22"/>
          <w:lang w:eastAsia="en-GB"/>
        </w:rPr>
        <w:t>case</w:t>
      </w:r>
      <w:proofErr w:type="gramEnd"/>
      <w:r w:rsidR="008378BB">
        <w:rPr>
          <w:rFonts w:ascii="Calibri" w:hAnsi="Calibri" w:cs="Arial"/>
          <w:sz w:val="22"/>
          <w:szCs w:val="22"/>
          <w:lang w:eastAsia="en-GB"/>
        </w:rPr>
        <w:t xml:space="preserve"> we strongly encourage suppliers to provide costed options for RSSB to consider. </w:t>
      </w:r>
    </w:p>
    <w:p w14:paraId="413CEAF3" w14:textId="77777777" w:rsidR="00206FB1" w:rsidRDefault="00206FB1" w:rsidP="00B90DA0">
      <w:pPr>
        <w:rPr>
          <w:rFonts w:ascii="Calibri" w:hAnsi="Calibri" w:cs="Arial"/>
          <w:sz w:val="22"/>
          <w:szCs w:val="22"/>
          <w:lang w:eastAsia="en-GB"/>
        </w:rPr>
      </w:pPr>
    </w:p>
    <w:p w14:paraId="4BC87A6F" w14:textId="1C42A1E8" w:rsidR="00325F01" w:rsidRDefault="00206FB1" w:rsidP="00B90DA0">
      <w:pPr>
        <w:rPr>
          <w:rFonts w:ascii="Calibri" w:hAnsi="Calibri" w:cs="Arial"/>
          <w:sz w:val="22"/>
          <w:szCs w:val="22"/>
          <w:lang w:eastAsia="en-GB"/>
        </w:rPr>
      </w:pPr>
      <w:r>
        <w:rPr>
          <w:rFonts w:ascii="Calibri" w:hAnsi="Calibri" w:cs="Arial"/>
          <w:sz w:val="22"/>
          <w:szCs w:val="22"/>
          <w:lang w:eastAsia="en-GB"/>
        </w:rPr>
        <w:t xml:space="preserve">The work is expected to start </w:t>
      </w:r>
      <w:r w:rsidR="008378BB">
        <w:rPr>
          <w:rFonts w:ascii="Calibri" w:hAnsi="Calibri" w:cs="Arial"/>
          <w:sz w:val="22"/>
          <w:szCs w:val="22"/>
          <w:lang w:eastAsia="en-GB"/>
        </w:rPr>
        <w:t xml:space="preserve">in </w:t>
      </w:r>
      <w:r w:rsidR="00636E84">
        <w:rPr>
          <w:rFonts w:ascii="Calibri" w:hAnsi="Calibri" w:cs="Arial"/>
          <w:sz w:val="22"/>
          <w:szCs w:val="22"/>
          <w:lang w:eastAsia="en-GB"/>
        </w:rPr>
        <w:t xml:space="preserve">February </w:t>
      </w:r>
      <w:r w:rsidR="00B35F20">
        <w:rPr>
          <w:rFonts w:ascii="Calibri" w:hAnsi="Calibri" w:cs="Arial"/>
          <w:sz w:val="22"/>
          <w:szCs w:val="22"/>
          <w:lang w:eastAsia="en-GB"/>
        </w:rPr>
        <w:t>201</w:t>
      </w:r>
      <w:r w:rsidR="00636E84">
        <w:rPr>
          <w:rFonts w:ascii="Calibri" w:hAnsi="Calibri" w:cs="Arial"/>
          <w:sz w:val="22"/>
          <w:szCs w:val="22"/>
          <w:lang w:eastAsia="en-GB"/>
        </w:rPr>
        <w:t>9</w:t>
      </w:r>
      <w:r w:rsidR="00B35F20">
        <w:rPr>
          <w:rFonts w:ascii="Calibri" w:hAnsi="Calibri" w:cs="Arial"/>
          <w:sz w:val="22"/>
          <w:szCs w:val="22"/>
          <w:lang w:eastAsia="en-GB"/>
        </w:rPr>
        <w:t xml:space="preserve"> </w:t>
      </w:r>
      <w:r w:rsidR="008378BB">
        <w:rPr>
          <w:rFonts w:ascii="Calibri" w:hAnsi="Calibri" w:cs="Arial"/>
          <w:sz w:val="22"/>
          <w:szCs w:val="22"/>
          <w:lang w:eastAsia="en-GB"/>
        </w:rPr>
        <w:t xml:space="preserve">and be completed by </w:t>
      </w:r>
      <w:r w:rsidR="00636E84">
        <w:rPr>
          <w:rFonts w:ascii="Calibri" w:hAnsi="Calibri" w:cs="Arial"/>
          <w:sz w:val="22"/>
          <w:szCs w:val="22"/>
          <w:lang w:eastAsia="en-GB"/>
        </w:rPr>
        <w:t>July</w:t>
      </w:r>
      <w:r w:rsidR="00B35F20">
        <w:rPr>
          <w:rFonts w:ascii="Calibri" w:hAnsi="Calibri" w:cs="Arial"/>
          <w:sz w:val="22"/>
          <w:szCs w:val="22"/>
          <w:lang w:eastAsia="en-GB"/>
        </w:rPr>
        <w:t xml:space="preserve"> 201</w:t>
      </w:r>
      <w:r w:rsidR="00636E84">
        <w:rPr>
          <w:rFonts w:ascii="Calibri" w:hAnsi="Calibri" w:cs="Arial"/>
          <w:sz w:val="22"/>
          <w:szCs w:val="22"/>
          <w:lang w:eastAsia="en-GB"/>
        </w:rPr>
        <w:t>9</w:t>
      </w:r>
      <w:r w:rsidR="008378BB">
        <w:rPr>
          <w:rFonts w:ascii="Calibri" w:hAnsi="Calibri" w:cs="Arial"/>
          <w:sz w:val="22"/>
          <w:szCs w:val="22"/>
          <w:lang w:eastAsia="en-GB"/>
        </w:rPr>
        <w:t xml:space="preserve">. These are indicative dates and RSSB is prepared to consider bids that cannot meet these </w:t>
      </w:r>
      <w:r w:rsidR="008378BB">
        <w:rPr>
          <w:rFonts w:ascii="Calibri" w:hAnsi="Calibri" w:cs="Arial"/>
          <w:sz w:val="22"/>
          <w:szCs w:val="22"/>
          <w:lang w:eastAsia="en-GB"/>
        </w:rPr>
        <w:lastRenderedPageBreak/>
        <w:t xml:space="preserve">expectations if they have a robust and realistic project plan, and an explanation of why the expected start and end date cannot be met.  </w:t>
      </w:r>
    </w:p>
    <w:p w14:paraId="5BBF690B" w14:textId="77777777" w:rsidR="00325F01" w:rsidRDefault="00325F01" w:rsidP="00B90DA0">
      <w:pPr>
        <w:rPr>
          <w:rFonts w:ascii="Calibri" w:hAnsi="Calibri" w:cs="Arial"/>
          <w:sz w:val="22"/>
          <w:szCs w:val="22"/>
          <w:lang w:eastAsia="en-GB"/>
        </w:rPr>
      </w:pPr>
    </w:p>
    <w:p w14:paraId="4F3659F8" w14:textId="07B842B8" w:rsidR="00B35F20" w:rsidRPr="00325F01" w:rsidRDefault="00B35F20" w:rsidP="00B35F20">
      <w:pPr>
        <w:rPr>
          <w:rFonts w:ascii="Calibri" w:hAnsi="Calibri" w:cs="Arial"/>
          <w:sz w:val="22"/>
          <w:szCs w:val="22"/>
          <w:lang w:eastAsia="en-GB"/>
        </w:rPr>
      </w:pPr>
    </w:p>
    <w:p w14:paraId="45BEC2BA" w14:textId="77777777" w:rsidR="00E51749" w:rsidRDefault="00E51749" w:rsidP="00E51749">
      <w:pPr>
        <w:pStyle w:val="Heading1"/>
      </w:pPr>
      <w:r>
        <w:t>Critical success factors and risk management</w:t>
      </w:r>
    </w:p>
    <w:p w14:paraId="62ED7763" w14:textId="4650E4F7" w:rsidR="00581052" w:rsidRDefault="00581052" w:rsidP="00234E9A">
      <w:pPr>
        <w:pStyle w:val="Body"/>
        <w:numPr>
          <w:ilvl w:val="0"/>
          <w:numId w:val="33"/>
        </w:numPr>
      </w:pPr>
      <w:r w:rsidRPr="00581052">
        <w:t xml:space="preserve">Access to data </w:t>
      </w:r>
      <w:r>
        <w:t>/</w:t>
      </w:r>
      <w:r w:rsidRPr="00581052">
        <w:t xml:space="preserve"> information for the desk-based review and </w:t>
      </w:r>
      <w:r>
        <w:t>economic assessment.  This should be facilitated by RSSB and the project steering group, and suppliers are expected to identify appropriate sources information to support this work (e.g. open source data, academic articles).</w:t>
      </w:r>
    </w:p>
    <w:p w14:paraId="286CB7CA" w14:textId="753EC014" w:rsidR="00581052" w:rsidRDefault="00581052" w:rsidP="00234E9A">
      <w:pPr>
        <w:pStyle w:val="Body"/>
        <w:numPr>
          <w:ilvl w:val="0"/>
          <w:numId w:val="33"/>
        </w:numPr>
      </w:pPr>
      <w:r>
        <w:t xml:space="preserve">Access to stations to undertake case study survey arrangements.  This will be supported by RSSB and the project steering group.  </w:t>
      </w:r>
    </w:p>
    <w:p w14:paraId="035BBD00" w14:textId="7824E3AB" w:rsidR="00E54C75" w:rsidRDefault="00E54C75" w:rsidP="00234E9A">
      <w:pPr>
        <w:pStyle w:val="Body"/>
        <w:numPr>
          <w:ilvl w:val="0"/>
          <w:numId w:val="33"/>
        </w:numPr>
      </w:pPr>
      <w:r>
        <w:t xml:space="preserve">Appropriate mix of supplier expertise covering infrastructure, rolling stock, rail operations, and economic assessment.  Selection and award criteria for ITT.     </w:t>
      </w:r>
    </w:p>
    <w:p w14:paraId="1C3B7E9D" w14:textId="6D435AB7" w:rsidR="00636E84" w:rsidRDefault="00724AE6" w:rsidP="00285606">
      <w:pPr>
        <w:pStyle w:val="ListParagraph"/>
        <w:numPr>
          <w:ilvl w:val="0"/>
          <w:numId w:val="35"/>
        </w:numPr>
      </w:pPr>
      <w:r w:rsidRPr="00285606">
        <w:rPr>
          <w:rFonts w:asciiTheme="minorHAnsi" w:hAnsiTheme="minorHAnsi"/>
          <w:sz w:val="22"/>
        </w:rPr>
        <w:t xml:space="preserve">Robust implementation strategy.  A methodology that identifies the </w:t>
      </w:r>
      <w:r w:rsidR="00052A47" w:rsidRPr="00285606">
        <w:rPr>
          <w:rFonts w:asciiTheme="minorHAnsi" w:hAnsiTheme="minorHAnsi"/>
          <w:sz w:val="22"/>
        </w:rPr>
        <w:t xml:space="preserve">key insertion points, </w:t>
      </w:r>
      <w:r w:rsidRPr="00285606">
        <w:rPr>
          <w:rFonts w:asciiTheme="minorHAnsi" w:hAnsiTheme="minorHAnsi"/>
          <w:sz w:val="22"/>
        </w:rPr>
        <w:t>benefits (including tangible benefits)</w:t>
      </w:r>
      <w:r w:rsidR="00052A47" w:rsidRPr="00285606">
        <w:rPr>
          <w:rFonts w:asciiTheme="minorHAnsi" w:hAnsiTheme="minorHAnsi"/>
          <w:sz w:val="22"/>
        </w:rPr>
        <w:t>, and transition steps to reach the potential end benefits from industry adoption of the findings.</w:t>
      </w:r>
      <w:r w:rsidRPr="00285606">
        <w:rPr>
          <w:rFonts w:asciiTheme="minorHAnsi" w:hAnsiTheme="minorHAnsi"/>
          <w:sz w:val="22"/>
        </w:rPr>
        <w:t xml:space="preserve"> </w:t>
      </w:r>
    </w:p>
    <w:sectPr w:rsidR="00636E84" w:rsidSect="00285606">
      <w:headerReference w:type="even" r:id="rId11"/>
      <w:headerReference w:type="default" r:id="rId12"/>
      <w:footerReference w:type="even" r:id="rId13"/>
      <w:footerReference w:type="default" r:id="rId14"/>
      <w:headerReference w:type="first" r:id="rId15"/>
      <w:pgSz w:w="11906" w:h="16838"/>
      <w:pgMar w:top="1985" w:right="1985" w:bottom="1276"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6AE99" w14:textId="77777777" w:rsidR="006333BC" w:rsidRDefault="006333BC" w:rsidP="0003785D">
      <w:r>
        <w:separator/>
      </w:r>
    </w:p>
  </w:endnote>
  <w:endnote w:type="continuationSeparator" w:id="0">
    <w:p w14:paraId="40A19801" w14:textId="77777777" w:rsidR="006333BC" w:rsidRDefault="006333BC"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40C1" w14:textId="21435BFB" w:rsidR="00674166" w:rsidRDefault="00674166" w:rsidP="00674166">
    <w:pPr>
      <w:pStyle w:val="FooterLeft"/>
    </w:pPr>
    <w:r>
      <w:fldChar w:fldCharType="begin"/>
    </w:r>
    <w:r>
      <w:instrText xml:space="preserve"> PAGE   \* MERGEFORMAT </w:instrText>
    </w:r>
    <w:r>
      <w:fldChar w:fldCharType="separate"/>
    </w:r>
    <w:r w:rsidR="00E36727">
      <w:rPr>
        <w:noProof/>
      </w:rPr>
      <w:t>16</w:t>
    </w:r>
    <w:r>
      <w:rPr>
        <w:noProof/>
      </w:rPr>
      <w:fldChar w:fldCharType="end"/>
    </w:r>
    <w:r w:rsidR="00D5465A">
      <w:rPr>
        <w:noProof/>
      </w:rPr>
      <w:tab/>
      <w:t>Internal</w:t>
    </w:r>
    <w:r w:rsidR="00D5465A">
      <w:rPr>
        <w:noProof/>
      </w:rPr>
      <w:tab/>
    </w:r>
    <w:r w:rsidR="00D5465A">
      <w:rPr>
        <w:noProof/>
      </w:rPr>
      <w:fldChar w:fldCharType="begin"/>
    </w:r>
    <w:r w:rsidR="00D5465A">
      <w:rPr>
        <w:noProof/>
      </w:rPr>
      <w:instrText xml:space="preserve"> DATE \@ "d-MMM-yy" </w:instrText>
    </w:r>
    <w:r w:rsidR="00D5465A">
      <w:rPr>
        <w:noProof/>
      </w:rPr>
      <w:fldChar w:fldCharType="separate"/>
    </w:r>
    <w:r w:rsidR="00673800">
      <w:rPr>
        <w:noProof/>
      </w:rPr>
      <w:t>13-Nov-18</w:t>
    </w:r>
    <w:r w:rsidR="00D546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B7E9" w14:textId="7094FE21" w:rsidR="00674166" w:rsidRDefault="00285606" w:rsidP="00093C0A">
    <w:pPr>
      <w:pStyle w:val="FooterRight"/>
      <w:jc w:val="left"/>
    </w:pPr>
    <w:r>
      <w:t>November</w:t>
    </w:r>
    <w:r w:rsidR="00E36727">
      <w:t xml:space="preserve"> 201</w:t>
    </w:r>
    <w:r w:rsidR="005E795B">
      <w:t>8</w:t>
    </w:r>
    <w:r w:rsidR="00E36727">
      <w:tab/>
    </w:r>
    <w:r w:rsidR="00F24E03">
      <w:t>T1166 v1.1</w:t>
    </w:r>
    <w:r w:rsidR="00E36727">
      <w:tab/>
    </w:r>
    <w:r w:rsidR="00674166">
      <w:fldChar w:fldCharType="begin"/>
    </w:r>
    <w:r w:rsidR="00674166">
      <w:instrText xml:space="preserve"> PAGE   \* MERGEFORMAT </w:instrText>
    </w:r>
    <w:r w:rsidR="00674166">
      <w:fldChar w:fldCharType="separate"/>
    </w:r>
    <w:r w:rsidR="00E36727">
      <w:rPr>
        <w:noProof/>
      </w:rPr>
      <w:t>17</w:t>
    </w:r>
    <w:r w:rsidR="0067416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AAE23" w14:textId="77777777" w:rsidR="006333BC" w:rsidRDefault="006333BC" w:rsidP="0003785D">
      <w:r>
        <w:separator/>
      </w:r>
    </w:p>
  </w:footnote>
  <w:footnote w:type="continuationSeparator" w:id="0">
    <w:p w14:paraId="03F5E7B1" w14:textId="77777777" w:rsidR="006333BC" w:rsidRDefault="006333BC" w:rsidP="0003785D">
      <w:r>
        <w:continuationSeparator/>
      </w:r>
    </w:p>
  </w:footnote>
  <w:footnote w:id="1">
    <w:p w14:paraId="6AC109FF" w14:textId="15E9FDF2" w:rsidR="00F81CCD" w:rsidRPr="00285606" w:rsidRDefault="00F81CCD">
      <w:pPr>
        <w:pStyle w:val="FootnoteText"/>
        <w:rPr>
          <w:rFonts w:asciiTheme="minorHAnsi" w:hAnsiTheme="minorHAnsi"/>
          <w:sz w:val="16"/>
        </w:rPr>
      </w:pPr>
      <w:r w:rsidRPr="00285606">
        <w:rPr>
          <w:rStyle w:val="FootnoteReference"/>
          <w:rFonts w:asciiTheme="minorHAnsi" w:hAnsiTheme="minorHAnsi"/>
          <w:sz w:val="16"/>
        </w:rPr>
        <w:footnoteRef/>
      </w:r>
      <w:r w:rsidRPr="00285606">
        <w:rPr>
          <w:rFonts w:asciiTheme="minorHAnsi" w:hAnsiTheme="minorHAnsi"/>
          <w:sz w:val="16"/>
        </w:rPr>
        <w:t xml:space="preserve"> These values are taken from The Platform Train Interface Strategy: Technical report (RSSB, 2015). </w:t>
      </w:r>
      <w:hyperlink r:id="rId1" w:history="1">
        <w:r w:rsidRPr="00285606">
          <w:rPr>
            <w:rStyle w:val="Hyperlink"/>
            <w:rFonts w:asciiTheme="minorHAnsi" w:hAnsiTheme="minorHAnsi"/>
            <w:sz w:val="16"/>
          </w:rPr>
          <w:t>https://www.sparkrail.org/Lists/Records/DispForm.aspx?ID=22428</w:t>
        </w:r>
      </w:hyperlink>
      <w:r w:rsidRPr="00285606">
        <w:rPr>
          <w:rFonts w:asciiTheme="minorHAnsi" w:hAnsiTheme="minorHAnsi"/>
          <w:sz w:val="16"/>
        </w:rPr>
        <w:t xml:space="preserve"> </w:t>
      </w:r>
    </w:p>
  </w:footnote>
  <w:footnote w:id="2">
    <w:p w14:paraId="2B3DB225" w14:textId="1B624770" w:rsidR="00616B20" w:rsidRPr="00285606" w:rsidRDefault="00616B20">
      <w:pPr>
        <w:pStyle w:val="FootnoteText"/>
        <w:rPr>
          <w:rFonts w:asciiTheme="minorHAnsi" w:hAnsiTheme="minorHAnsi"/>
        </w:rPr>
      </w:pPr>
      <w:r w:rsidRPr="00285606">
        <w:rPr>
          <w:rStyle w:val="FootnoteReference"/>
          <w:rFonts w:asciiTheme="minorHAnsi" w:hAnsiTheme="minorHAnsi"/>
          <w:sz w:val="16"/>
        </w:rPr>
        <w:footnoteRef/>
      </w:r>
      <w:r w:rsidRPr="00285606">
        <w:rPr>
          <w:rFonts w:asciiTheme="minorHAnsi" w:hAnsiTheme="minorHAnsi"/>
          <w:sz w:val="16"/>
        </w:rPr>
        <w:t xml:space="preserve"> The Platform Train Interface Strategy: Technical report (RSSB, 2015). </w:t>
      </w:r>
      <w:hyperlink r:id="rId2" w:history="1">
        <w:r w:rsidRPr="00285606">
          <w:rPr>
            <w:rStyle w:val="Hyperlink"/>
            <w:rFonts w:asciiTheme="minorHAnsi" w:hAnsiTheme="minorHAnsi"/>
            <w:sz w:val="16"/>
          </w:rPr>
          <w:t>https://www.sparkrail.org/Lists/Records/DispForm.aspx?ID=22428</w:t>
        </w:r>
      </w:hyperlink>
    </w:p>
  </w:footnote>
  <w:footnote w:id="3">
    <w:p w14:paraId="40F44292" w14:textId="77777777" w:rsidR="005423A7" w:rsidRPr="000D7555" w:rsidRDefault="005423A7" w:rsidP="005423A7">
      <w:pPr>
        <w:pStyle w:val="FootnoteText"/>
        <w:rPr>
          <w:rFonts w:asciiTheme="minorHAnsi" w:hAnsiTheme="minorHAnsi" w:cstheme="minorBidi"/>
          <w:sz w:val="16"/>
          <w:szCs w:val="16"/>
        </w:rPr>
      </w:pPr>
      <w:r w:rsidRPr="000D7555">
        <w:rPr>
          <w:rStyle w:val="FootnoteReference"/>
          <w:rFonts w:asciiTheme="minorHAnsi" w:hAnsiTheme="minorHAnsi"/>
          <w:sz w:val="16"/>
          <w:szCs w:val="16"/>
        </w:rPr>
        <w:footnoteRef/>
      </w:r>
      <w:r w:rsidRPr="000D7555">
        <w:rPr>
          <w:rFonts w:asciiTheme="minorHAnsi" w:hAnsiTheme="minorHAnsi"/>
          <w:sz w:val="16"/>
          <w:szCs w:val="16"/>
        </w:rPr>
        <w:t xml:space="preserve"> Platform Train Interface Strategy (RSSB, 2015)</w:t>
      </w:r>
    </w:p>
  </w:footnote>
  <w:footnote w:id="4">
    <w:p w14:paraId="2E5D6AC5" w14:textId="77777777" w:rsidR="005423A7" w:rsidRPr="000D7555" w:rsidRDefault="005423A7" w:rsidP="005423A7">
      <w:pPr>
        <w:pStyle w:val="FootnoteText"/>
        <w:rPr>
          <w:rFonts w:asciiTheme="minorHAnsi" w:hAnsiTheme="minorHAnsi"/>
          <w:sz w:val="16"/>
          <w:szCs w:val="16"/>
        </w:rPr>
      </w:pPr>
      <w:r w:rsidRPr="000D7555">
        <w:rPr>
          <w:rStyle w:val="FootnoteReference"/>
          <w:rFonts w:asciiTheme="minorHAnsi" w:hAnsiTheme="minorHAnsi"/>
          <w:sz w:val="16"/>
          <w:szCs w:val="16"/>
        </w:rPr>
        <w:footnoteRef/>
      </w:r>
      <w:r w:rsidRPr="000D7555">
        <w:rPr>
          <w:rFonts w:asciiTheme="minorHAnsi" w:hAnsiTheme="minorHAnsi"/>
          <w:sz w:val="16"/>
          <w:szCs w:val="16"/>
        </w:rPr>
        <w:t xml:space="preserve"> </w:t>
      </w:r>
      <w:hyperlink r:id="rId3" w:history="1">
        <w:r w:rsidRPr="000D7555">
          <w:rPr>
            <w:rStyle w:val="Hyperlink"/>
            <w:rFonts w:asciiTheme="minorHAnsi" w:hAnsiTheme="minorHAnsi"/>
            <w:sz w:val="16"/>
            <w:szCs w:val="16"/>
          </w:rPr>
          <w:t>https://www.transportfocus.org.uk/research-publications/publications/national-rail-passenger-survey-nrps-spring-2018-main-report/</w:t>
        </w:r>
      </w:hyperlink>
      <w:r w:rsidRPr="000D7555">
        <w:rPr>
          <w:rFonts w:asciiTheme="minorHAnsi" w:hAnsiTheme="minorHAnsi"/>
          <w:sz w:val="16"/>
          <w:szCs w:val="16"/>
        </w:rPr>
        <w:t xml:space="preserve"> </w:t>
      </w:r>
    </w:p>
  </w:footnote>
  <w:footnote w:id="5">
    <w:p w14:paraId="73D12637" w14:textId="38AF2FED" w:rsidR="0086109D" w:rsidRPr="000D7555" w:rsidRDefault="0086109D">
      <w:pPr>
        <w:pStyle w:val="FootnoteText"/>
        <w:rPr>
          <w:rFonts w:asciiTheme="minorHAnsi" w:hAnsiTheme="minorHAnsi"/>
          <w:sz w:val="16"/>
          <w:szCs w:val="16"/>
        </w:rPr>
      </w:pPr>
      <w:r w:rsidRPr="000D7555">
        <w:rPr>
          <w:rStyle w:val="FootnoteReference"/>
          <w:rFonts w:asciiTheme="minorHAnsi" w:hAnsiTheme="minorHAnsi"/>
          <w:sz w:val="16"/>
          <w:szCs w:val="16"/>
        </w:rPr>
        <w:footnoteRef/>
      </w:r>
      <w:r w:rsidRPr="000D7555">
        <w:rPr>
          <w:rFonts w:asciiTheme="minorHAnsi" w:hAnsiTheme="minorHAnsi"/>
          <w:sz w:val="16"/>
          <w:szCs w:val="16"/>
        </w:rPr>
        <w:t xml:space="preserve"> Platform Train Interface Strategy (RSSB, 2015).  See for further information </w:t>
      </w:r>
      <w:hyperlink r:id="rId4" w:anchor="location_1" w:history="1">
        <w:r w:rsidRPr="000D7555">
          <w:rPr>
            <w:rStyle w:val="Hyperlink"/>
            <w:rFonts w:asciiTheme="minorHAnsi" w:hAnsiTheme="minorHAnsi"/>
            <w:sz w:val="16"/>
            <w:szCs w:val="16"/>
          </w:rPr>
          <w:t>https://www.rssb.co.uk/Pages/platform-train-interface.aspx#location_1</w:t>
        </w:r>
      </w:hyperlink>
      <w:r w:rsidRPr="000D7555">
        <w:rPr>
          <w:rFonts w:asciiTheme="minorHAnsi" w:hAnsiTheme="minorHAnsi"/>
          <w:sz w:val="16"/>
          <w:szCs w:val="16"/>
        </w:rPr>
        <w:t xml:space="preserve"> </w:t>
      </w:r>
    </w:p>
  </w:footnote>
  <w:footnote w:id="6">
    <w:p w14:paraId="30E4FAF6" w14:textId="5CCFF42F" w:rsidR="005423A7" w:rsidRPr="005423A7" w:rsidRDefault="005423A7">
      <w:pPr>
        <w:pStyle w:val="FootnoteText"/>
        <w:rPr>
          <w:rFonts w:asciiTheme="minorHAnsi" w:hAnsiTheme="minorHAnsi"/>
          <w:sz w:val="16"/>
        </w:rPr>
      </w:pPr>
      <w:r w:rsidRPr="000D7555">
        <w:rPr>
          <w:rStyle w:val="FootnoteReference"/>
          <w:rFonts w:asciiTheme="minorHAnsi" w:hAnsiTheme="minorHAnsi"/>
          <w:sz w:val="16"/>
          <w:szCs w:val="16"/>
        </w:rPr>
        <w:footnoteRef/>
      </w:r>
      <w:r w:rsidRPr="000D7555">
        <w:rPr>
          <w:rFonts w:asciiTheme="minorHAnsi" w:hAnsiTheme="minorHAnsi"/>
          <w:sz w:val="16"/>
          <w:szCs w:val="16"/>
        </w:rPr>
        <w:t xml:space="preserve"> </w:t>
      </w:r>
      <w:hyperlink r:id="rId5" w:history="1">
        <w:r w:rsidRPr="000D7555">
          <w:rPr>
            <w:rStyle w:val="Hyperlink"/>
            <w:rFonts w:asciiTheme="minorHAnsi" w:hAnsiTheme="minorHAnsi"/>
            <w:sz w:val="16"/>
            <w:szCs w:val="16"/>
          </w:rPr>
          <w:t>https://www.rssb.co.uk/improving-industry-performance/leading-health-and-safety-on-britains-railway</w:t>
        </w:r>
      </w:hyperlink>
      <w:r w:rsidRPr="005423A7">
        <w:rPr>
          <w:rFonts w:asciiTheme="minorHAnsi" w:hAnsiTheme="minorHAnsi"/>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71CA" w14:textId="77777777" w:rsidR="001D6644" w:rsidRDefault="006333BC">
    <w:pPr>
      <w:pStyle w:val="Header"/>
    </w:pPr>
    <w:r>
      <w:rPr>
        <w:noProof/>
      </w:rPr>
      <w:pict w14:anchorId="478F7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34665" o:spid="_x0000_s2050" type="#_x0000_t136" style="position:absolute;margin-left:0;margin-top:0;width:399.6pt;height:159.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C54B" w14:textId="77777777" w:rsidR="00E00C43" w:rsidRPr="0003785D" w:rsidRDefault="006333BC" w:rsidP="0003785D">
    <w:pPr>
      <w:pStyle w:val="Image"/>
    </w:pPr>
    <w:r>
      <w:rPr>
        <w:noProof/>
      </w:rPr>
      <w:pict w14:anchorId="64FCC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34666" o:spid="_x0000_s2051" type="#_x0000_t136" style="position:absolute;left:0;text-align:left;margin-left:0;margin-top:0;width:399.6pt;height:159.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00C43">
      <w:rPr>
        <w:noProof/>
        <w:lang w:eastAsia="en-GB"/>
      </w:rPr>
      <w:drawing>
        <wp:inline distT="0" distB="0" distL="0" distR="0" wp14:anchorId="51585A17" wp14:editId="45851246">
          <wp:extent cx="1256030" cy="699770"/>
          <wp:effectExtent l="0" t="0" r="1270" b="5080"/>
          <wp:docPr id="7" name="Picture 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4FFC" w14:textId="77777777" w:rsidR="001D6644" w:rsidRDefault="006333BC">
    <w:pPr>
      <w:pStyle w:val="Header"/>
    </w:pPr>
    <w:r>
      <w:rPr>
        <w:noProof/>
      </w:rPr>
      <w:pict w14:anchorId="1D1AF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34664" o:spid="_x0000_s2049" type="#_x0000_t136" style="position:absolute;margin-left:0;margin-top:0;width:399.6pt;height:159.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4607988"/>
    <w:multiLevelType w:val="hybridMultilevel"/>
    <w:tmpl w:val="51023C6A"/>
    <w:lvl w:ilvl="0" w:tplc="08090001">
      <w:start w:val="1"/>
      <w:numFmt w:val="bullet"/>
      <w:lvlText w:val=""/>
      <w:lvlJc w:val="left"/>
      <w:pPr>
        <w:tabs>
          <w:tab w:val="num" w:pos="720"/>
        </w:tabs>
        <w:ind w:left="720" w:hanging="360"/>
      </w:pPr>
      <w:rPr>
        <w:rFonts w:ascii="Symbol" w:hAnsi="Symbol" w:hint="default"/>
      </w:rPr>
    </w:lvl>
    <w:lvl w:ilvl="1" w:tplc="825A18EA">
      <w:start w:val="1"/>
      <w:numFmt w:val="bullet"/>
      <w:lvlText w:val="–"/>
      <w:lvlJc w:val="left"/>
      <w:pPr>
        <w:tabs>
          <w:tab w:val="num" w:pos="1440"/>
        </w:tabs>
        <w:ind w:left="1440" w:hanging="360"/>
      </w:pPr>
      <w:rPr>
        <w:rFonts w:ascii="Calibri" w:hAnsi="Calibri" w:hint="default"/>
      </w:rPr>
    </w:lvl>
    <w:lvl w:ilvl="2" w:tplc="496C404C" w:tentative="1">
      <w:start w:val="1"/>
      <w:numFmt w:val="bullet"/>
      <w:lvlText w:val="–"/>
      <w:lvlJc w:val="left"/>
      <w:pPr>
        <w:tabs>
          <w:tab w:val="num" w:pos="2160"/>
        </w:tabs>
        <w:ind w:left="2160" w:hanging="360"/>
      </w:pPr>
      <w:rPr>
        <w:rFonts w:ascii="Calibri" w:hAnsi="Calibri" w:hint="default"/>
      </w:rPr>
    </w:lvl>
    <w:lvl w:ilvl="3" w:tplc="2752C6EC" w:tentative="1">
      <w:start w:val="1"/>
      <w:numFmt w:val="bullet"/>
      <w:lvlText w:val="–"/>
      <w:lvlJc w:val="left"/>
      <w:pPr>
        <w:tabs>
          <w:tab w:val="num" w:pos="2880"/>
        </w:tabs>
        <w:ind w:left="2880" w:hanging="360"/>
      </w:pPr>
      <w:rPr>
        <w:rFonts w:ascii="Calibri" w:hAnsi="Calibri" w:hint="default"/>
      </w:rPr>
    </w:lvl>
    <w:lvl w:ilvl="4" w:tplc="03DA0704" w:tentative="1">
      <w:start w:val="1"/>
      <w:numFmt w:val="bullet"/>
      <w:lvlText w:val="–"/>
      <w:lvlJc w:val="left"/>
      <w:pPr>
        <w:tabs>
          <w:tab w:val="num" w:pos="3600"/>
        </w:tabs>
        <w:ind w:left="3600" w:hanging="360"/>
      </w:pPr>
      <w:rPr>
        <w:rFonts w:ascii="Calibri" w:hAnsi="Calibri" w:hint="default"/>
      </w:rPr>
    </w:lvl>
    <w:lvl w:ilvl="5" w:tplc="95729D72" w:tentative="1">
      <w:start w:val="1"/>
      <w:numFmt w:val="bullet"/>
      <w:lvlText w:val="–"/>
      <w:lvlJc w:val="left"/>
      <w:pPr>
        <w:tabs>
          <w:tab w:val="num" w:pos="4320"/>
        </w:tabs>
        <w:ind w:left="4320" w:hanging="360"/>
      </w:pPr>
      <w:rPr>
        <w:rFonts w:ascii="Calibri" w:hAnsi="Calibri" w:hint="default"/>
      </w:rPr>
    </w:lvl>
    <w:lvl w:ilvl="6" w:tplc="B82E6DC2" w:tentative="1">
      <w:start w:val="1"/>
      <w:numFmt w:val="bullet"/>
      <w:lvlText w:val="–"/>
      <w:lvlJc w:val="left"/>
      <w:pPr>
        <w:tabs>
          <w:tab w:val="num" w:pos="5040"/>
        </w:tabs>
        <w:ind w:left="5040" w:hanging="360"/>
      </w:pPr>
      <w:rPr>
        <w:rFonts w:ascii="Calibri" w:hAnsi="Calibri" w:hint="default"/>
      </w:rPr>
    </w:lvl>
    <w:lvl w:ilvl="7" w:tplc="2A72C5EC" w:tentative="1">
      <w:start w:val="1"/>
      <w:numFmt w:val="bullet"/>
      <w:lvlText w:val="–"/>
      <w:lvlJc w:val="left"/>
      <w:pPr>
        <w:tabs>
          <w:tab w:val="num" w:pos="5760"/>
        </w:tabs>
        <w:ind w:left="5760" w:hanging="360"/>
      </w:pPr>
      <w:rPr>
        <w:rFonts w:ascii="Calibri" w:hAnsi="Calibri" w:hint="default"/>
      </w:rPr>
    </w:lvl>
    <w:lvl w:ilvl="8" w:tplc="8D36D976"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330FC"/>
    <w:multiLevelType w:val="multilevel"/>
    <w:tmpl w:val="9404060C"/>
    <w:name w:val="OutlineNumbered"/>
    <w:lvl w:ilvl="0">
      <w:start w:val="1"/>
      <w:numFmt w:val="decimal"/>
      <w:pStyle w:val="Heading1"/>
      <w:suff w:val="nothing"/>
      <w:lvlText w:val="%1  "/>
      <w:lvlJc w:val="left"/>
      <w:pPr>
        <w:ind w:left="3687" w:firstLine="0"/>
      </w:pPr>
      <w:rPr>
        <w:rFonts w:ascii="Calibri" w:hAnsi="Calibri" w:hint="default"/>
        <w:b w:val="0"/>
        <w:i w:val="0"/>
        <w:color w:val="00968E"/>
        <w:sz w:val="36"/>
      </w:rPr>
    </w:lvl>
    <w:lvl w:ilvl="1">
      <w:start w:val="1"/>
      <w:numFmt w:val="decimal"/>
      <w:pStyle w:val="Heading2"/>
      <w:suff w:val="nothing"/>
      <w:lvlText w:val="%2.%1  "/>
      <w:lvlJc w:val="left"/>
      <w:pPr>
        <w:ind w:left="0" w:firstLine="0"/>
      </w:pPr>
      <w:rPr>
        <w:rFonts w:ascii="Calibri" w:hAnsi="Calibri" w:hint="default"/>
        <w:b w:val="0"/>
        <w:i w:val="0"/>
        <w:color w:val="00968E"/>
        <w:sz w:val="32"/>
      </w:rPr>
    </w:lvl>
    <w:lvl w:ilvl="2">
      <w:start w:val="1"/>
      <w:numFmt w:val="decimal"/>
      <w:pStyle w:val="Heading3"/>
      <w:suff w:val="nothing"/>
      <w:lvlText w:val="%3.%2.%1  "/>
      <w:lvlJc w:val="left"/>
      <w:pPr>
        <w:ind w:left="0" w:firstLine="0"/>
      </w:pPr>
      <w:rPr>
        <w:rFonts w:ascii="Calibri" w:hAnsi="Calibri" w:hint="default"/>
        <w:b w:val="0"/>
        <w:i w:val="0"/>
        <w:color w:val="00968E"/>
        <w:sz w:val="28"/>
      </w:rPr>
    </w:lvl>
    <w:lvl w:ilvl="3">
      <w:start w:val="1"/>
      <w:numFmt w:val="decimal"/>
      <w:pStyle w:val="Heading4"/>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03004"/>
    <w:multiLevelType w:val="hybridMultilevel"/>
    <w:tmpl w:val="66A66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A45A33"/>
    <w:multiLevelType w:val="hybridMultilevel"/>
    <w:tmpl w:val="F01C098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07B28"/>
    <w:multiLevelType w:val="hybridMultilevel"/>
    <w:tmpl w:val="E2B01FB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3876489A"/>
    <w:multiLevelType w:val="hybridMultilevel"/>
    <w:tmpl w:val="82F8C2B4"/>
    <w:lvl w:ilvl="0" w:tplc="2EF84244">
      <w:start w:val="1"/>
      <w:numFmt w:val="decimal"/>
      <w:pStyle w:val="Style1"/>
      <w:lvlText w:val="%1."/>
      <w:lvlJc w:val="left"/>
      <w:pPr>
        <w:tabs>
          <w:tab w:val="num" w:pos="720"/>
        </w:tabs>
        <w:ind w:left="720" w:hanging="360"/>
      </w:pPr>
      <w:rPr>
        <w:rFonts w:hint="default"/>
      </w:rPr>
    </w:lvl>
    <w:lvl w:ilvl="1" w:tplc="32EE3088">
      <w:start w:val="1"/>
      <w:numFmt w:val="bullet"/>
      <w:lvlText w:val="•"/>
      <w:lvlJc w:val="left"/>
      <w:pPr>
        <w:tabs>
          <w:tab w:val="num" w:pos="1440"/>
        </w:tabs>
        <w:ind w:left="1440" w:hanging="360"/>
      </w:pPr>
      <w:rPr>
        <w:rFonts w:ascii="Arial" w:hAnsi="Arial" w:hint="default"/>
      </w:rPr>
    </w:lvl>
    <w:lvl w:ilvl="2" w:tplc="2D241EAE" w:tentative="1">
      <w:start w:val="1"/>
      <w:numFmt w:val="bullet"/>
      <w:lvlText w:val="•"/>
      <w:lvlJc w:val="left"/>
      <w:pPr>
        <w:tabs>
          <w:tab w:val="num" w:pos="2160"/>
        </w:tabs>
        <w:ind w:left="2160" w:hanging="360"/>
      </w:pPr>
      <w:rPr>
        <w:rFonts w:ascii="Arial" w:hAnsi="Arial" w:hint="default"/>
      </w:rPr>
    </w:lvl>
    <w:lvl w:ilvl="3" w:tplc="6BB6920A" w:tentative="1">
      <w:start w:val="1"/>
      <w:numFmt w:val="bullet"/>
      <w:lvlText w:val="•"/>
      <w:lvlJc w:val="left"/>
      <w:pPr>
        <w:tabs>
          <w:tab w:val="num" w:pos="2880"/>
        </w:tabs>
        <w:ind w:left="2880" w:hanging="360"/>
      </w:pPr>
      <w:rPr>
        <w:rFonts w:ascii="Arial" w:hAnsi="Arial" w:hint="default"/>
      </w:rPr>
    </w:lvl>
    <w:lvl w:ilvl="4" w:tplc="F62EFB84" w:tentative="1">
      <w:start w:val="1"/>
      <w:numFmt w:val="bullet"/>
      <w:lvlText w:val="•"/>
      <w:lvlJc w:val="left"/>
      <w:pPr>
        <w:tabs>
          <w:tab w:val="num" w:pos="3600"/>
        </w:tabs>
        <w:ind w:left="3600" w:hanging="360"/>
      </w:pPr>
      <w:rPr>
        <w:rFonts w:ascii="Arial" w:hAnsi="Arial" w:hint="default"/>
      </w:rPr>
    </w:lvl>
    <w:lvl w:ilvl="5" w:tplc="C380BE26" w:tentative="1">
      <w:start w:val="1"/>
      <w:numFmt w:val="bullet"/>
      <w:lvlText w:val="•"/>
      <w:lvlJc w:val="left"/>
      <w:pPr>
        <w:tabs>
          <w:tab w:val="num" w:pos="4320"/>
        </w:tabs>
        <w:ind w:left="4320" w:hanging="360"/>
      </w:pPr>
      <w:rPr>
        <w:rFonts w:ascii="Arial" w:hAnsi="Arial" w:hint="default"/>
      </w:rPr>
    </w:lvl>
    <w:lvl w:ilvl="6" w:tplc="6F220708" w:tentative="1">
      <w:start w:val="1"/>
      <w:numFmt w:val="bullet"/>
      <w:lvlText w:val="•"/>
      <w:lvlJc w:val="left"/>
      <w:pPr>
        <w:tabs>
          <w:tab w:val="num" w:pos="5040"/>
        </w:tabs>
        <w:ind w:left="5040" w:hanging="360"/>
      </w:pPr>
      <w:rPr>
        <w:rFonts w:ascii="Arial" w:hAnsi="Arial" w:hint="default"/>
      </w:rPr>
    </w:lvl>
    <w:lvl w:ilvl="7" w:tplc="08480FD2" w:tentative="1">
      <w:start w:val="1"/>
      <w:numFmt w:val="bullet"/>
      <w:lvlText w:val="•"/>
      <w:lvlJc w:val="left"/>
      <w:pPr>
        <w:tabs>
          <w:tab w:val="num" w:pos="5760"/>
        </w:tabs>
        <w:ind w:left="5760" w:hanging="360"/>
      </w:pPr>
      <w:rPr>
        <w:rFonts w:ascii="Arial" w:hAnsi="Arial" w:hint="default"/>
      </w:rPr>
    </w:lvl>
    <w:lvl w:ilvl="8" w:tplc="2C226B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B90EC1"/>
    <w:multiLevelType w:val="hybridMultilevel"/>
    <w:tmpl w:val="BEA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1" w15:restartNumberingAfterBreak="0">
    <w:nsid w:val="45F3356A"/>
    <w:multiLevelType w:val="hybridMultilevel"/>
    <w:tmpl w:val="B1684E5A"/>
    <w:lvl w:ilvl="0" w:tplc="08090001">
      <w:start w:val="1"/>
      <w:numFmt w:val="bullet"/>
      <w:lvlText w:val=""/>
      <w:lvlJc w:val="left"/>
      <w:pPr>
        <w:ind w:left="720" w:hanging="360"/>
      </w:pPr>
      <w:rPr>
        <w:rFonts w:ascii="Symbol" w:hAnsi="Symbol" w:hint="default"/>
      </w:rPr>
    </w:lvl>
    <w:lvl w:ilvl="1" w:tplc="2ADC83F0">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C0292"/>
    <w:multiLevelType w:val="hybridMultilevel"/>
    <w:tmpl w:val="BA943D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C60812"/>
    <w:multiLevelType w:val="hybridMultilevel"/>
    <w:tmpl w:val="91784DE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9"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0" w15:restartNumberingAfterBreak="0">
    <w:nsid w:val="70454974"/>
    <w:multiLevelType w:val="hybridMultilevel"/>
    <w:tmpl w:val="554A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2"/>
  </w:num>
  <w:num w:numId="3">
    <w:abstractNumId w:val="10"/>
  </w:num>
  <w:num w:numId="4">
    <w:abstractNumId w:val="18"/>
  </w:num>
  <w:num w:numId="5">
    <w:abstractNumId w:val="31"/>
  </w:num>
  <w:num w:numId="6">
    <w:abstractNumId w:val="0"/>
  </w:num>
  <w:num w:numId="7">
    <w:abstractNumId w:val="32"/>
  </w:num>
  <w:num w:numId="8">
    <w:abstractNumId w:val="29"/>
  </w:num>
  <w:num w:numId="9">
    <w:abstractNumId w:val="1"/>
  </w:num>
  <w:num w:numId="10">
    <w:abstractNumId w:val="20"/>
  </w:num>
  <w:num w:numId="11">
    <w:abstractNumId w:val="34"/>
  </w:num>
  <w:num w:numId="12">
    <w:abstractNumId w:val="3"/>
  </w:num>
  <w:num w:numId="13">
    <w:abstractNumId w:val="33"/>
  </w:num>
  <w:num w:numId="14">
    <w:abstractNumId w:val="26"/>
  </w:num>
  <w:num w:numId="15">
    <w:abstractNumId w:val="23"/>
  </w:num>
  <w:num w:numId="16">
    <w:abstractNumId w:val="5"/>
  </w:num>
  <w:num w:numId="17">
    <w:abstractNumId w:val="27"/>
  </w:num>
  <w:num w:numId="18">
    <w:abstractNumId w:val="7"/>
  </w:num>
  <w:num w:numId="19">
    <w:abstractNumId w:val="13"/>
  </w:num>
  <w:num w:numId="20">
    <w:abstractNumId w:val="16"/>
  </w:num>
  <w:num w:numId="21">
    <w:abstractNumId w:val="6"/>
  </w:num>
  <w:num w:numId="22">
    <w:abstractNumId w:val="24"/>
  </w:num>
  <w:num w:numId="23">
    <w:abstractNumId w:val="17"/>
  </w:num>
  <w:num w:numId="24">
    <w:abstractNumId w:val="11"/>
  </w:num>
  <w:num w:numId="25">
    <w:abstractNumId w:val="25"/>
  </w:num>
  <w:num w:numId="26">
    <w:abstractNumId w:val="15"/>
  </w:num>
  <w:num w:numId="27">
    <w:abstractNumId w:val="22"/>
  </w:num>
  <w:num w:numId="28">
    <w:abstractNumId w:val="21"/>
  </w:num>
  <w:num w:numId="29">
    <w:abstractNumId w:val="8"/>
  </w:num>
  <w:num w:numId="30">
    <w:abstractNumId w:val="30"/>
  </w:num>
  <w:num w:numId="31">
    <w:abstractNumId w:val="28"/>
  </w:num>
  <w:num w:numId="32">
    <w:abstractNumId w:val="14"/>
  </w:num>
  <w:num w:numId="33">
    <w:abstractNumId w:val="4"/>
  </w:num>
  <w:num w:numId="34">
    <w:abstractNumId w:val="9"/>
    <w:lvlOverride w:ilvl="0">
      <w:startOverride w:val="1"/>
    </w:lvlOverride>
    <w:lvlOverride w:ilvl="1"/>
    <w:lvlOverride w:ilvl="2"/>
    <w:lvlOverride w:ilvl="3"/>
    <w:lvlOverride w:ilvl="4"/>
    <w:lvlOverride w:ilvl="5"/>
    <w:lvlOverride w:ilvl="6"/>
    <w:lvlOverride w:ilvl="7"/>
    <w:lvlOverride w:ilvl="8"/>
  </w:num>
  <w:num w:numId="35">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A0"/>
    <w:rsid w:val="00007166"/>
    <w:rsid w:val="000203F8"/>
    <w:rsid w:val="00022B96"/>
    <w:rsid w:val="00027D88"/>
    <w:rsid w:val="0003785D"/>
    <w:rsid w:val="00052A47"/>
    <w:rsid w:val="00080836"/>
    <w:rsid w:val="00087FC1"/>
    <w:rsid w:val="00093C0A"/>
    <w:rsid w:val="00095757"/>
    <w:rsid w:val="00095A03"/>
    <w:rsid w:val="000A6FD2"/>
    <w:rsid w:val="000B3445"/>
    <w:rsid w:val="000D1CCF"/>
    <w:rsid w:val="000D3F24"/>
    <w:rsid w:val="000D7555"/>
    <w:rsid w:val="000D7973"/>
    <w:rsid w:val="000E1B11"/>
    <w:rsid w:val="000F3413"/>
    <w:rsid w:val="000F7E3E"/>
    <w:rsid w:val="001007D1"/>
    <w:rsid w:val="00100BAD"/>
    <w:rsid w:val="00105AA8"/>
    <w:rsid w:val="00105C89"/>
    <w:rsid w:val="001327F5"/>
    <w:rsid w:val="00133D6F"/>
    <w:rsid w:val="00134A7B"/>
    <w:rsid w:val="0013566A"/>
    <w:rsid w:val="00150DCD"/>
    <w:rsid w:val="001561CD"/>
    <w:rsid w:val="001640EB"/>
    <w:rsid w:val="001738C2"/>
    <w:rsid w:val="00180DB2"/>
    <w:rsid w:val="00182E57"/>
    <w:rsid w:val="001B4560"/>
    <w:rsid w:val="001D29B2"/>
    <w:rsid w:val="001D6644"/>
    <w:rsid w:val="001D7E2A"/>
    <w:rsid w:val="001E55B5"/>
    <w:rsid w:val="001F0213"/>
    <w:rsid w:val="001F22B3"/>
    <w:rsid w:val="001F2882"/>
    <w:rsid w:val="00206FB1"/>
    <w:rsid w:val="00221F9B"/>
    <w:rsid w:val="002345D7"/>
    <w:rsid w:val="00234E9A"/>
    <w:rsid w:val="002569DA"/>
    <w:rsid w:val="00264702"/>
    <w:rsid w:val="00270E5E"/>
    <w:rsid w:val="00281BA5"/>
    <w:rsid w:val="00285606"/>
    <w:rsid w:val="002C01DB"/>
    <w:rsid w:val="002D073D"/>
    <w:rsid w:val="002D58EC"/>
    <w:rsid w:val="00325F01"/>
    <w:rsid w:val="00340C75"/>
    <w:rsid w:val="00344434"/>
    <w:rsid w:val="00353F9F"/>
    <w:rsid w:val="003651FB"/>
    <w:rsid w:val="00373AA7"/>
    <w:rsid w:val="003817B5"/>
    <w:rsid w:val="0039438D"/>
    <w:rsid w:val="00395222"/>
    <w:rsid w:val="003A2658"/>
    <w:rsid w:val="003B38DE"/>
    <w:rsid w:val="003B6295"/>
    <w:rsid w:val="003D1148"/>
    <w:rsid w:val="004113FF"/>
    <w:rsid w:val="00417A58"/>
    <w:rsid w:val="00420F8C"/>
    <w:rsid w:val="004236BB"/>
    <w:rsid w:val="0043391C"/>
    <w:rsid w:val="00443FAF"/>
    <w:rsid w:val="00444363"/>
    <w:rsid w:val="00465757"/>
    <w:rsid w:val="004666E1"/>
    <w:rsid w:val="00492512"/>
    <w:rsid w:val="004C5BAF"/>
    <w:rsid w:val="004C7A88"/>
    <w:rsid w:val="004E0FFB"/>
    <w:rsid w:val="00504F62"/>
    <w:rsid w:val="005105D4"/>
    <w:rsid w:val="005170FA"/>
    <w:rsid w:val="00521A6E"/>
    <w:rsid w:val="00523E0C"/>
    <w:rsid w:val="005271D9"/>
    <w:rsid w:val="005302A4"/>
    <w:rsid w:val="00536C43"/>
    <w:rsid w:val="00540310"/>
    <w:rsid w:val="005423A7"/>
    <w:rsid w:val="00546361"/>
    <w:rsid w:val="00547F63"/>
    <w:rsid w:val="00565059"/>
    <w:rsid w:val="0057270C"/>
    <w:rsid w:val="00581052"/>
    <w:rsid w:val="005813FB"/>
    <w:rsid w:val="00593C7B"/>
    <w:rsid w:val="005C1DDB"/>
    <w:rsid w:val="005C31BD"/>
    <w:rsid w:val="005E0FA3"/>
    <w:rsid w:val="005E795B"/>
    <w:rsid w:val="005F1D65"/>
    <w:rsid w:val="00602E1E"/>
    <w:rsid w:val="0061193F"/>
    <w:rsid w:val="00614442"/>
    <w:rsid w:val="00616B20"/>
    <w:rsid w:val="00620FA0"/>
    <w:rsid w:val="0062110D"/>
    <w:rsid w:val="006333BC"/>
    <w:rsid w:val="00636E84"/>
    <w:rsid w:val="006440C8"/>
    <w:rsid w:val="0066118A"/>
    <w:rsid w:val="00673800"/>
    <w:rsid w:val="00674166"/>
    <w:rsid w:val="00677B4C"/>
    <w:rsid w:val="006B076F"/>
    <w:rsid w:val="006D08BE"/>
    <w:rsid w:val="006E2708"/>
    <w:rsid w:val="00701230"/>
    <w:rsid w:val="00724AE6"/>
    <w:rsid w:val="007260F8"/>
    <w:rsid w:val="007575B8"/>
    <w:rsid w:val="007617B6"/>
    <w:rsid w:val="007715AE"/>
    <w:rsid w:val="00772D18"/>
    <w:rsid w:val="00774CB6"/>
    <w:rsid w:val="007C61C6"/>
    <w:rsid w:val="007D4616"/>
    <w:rsid w:val="00821C7E"/>
    <w:rsid w:val="008304B2"/>
    <w:rsid w:val="008378BB"/>
    <w:rsid w:val="00844E25"/>
    <w:rsid w:val="008502D0"/>
    <w:rsid w:val="00856404"/>
    <w:rsid w:val="0086109D"/>
    <w:rsid w:val="00865205"/>
    <w:rsid w:val="008718D1"/>
    <w:rsid w:val="0087706C"/>
    <w:rsid w:val="00896506"/>
    <w:rsid w:val="00896CA6"/>
    <w:rsid w:val="008A79AE"/>
    <w:rsid w:val="008B57D9"/>
    <w:rsid w:val="008B78F7"/>
    <w:rsid w:val="008C0F62"/>
    <w:rsid w:val="008D6E09"/>
    <w:rsid w:val="008F04B0"/>
    <w:rsid w:val="00913784"/>
    <w:rsid w:val="00916E86"/>
    <w:rsid w:val="00923181"/>
    <w:rsid w:val="00923B5C"/>
    <w:rsid w:val="0093184E"/>
    <w:rsid w:val="00932611"/>
    <w:rsid w:val="0095074C"/>
    <w:rsid w:val="00957E61"/>
    <w:rsid w:val="0096138C"/>
    <w:rsid w:val="00971DFA"/>
    <w:rsid w:val="00985C6E"/>
    <w:rsid w:val="00996F57"/>
    <w:rsid w:val="009974B9"/>
    <w:rsid w:val="009A43CE"/>
    <w:rsid w:val="009C6A75"/>
    <w:rsid w:val="009E1F97"/>
    <w:rsid w:val="009E5B93"/>
    <w:rsid w:val="009F7551"/>
    <w:rsid w:val="00A04EA2"/>
    <w:rsid w:val="00A074C7"/>
    <w:rsid w:val="00A12089"/>
    <w:rsid w:val="00A132AF"/>
    <w:rsid w:val="00A1591A"/>
    <w:rsid w:val="00A3523A"/>
    <w:rsid w:val="00A53EA0"/>
    <w:rsid w:val="00A775EE"/>
    <w:rsid w:val="00A85B19"/>
    <w:rsid w:val="00A903C6"/>
    <w:rsid w:val="00A92A2B"/>
    <w:rsid w:val="00A97182"/>
    <w:rsid w:val="00AC5C9D"/>
    <w:rsid w:val="00AF6A4C"/>
    <w:rsid w:val="00B139A4"/>
    <w:rsid w:val="00B14691"/>
    <w:rsid w:val="00B34E30"/>
    <w:rsid w:val="00B35F20"/>
    <w:rsid w:val="00B36A08"/>
    <w:rsid w:val="00B41869"/>
    <w:rsid w:val="00B53F8D"/>
    <w:rsid w:val="00B72ED1"/>
    <w:rsid w:val="00B7351D"/>
    <w:rsid w:val="00B75F9F"/>
    <w:rsid w:val="00B90DA0"/>
    <w:rsid w:val="00B928F8"/>
    <w:rsid w:val="00B9637C"/>
    <w:rsid w:val="00BB37E9"/>
    <w:rsid w:val="00BB6045"/>
    <w:rsid w:val="00BC31A4"/>
    <w:rsid w:val="00BE38C8"/>
    <w:rsid w:val="00BE51A8"/>
    <w:rsid w:val="00BF1FE8"/>
    <w:rsid w:val="00C00FDE"/>
    <w:rsid w:val="00C0656F"/>
    <w:rsid w:val="00C15913"/>
    <w:rsid w:val="00C33481"/>
    <w:rsid w:val="00C411AA"/>
    <w:rsid w:val="00C47247"/>
    <w:rsid w:val="00C52153"/>
    <w:rsid w:val="00C605E4"/>
    <w:rsid w:val="00C62BAC"/>
    <w:rsid w:val="00C658BD"/>
    <w:rsid w:val="00C7223F"/>
    <w:rsid w:val="00CB219F"/>
    <w:rsid w:val="00CB5009"/>
    <w:rsid w:val="00CB60A5"/>
    <w:rsid w:val="00CC0375"/>
    <w:rsid w:val="00CC2358"/>
    <w:rsid w:val="00CF4686"/>
    <w:rsid w:val="00D0605F"/>
    <w:rsid w:val="00D11754"/>
    <w:rsid w:val="00D371CD"/>
    <w:rsid w:val="00D501CD"/>
    <w:rsid w:val="00D5465A"/>
    <w:rsid w:val="00D67EE0"/>
    <w:rsid w:val="00D831A9"/>
    <w:rsid w:val="00D8458A"/>
    <w:rsid w:val="00D97643"/>
    <w:rsid w:val="00DD3C0B"/>
    <w:rsid w:val="00DF0D13"/>
    <w:rsid w:val="00DF1BB7"/>
    <w:rsid w:val="00DF4476"/>
    <w:rsid w:val="00E00C43"/>
    <w:rsid w:val="00E04231"/>
    <w:rsid w:val="00E1171E"/>
    <w:rsid w:val="00E26C47"/>
    <w:rsid w:val="00E32EB0"/>
    <w:rsid w:val="00E36727"/>
    <w:rsid w:val="00E51749"/>
    <w:rsid w:val="00E5472C"/>
    <w:rsid w:val="00E54C75"/>
    <w:rsid w:val="00E5589E"/>
    <w:rsid w:val="00E615FD"/>
    <w:rsid w:val="00E64502"/>
    <w:rsid w:val="00E74BD5"/>
    <w:rsid w:val="00EC063D"/>
    <w:rsid w:val="00EC2C5A"/>
    <w:rsid w:val="00ED74F6"/>
    <w:rsid w:val="00EF20FB"/>
    <w:rsid w:val="00F1508C"/>
    <w:rsid w:val="00F20293"/>
    <w:rsid w:val="00F21452"/>
    <w:rsid w:val="00F24E03"/>
    <w:rsid w:val="00F36E9F"/>
    <w:rsid w:val="00F477FD"/>
    <w:rsid w:val="00F47E34"/>
    <w:rsid w:val="00F62B1B"/>
    <w:rsid w:val="00F80C29"/>
    <w:rsid w:val="00F81CCD"/>
    <w:rsid w:val="00F906A8"/>
    <w:rsid w:val="00FC05CE"/>
    <w:rsid w:val="00FD5B9F"/>
    <w:rsid w:val="00FE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CB63B0"/>
  <w15:chartTrackingRefBased/>
  <w15:docId w15:val="{684C8458-8DB4-45BF-9098-159B5EA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BB37E9"/>
    <w:rPr>
      <w:rFonts w:ascii="Arial" w:hAnsi="Arial"/>
      <w:sz w:val="24"/>
      <w:szCs w:val="24"/>
      <w:lang w:eastAsia="en-US"/>
    </w:rPr>
  </w:style>
  <w:style w:type="paragraph" w:styleId="Heading10">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semiHidden/>
    <w:qFormat/>
    <w:rsid w:val="001F2882"/>
    <w:pPr>
      <w:keepNext w:val="0"/>
      <w:spacing w:before="60" w:line="260" w:lineRule="exact"/>
      <w:outlineLvl w:val="1"/>
    </w:pPr>
    <w:rPr>
      <w:b w:val="0"/>
      <w:sz w:val="22"/>
    </w:rPr>
  </w:style>
  <w:style w:type="paragraph" w:styleId="Heading30">
    <w:name w:val="heading 3"/>
    <w:basedOn w:val="Heading20"/>
    <w:next w:val="BodyText"/>
    <w:semiHidden/>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uiPriority w:val="99"/>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link w:val="BalloonTextChar"/>
    <w:uiPriority w:val="99"/>
    <w:qFormat/>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0"/>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
    <w:name w:val="Heading1"/>
    <w:next w:val="Body"/>
    <w:qFormat/>
    <w:rsid w:val="00F80C29"/>
    <w:pPr>
      <w:numPr>
        <w:numId w:val="21"/>
      </w:numPr>
      <w:spacing w:after="360" w:line="440" w:lineRule="exact"/>
      <w:ind w:left="0"/>
    </w:pPr>
    <w:rPr>
      <w:rFonts w:ascii="Calibri" w:hAnsi="Calibri" w:cs="Arial"/>
      <w:color w:val="00968E"/>
      <w:sz w:val="36"/>
      <w:szCs w:val="22"/>
    </w:rPr>
  </w:style>
  <w:style w:type="paragraph" w:customStyle="1" w:styleId="Heading2">
    <w:name w:val="Heading2"/>
    <w:qFormat/>
    <w:rsid w:val="005C1DDB"/>
    <w:pPr>
      <w:numPr>
        <w:ilvl w:val="1"/>
        <w:numId w:val="21"/>
      </w:numPr>
      <w:spacing w:after="240" w:line="400" w:lineRule="exact"/>
    </w:pPr>
    <w:rPr>
      <w:rFonts w:ascii="Calibri" w:hAnsi="Calibri" w:cs="Arial"/>
      <w:color w:val="00968E"/>
      <w:sz w:val="32"/>
      <w:szCs w:val="22"/>
    </w:rPr>
  </w:style>
  <w:style w:type="paragraph" w:customStyle="1" w:styleId="Heading3">
    <w:name w:val="Heading3"/>
    <w:qFormat/>
    <w:rsid w:val="005C1DDB"/>
    <w:pPr>
      <w:numPr>
        <w:ilvl w:val="2"/>
        <w:numId w:val="21"/>
      </w:numPr>
      <w:spacing w:after="120" w:line="360" w:lineRule="exact"/>
    </w:pPr>
    <w:rPr>
      <w:rFonts w:ascii="Calibri" w:hAnsi="Calibri" w:cs="Arial"/>
      <w:color w:val="00968E"/>
      <w:sz w:val="28"/>
      <w:szCs w:val="22"/>
    </w:rPr>
  </w:style>
  <w:style w:type="paragraph" w:customStyle="1" w:styleId="Heading4">
    <w:name w:val="Heading4"/>
    <w:qFormat/>
    <w:rsid w:val="005C1DDB"/>
    <w:pPr>
      <w:numPr>
        <w:ilvl w:val="3"/>
        <w:numId w:val="21"/>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character" w:styleId="CommentReference">
    <w:name w:val="annotation reference"/>
    <w:uiPriority w:val="99"/>
    <w:semiHidden/>
    <w:unhideWhenUsed/>
    <w:rsid w:val="00B90DA0"/>
    <w:rPr>
      <w:sz w:val="16"/>
      <w:szCs w:val="16"/>
    </w:rPr>
  </w:style>
  <w:style w:type="character" w:customStyle="1" w:styleId="BalloonTextChar">
    <w:name w:val="Balloon Text Char"/>
    <w:link w:val="BalloonText"/>
    <w:uiPriority w:val="99"/>
    <w:locked/>
    <w:rsid w:val="00B90DA0"/>
    <w:rPr>
      <w:rFonts w:ascii="Tahoma" w:hAnsi="Tahoma" w:cs="Tahoma"/>
      <w:sz w:val="16"/>
      <w:szCs w:val="16"/>
      <w:lang w:eastAsia="en-US"/>
    </w:rPr>
  </w:style>
  <w:style w:type="paragraph" w:styleId="CommentText">
    <w:name w:val="annotation text"/>
    <w:basedOn w:val="Normal"/>
    <w:link w:val="CommentTextChar"/>
    <w:uiPriority w:val="99"/>
    <w:semiHidden/>
    <w:unhideWhenUsed/>
    <w:rsid w:val="00B90DA0"/>
    <w:rPr>
      <w:rFonts w:eastAsia="Arial"/>
      <w:sz w:val="20"/>
      <w:szCs w:val="20"/>
      <w:lang w:val="x-none"/>
    </w:rPr>
  </w:style>
  <w:style w:type="character" w:customStyle="1" w:styleId="CommentTextChar">
    <w:name w:val="Comment Text Char"/>
    <w:basedOn w:val="DefaultParagraphFont"/>
    <w:link w:val="CommentText"/>
    <w:uiPriority w:val="99"/>
    <w:semiHidden/>
    <w:rsid w:val="00B90DA0"/>
    <w:rPr>
      <w:rFonts w:ascii="Arial" w:eastAsia="Arial" w:hAnsi="Arial"/>
      <w:lang w:val="x-none" w:eastAsia="en-US"/>
    </w:rPr>
  </w:style>
  <w:style w:type="paragraph" w:customStyle="1" w:styleId="TableTextBold0">
    <w:name w:val="TableTextBold"/>
    <w:uiPriority w:val="99"/>
    <w:rsid w:val="00B90DA0"/>
    <w:pPr>
      <w:spacing w:before="40" w:after="40" w:line="260" w:lineRule="exact"/>
    </w:pPr>
    <w:rPr>
      <w:rFonts w:ascii="Arial" w:eastAsia="Arial" w:hAnsi="Arial" w:cs="Arial"/>
      <w:b/>
      <w:bCs/>
      <w:kern w:val="28"/>
      <w:szCs w:val="32"/>
    </w:rPr>
  </w:style>
  <w:style w:type="paragraph" w:styleId="CommentSubject">
    <w:name w:val="annotation subject"/>
    <w:basedOn w:val="CommentText"/>
    <w:next w:val="CommentText"/>
    <w:link w:val="CommentSubjectChar"/>
    <w:semiHidden/>
    <w:rsid w:val="009F7551"/>
    <w:rPr>
      <w:rFonts w:eastAsia="Times New Roman"/>
      <w:b/>
      <w:bCs/>
      <w:lang w:val="en-GB"/>
    </w:rPr>
  </w:style>
  <w:style w:type="character" w:customStyle="1" w:styleId="CommentSubjectChar">
    <w:name w:val="Comment Subject Char"/>
    <w:basedOn w:val="CommentTextChar"/>
    <w:link w:val="CommentSubject"/>
    <w:semiHidden/>
    <w:rsid w:val="009F7551"/>
    <w:rPr>
      <w:rFonts w:ascii="Arial" w:eastAsia="Arial" w:hAnsi="Arial"/>
      <w:b/>
      <w:bCs/>
      <w:lang w:val="x-none" w:eastAsia="en-US"/>
    </w:rPr>
  </w:style>
  <w:style w:type="paragraph" w:styleId="ListParagraph">
    <w:name w:val="List Paragraph"/>
    <w:basedOn w:val="Normal"/>
    <w:uiPriority w:val="34"/>
    <w:qFormat/>
    <w:rsid w:val="001E55B5"/>
    <w:pPr>
      <w:ind w:left="720"/>
      <w:contextualSpacing/>
    </w:pPr>
  </w:style>
  <w:style w:type="paragraph" w:styleId="NormalWeb">
    <w:name w:val="Normal (Web)"/>
    <w:basedOn w:val="Normal"/>
    <w:uiPriority w:val="99"/>
    <w:semiHidden/>
    <w:unhideWhenUsed/>
    <w:rsid w:val="00420F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420F8C"/>
    <w:rPr>
      <w:rFonts w:ascii="Arial" w:hAnsi="Arial"/>
      <w:sz w:val="24"/>
      <w:szCs w:val="24"/>
      <w:lang w:eastAsia="en-US"/>
    </w:rPr>
  </w:style>
  <w:style w:type="paragraph" w:styleId="NoSpacing">
    <w:name w:val="No Spacing"/>
    <w:uiPriority w:val="1"/>
    <w:qFormat/>
    <w:rsid w:val="00281BA5"/>
    <w:rPr>
      <w:rFonts w:ascii="Arial" w:eastAsia="Arial" w:hAnsi="Arial"/>
      <w:sz w:val="22"/>
      <w:szCs w:val="22"/>
      <w:lang w:eastAsia="en-US"/>
    </w:rPr>
  </w:style>
  <w:style w:type="character" w:customStyle="1" w:styleId="BodyChar">
    <w:name w:val="Body Char"/>
    <w:link w:val="Body"/>
    <w:locked/>
    <w:rsid w:val="000203F8"/>
    <w:rPr>
      <w:rFonts w:ascii="Calibri" w:hAnsi="Calibri" w:cs="Arial"/>
      <w:sz w:val="22"/>
      <w:szCs w:val="22"/>
    </w:rPr>
  </w:style>
  <w:style w:type="paragraph" w:customStyle="1" w:styleId="Style1">
    <w:name w:val="Style1"/>
    <w:basedOn w:val="Body"/>
    <w:link w:val="Style1Char"/>
    <w:qFormat/>
    <w:rsid w:val="00614442"/>
    <w:pPr>
      <w:numPr>
        <w:numId w:val="26"/>
      </w:numPr>
      <w:spacing w:line="240" w:lineRule="auto"/>
      <w:ind w:left="714" w:hanging="357"/>
    </w:pPr>
  </w:style>
  <w:style w:type="character" w:customStyle="1" w:styleId="Style1Char">
    <w:name w:val="Style1 Char"/>
    <w:basedOn w:val="BodyChar"/>
    <w:link w:val="Style1"/>
    <w:rsid w:val="00614442"/>
    <w:rPr>
      <w:rFonts w:ascii="Calibri" w:hAnsi="Calibri" w:cs="Arial"/>
      <w:sz w:val="22"/>
      <w:szCs w:val="22"/>
    </w:rPr>
  </w:style>
  <w:style w:type="paragraph" w:styleId="FootnoteText">
    <w:name w:val="footnote text"/>
    <w:basedOn w:val="Normal"/>
    <w:link w:val="FootnoteTextChar"/>
    <w:uiPriority w:val="99"/>
    <w:semiHidden/>
    <w:rsid w:val="00353F9F"/>
    <w:rPr>
      <w:sz w:val="20"/>
      <w:szCs w:val="20"/>
    </w:rPr>
  </w:style>
  <w:style w:type="character" w:customStyle="1" w:styleId="FootnoteTextChar">
    <w:name w:val="Footnote Text Char"/>
    <w:basedOn w:val="DefaultParagraphFont"/>
    <w:link w:val="FootnoteText"/>
    <w:uiPriority w:val="99"/>
    <w:semiHidden/>
    <w:rsid w:val="00353F9F"/>
    <w:rPr>
      <w:rFonts w:ascii="Arial" w:hAnsi="Arial"/>
      <w:lang w:eastAsia="en-US"/>
    </w:rPr>
  </w:style>
  <w:style w:type="character" w:styleId="FootnoteReference">
    <w:name w:val="footnote reference"/>
    <w:basedOn w:val="DefaultParagraphFont"/>
    <w:uiPriority w:val="99"/>
    <w:semiHidden/>
    <w:rsid w:val="00353F9F"/>
    <w:rPr>
      <w:vertAlign w:val="superscript"/>
    </w:rPr>
  </w:style>
  <w:style w:type="character" w:styleId="Hyperlink">
    <w:name w:val="Hyperlink"/>
    <w:basedOn w:val="DefaultParagraphFont"/>
    <w:rsid w:val="00353F9F"/>
    <w:rPr>
      <w:color w:val="0563C1" w:themeColor="hyperlink"/>
      <w:u w:val="single"/>
    </w:rPr>
  </w:style>
  <w:style w:type="character" w:customStyle="1" w:styleId="UnresolvedMention1">
    <w:name w:val="Unresolved Mention1"/>
    <w:basedOn w:val="DefaultParagraphFont"/>
    <w:uiPriority w:val="99"/>
    <w:semiHidden/>
    <w:unhideWhenUsed/>
    <w:rsid w:val="00353F9F"/>
    <w:rPr>
      <w:color w:val="808080"/>
      <w:shd w:val="clear" w:color="auto" w:fill="E6E6E6"/>
    </w:rPr>
  </w:style>
  <w:style w:type="character" w:styleId="UnresolvedMention">
    <w:name w:val="Unresolved Mention"/>
    <w:basedOn w:val="DefaultParagraphFont"/>
    <w:uiPriority w:val="99"/>
    <w:semiHidden/>
    <w:unhideWhenUsed/>
    <w:rsid w:val="0086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4607">
      <w:bodyDiv w:val="1"/>
      <w:marLeft w:val="0"/>
      <w:marRight w:val="0"/>
      <w:marTop w:val="0"/>
      <w:marBottom w:val="0"/>
      <w:divBdr>
        <w:top w:val="none" w:sz="0" w:space="0" w:color="auto"/>
        <w:left w:val="none" w:sz="0" w:space="0" w:color="auto"/>
        <w:bottom w:val="none" w:sz="0" w:space="0" w:color="auto"/>
        <w:right w:val="none" w:sz="0" w:space="0" w:color="auto"/>
      </w:divBdr>
    </w:div>
    <w:div w:id="35156425">
      <w:bodyDiv w:val="1"/>
      <w:marLeft w:val="0"/>
      <w:marRight w:val="0"/>
      <w:marTop w:val="0"/>
      <w:marBottom w:val="0"/>
      <w:divBdr>
        <w:top w:val="none" w:sz="0" w:space="0" w:color="auto"/>
        <w:left w:val="none" w:sz="0" w:space="0" w:color="auto"/>
        <w:bottom w:val="none" w:sz="0" w:space="0" w:color="auto"/>
        <w:right w:val="none" w:sz="0" w:space="0" w:color="auto"/>
      </w:divBdr>
    </w:div>
    <w:div w:id="41826666">
      <w:bodyDiv w:val="1"/>
      <w:marLeft w:val="0"/>
      <w:marRight w:val="0"/>
      <w:marTop w:val="0"/>
      <w:marBottom w:val="0"/>
      <w:divBdr>
        <w:top w:val="none" w:sz="0" w:space="0" w:color="auto"/>
        <w:left w:val="none" w:sz="0" w:space="0" w:color="auto"/>
        <w:bottom w:val="none" w:sz="0" w:space="0" w:color="auto"/>
        <w:right w:val="none" w:sz="0" w:space="0" w:color="auto"/>
      </w:divBdr>
    </w:div>
    <w:div w:id="49038224">
      <w:bodyDiv w:val="1"/>
      <w:marLeft w:val="0"/>
      <w:marRight w:val="0"/>
      <w:marTop w:val="0"/>
      <w:marBottom w:val="0"/>
      <w:divBdr>
        <w:top w:val="none" w:sz="0" w:space="0" w:color="auto"/>
        <w:left w:val="none" w:sz="0" w:space="0" w:color="auto"/>
        <w:bottom w:val="none" w:sz="0" w:space="0" w:color="auto"/>
        <w:right w:val="none" w:sz="0" w:space="0" w:color="auto"/>
      </w:divBdr>
    </w:div>
    <w:div w:id="114569449">
      <w:bodyDiv w:val="1"/>
      <w:marLeft w:val="0"/>
      <w:marRight w:val="0"/>
      <w:marTop w:val="0"/>
      <w:marBottom w:val="0"/>
      <w:divBdr>
        <w:top w:val="none" w:sz="0" w:space="0" w:color="auto"/>
        <w:left w:val="none" w:sz="0" w:space="0" w:color="auto"/>
        <w:bottom w:val="none" w:sz="0" w:space="0" w:color="auto"/>
        <w:right w:val="none" w:sz="0" w:space="0" w:color="auto"/>
      </w:divBdr>
    </w:div>
    <w:div w:id="120811542">
      <w:bodyDiv w:val="1"/>
      <w:marLeft w:val="0"/>
      <w:marRight w:val="0"/>
      <w:marTop w:val="0"/>
      <w:marBottom w:val="0"/>
      <w:divBdr>
        <w:top w:val="none" w:sz="0" w:space="0" w:color="auto"/>
        <w:left w:val="none" w:sz="0" w:space="0" w:color="auto"/>
        <w:bottom w:val="none" w:sz="0" w:space="0" w:color="auto"/>
        <w:right w:val="none" w:sz="0" w:space="0" w:color="auto"/>
      </w:divBdr>
    </w:div>
    <w:div w:id="149106471">
      <w:bodyDiv w:val="1"/>
      <w:marLeft w:val="0"/>
      <w:marRight w:val="0"/>
      <w:marTop w:val="0"/>
      <w:marBottom w:val="0"/>
      <w:divBdr>
        <w:top w:val="none" w:sz="0" w:space="0" w:color="auto"/>
        <w:left w:val="none" w:sz="0" w:space="0" w:color="auto"/>
        <w:bottom w:val="none" w:sz="0" w:space="0" w:color="auto"/>
        <w:right w:val="none" w:sz="0" w:space="0" w:color="auto"/>
      </w:divBdr>
    </w:div>
    <w:div w:id="166410514">
      <w:bodyDiv w:val="1"/>
      <w:marLeft w:val="0"/>
      <w:marRight w:val="0"/>
      <w:marTop w:val="0"/>
      <w:marBottom w:val="0"/>
      <w:divBdr>
        <w:top w:val="none" w:sz="0" w:space="0" w:color="auto"/>
        <w:left w:val="none" w:sz="0" w:space="0" w:color="auto"/>
        <w:bottom w:val="none" w:sz="0" w:space="0" w:color="auto"/>
        <w:right w:val="none" w:sz="0" w:space="0" w:color="auto"/>
      </w:divBdr>
    </w:div>
    <w:div w:id="174459544">
      <w:bodyDiv w:val="1"/>
      <w:marLeft w:val="0"/>
      <w:marRight w:val="0"/>
      <w:marTop w:val="0"/>
      <w:marBottom w:val="0"/>
      <w:divBdr>
        <w:top w:val="none" w:sz="0" w:space="0" w:color="auto"/>
        <w:left w:val="none" w:sz="0" w:space="0" w:color="auto"/>
        <w:bottom w:val="none" w:sz="0" w:space="0" w:color="auto"/>
        <w:right w:val="none" w:sz="0" w:space="0" w:color="auto"/>
      </w:divBdr>
    </w:div>
    <w:div w:id="227693154">
      <w:bodyDiv w:val="1"/>
      <w:marLeft w:val="0"/>
      <w:marRight w:val="0"/>
      <w:marTop w:val="0"/>
      <w:marBottom w:val="0"/>
      <w:divBdr>
        <w:top w:val="none" w:sz="0" w:space="0" w:color="auto"/>
        <w:left w:val="none" w:sz="0" w:space="0" w:color="auto"/>
        <w:bottom w:val="none" w:sz="0" w:space="0" w:color="auto"/>
        <w:right w:val="none" w:sz="0" w:space="0" w:color="auto"/>
      </w:divBdr>
      <w:divsChild>
        <w:div w:id="1376469264">
          <w:marLeft w:val="446"/>
          <w:marRight w:val="0"/>
          <w:marTop w:val="0"/>
          <w:marBottom w:val="0"/>
          <w:divBdr>
            <w:top w:val="none" w:sz="0" w:space="0" w:color="auto"/>
            <w:left w:val="none" w:sz="0" w:space="0" w:color="auto"/>
            <w:bottom w:val="none" w:sz="0" w:space="0" w:color="auto"/>
            <w:right w:val="none" w:sz="0" w:space="0" w:color="auto"/>
          </w:divBdr>
        </w:div>
        <w:div w:id="1653757272">
          <w:marLeft w:val="446"/>
          <w:marRight w:val="0"/>
          <w:marTop w:val="0"/>
          <w:marBottom w:val="0"/>
          <w:divBdr>
            <w:top w:val="none" w:sz="0" w:space="0" w:color="auto"/>
            <w:left w:val="none" w:sz="0" w:space="0" w:color="auto"/>
            <w:bottom w:val="none" w:sz="0" w:space="0" w:color="auto"/>
            <w:right w:val="none" w:sz="0" w:space="0" w:color="auto"/>
          </w:divBdr>
        </w:div>
        <w:div w:id="299042696">
          <w:marLeft w:val="446"/>
          <w:marRight w:val="0"/>
          <w:marTop w:val="0"/>
          <w:marBottom w:val="0"/>
          <w:divBdr>
            <w:top w:val="none" w:sz="0" w:space="0" w:color="auto"/>
            <w:left w:val="none" w:sz="0" w:space="0" w:color="auto"/>
            <w:bottom w:val="none" w:sz="0" w:space="0" w:color="auto"/>
            <w:right w:val="none" w:sz="0" w:space="0" w:color="auto"/>
          </w:divBdr>
        </w:div>
        <w:div w:id="1420718207">
          <w:marLeft w:val="446"/>
          <w:marRight w:val="0"/>
          <w:marTop w:val="0"/>
          <w:marBottom w:val="0"/>
          <w:divBdr>
            <w:top w:val="none" w:sz="0" w:space="0" w:color="auto"/>
            <w:left w:val="none" w:sz="0" w:space="0" w:color="auto"/>
            <w:bottom w:val="none" w:sz="0" w:space="0" w:color="auto"/>
            <w:right w:val="none" w:sz="0" w:space="0" w:color="auto"/>
          </w:divBdr>
        </w:div>
        <w:div w:id="1365711668">
          <w:marLeft w:val="446"/>
          <w:marRight w:val="0"/>
          <w:marTop w:val="0"/>
          <w:marBottom w:val="0"/>
          <w:divBdr>
            <w:top w:val="none" w:sz="0" w:space="0" w:color="auto"/>
            <w:left w:val="none" w:sz="0" w:space="0" w:color="auto"/>
            <w:bottom w:val="none" w:sz="0" w:space="0" w:color="auto"/>
            <w:right w:val="none" w:sz="0" w:space="0" w:color="auto"/>
          </w:divBdr>
        </w:div>
        <w:div w:id="1842159418">
          <w:marLeft w:val="446"/>
          <w:marRight w:val="0"/>
          <w:marTop w:val="0"/>
          <w:marBottom w:val="0"/>
          <w:divBdr>
            <w:top w:val="none" w:sz="0" w:space="0" w:color="auto"/>
            <w:left w:val="none" w:sz="0" w:space="0" w:color="auto"/>
            <w:bottom w:val="none" w:sz="0" w:space="0" w:color="auto"/>
            <w:right w:val="none" w:sz="0" w:space="0" w:color="auto"/>
          </w:divBdr>
        </w:div>
      </w:divsChild>
    </w:div>
    <w:div w:id="302388862">
      <w:bodyDiv w:val="1"/>
      <w:marLeft w:val="0"/>
      <w:marRight w:val="0"/>
      <w:marTop w:val="0"/>
      <w:marBottom w:val="0"/>
      <w:divBdr>
        <w:top w:val="none" w:sz="0" w:space="0" w:color="auto"/>
        <w:left w:val="none" w:sz="0" w:space="0" w:color="auto"/>
        <w:bottom w:val="none" w:sz="0" w:space="0" w:color="auto"/>
        <w:right w:val="none" w:sz="0" w:space="0" w:color="auto"/>
      </w:divBdr>
    </w:div>
    <w:div w:id="313264537">
      <w:bodyDiv w:val="1"/>
      <w:marLeft w:val="0"/>
      <w:marRight w:val="0"/>
      <w:marTop w:val="0"/>
      <w:marBottom w:val="0"/>
      <w:divBdr>
        <w:top w:val="none" w:sz="0" w:space="0" w:color="auto"/>
        <w:left w:val="none" w:sz="0" w:space="0" w:color="auto"/>
        <w:bottom w:val="none" w:sz="0" w:space="0" w:color="auto"/>
        <w:right w:val="none" w:sz="0" w:space="0" w:color="auto"/>
      </w:divBdr>
      <w:divsChild>
        <w:div w:id="330260172">
          <w:marLeft w:val="446"/>
          <w:marRight w:val="0"/>
          <w:marTop w:val="0"/>
          <w:marBottom w:val="0"/>
          <w:divBdr>
            <w:top w:val="none" w:sz="0" w:space="0" w:color="auto"/>
            <w:left w:val="none" w:sz="0" w:space="0" w:color="auto"/>
            <w:bottom w:val="none" w:sz="0" w:space="0" w:color="auto"/>
            <w:right w:val="none" w:sz="0" w:space="0" w:color="auto"/>
          </w:divBdr>
        </w:div>
        <w:div w:id="2131364163">
          <w:marLeft w:val="446"/>
          <w:marRight w:val="0"/>
          <w:marTop w:val="0"/>
          <w:marBottom w:val="0"/>
          <w:divBdr>
            <w:top w:val="none" w:sz="0" w:space="0" w:color="auto"/>
            <w:left w:val="none" w:sz="0" w:space="0" w:color="auto"/>
            <w:bottom w:val="none" w:sz="0" w:space="0" w:color="auto"/>
            <w:right w:val="none" w:sz="0" w:space="0" w:color="auto"/>
          </w:divBdr>
        </w:div>
        <w:div w:id="1374771373">
          <w:marLeft w:val="446"/>
          <w:marRight w:val="0"/>
          <w:marTop w:val="0"/>
          <w:marBottom w:val="0"/>
          <w:divBdr>
            <w:top w:val="none" w:sz="0" w:space="0" w:color="auto"/>
            <w:left w:val="none" w:sz="0" w:space="0" w:color="auto"/>
            <w:bottom w:val="none" w:sz="0" w:space="0" w:color="auto"/>
            <w:right w:val="none" w:sz="0" w:space="0" w:color="auto"/>
          </w:divBdr>
        </w:div>
        <w:div w:id="1148938554">
          <w:marLeft w:val="446"/>
          <w:marRight w:val="0"/>
          <w:marTop w:val="0"/>
          <w:marBottom w:val="0"/>
          <w:divBdr>
            <w:top w:val="none" w:sz="0" w:space="0" w:color="auto"/>
            <w:left w:val="none" w:sz="0" w:space="0" w:color="auto"/>
            <w:bottom w:val="none" w:sz="0" w:space="0" w:color="auto"/>
            <w:right w:val="none" w:sz="0" w:space="0" w:color="auto"/>
          </w:divBdr>
        </w:div>
        <w:div w:id="209728992">
          <w:marLeft w:val="446"/>
          <w:marRight w:val="0"/>
          <w:marTop w:val="0"/>
          <w:marBottom w:val="0"/>
          <w:divBdr>
            <w:top w:val="none" w:sz="0" w:space="0" w:color="auto"/>
            <w:left w:val="none" w:sz="0" w:space="0" w:color="auto"/>
            <w:bottom w:val="none" w:sz="0" w:space="0" w:color="auto"/>
            <w:right w:val="none" w:sz="0" w:space="0" w:color="auto"/>
          </w:divBdr>
        </w:div>
        <w:div w:id="1794860129">
          <w:marLeft w:val="446"/>
          <w:marRight w:val="0"/>
          <w:marTop w:val="0"/>
          <w:marBottom w:val="0"/>
          <w:divBdr>
            <w:top w:val="none" w:sz="0" w:space="0" w:color="auto"/>
            <w:left w:val="none" w:sz="0" w:space="0" w:color="auto"/>
            <w:bottom w:val="none" w:sz="0" w:space="0" w:color="auto"/>
            <w:right w:val="none" w:sz="0" w:space="0" w:color="auto"/>
          </w:divBdr>
        </w:div>
        <w:div w:id="367411216">
          <w:marLeft w:val="446"/>
          <w:marRight w:val="0"/>
          <w:marTop w:val="0"/>
          <w:marBottom w:val="0"/>
          <w:divBdr>
            <w:top w:val="none" w:sz="0" w:space="0" w:color="auto"/>
            <w:left w:val="none" w:sz="0" w:space="0" w:color="auto"/>
            <w:bottom w:val="none" w:sz="0" w:space="0" w:color="auto"/>
            <w:right w:val="none" w:sz="0" w:space="0" w:color="auto"/>
          </w:divBdr>
        </w:div>
        <w:div w:id="136994107">
          <w:marLeft w:val="446"/>
          <w:marRight w:val="0"/>
          <w:marTop w:val="0"/>
          <w:marBottom w:val="0"/>
          <w:divBdr>
            <w:top w:val="none" w:sz="0" w:space="0" w:color="auto"/>
            <w:left w:val="none" w:sz="0" w:space="0" w:color="auto"/>
            <w:bottom w:val="none" w:sz="0" w:space="0" w:color="auto"/>
            <w:right w:val="none" w:sz="0" w:space="0" w:color="auto"/>
          </w:divBdr>
        </w:div>
        <w:div w:id="2049059507">
          <w:marLeft w:val="446"/>
          <w:marRight w:val="0"/>
          <w:marTop w:val="0"/>
          <w:marBottom w:val="0"/>
          <w:divBdr>
            <w:top w:val="none" w:sz="0" w:space="0" w:color="auto"/>
            <w:left w:val="none" w:sz="0" w:space="0" w:color="auto"/>
            <w:bottom w:val="none" w:sz="0" w:space="0" w:color="auto"/>
            <w:right w:val="none" w:sz="0" w:space="0" w:color="auto"/>
          </w:divBdr>
        </w:div>
        <w:div w:id="1441533133">
          <w:marLeft w:val="446"/>
          <w:marRight w:val="0"/>
          <w:marTop w:val="0"/>
          <w:marBottom w:val="0"/>
          <w:divBdr>
            <w:top w:val="none" w:sz="0" w:space="0" w:color="auto"/>
            <w:left w:val="none" w:sz="0" w:space="0" w:color="auto"/>
            <w:bottom w:val="none" w:sz="0" w:space="0" w:color="auto"/>
            <w:right w:val="none" w:sz="0" w:space="0" w:color="auto"/>
          </w:divBdr>
        </w:div>
        <w:div w:id="1647782385">
          <w:marLeft w:val="446"/>
          <w:marRight w:val="0"/>
          <w:marTop w:val="0"/>
          <w:marBottom w:val="0"/>
          <w:divBdr>
            <w:top w:val="none" w:sz="0" w:space="0" w:color="auto"/>
            <w:left w:val="none" w:sz="0" w:space="0" w:color="auto"/>
            <w:bottom w:val="none" w:sz="0" w:space="0" w:color="auto"/>
            <w:right w:val="none" w:sz="0" w:space="0" w:color="auto"/>
          </w:divBdr>
        </w:div>
      </w:divsChild>
    </w:div>
    <w:div w:id="320550331">
      <w:bodyDiv w:val="1"/>
      <w:marLeft w:val="0"/>
      <w:marRight w:val="0"/>
      <w:marTop w:val="0"/>
      <w:marBottom w:val="0"/>
      <w:divBdr>
        <w:top w:val="none" w:sz="0" w:space="0" w:color="auto"/>
        <w:left w:val="none" w:sz="0" w:space="0" w:color="auto"/>
        <w:bottom w:val="none" w:sz="0" w:space="0" w:color="auto"/>
        <w:right w:val="none" w:sz="0" w:space="0" w:color="auto"/>
      </w:divBdr>
    </w:div>
    <w:div w:id="394817131">
      <w:bodyDiv w:val="1"/>
      <w:marLeft w:val="0"/>
      <w:marRight w:val="0"/>
      <w:marTop w:val="0"/>
      <w:marBottom w:val="0"/>
      <w:divBdr>
        <w:top w:val="none" w:sz="0" w:space="0" w:color="auto"/>
        <w:left w:val="none" w:sz="0" w:space="0" w:color="auto"/>
        <w:bottom w:val="none" w:sz="0" w:space="0" w:color="auto"/>
        <w:right w:val="none" w:sz="0" w:space="0" w:color="auto"/>
      </w:divBdr>
    </w:div>
    <w:div w:id="411900045">
      <w:bodyDiv w:val="1"/>
      <w:marLeft w:val="0"/>
      <w:marRight w:val="0"/>
      <w:marTop w:val="0"/>
      <w:marBottom w:val="0"/>
      <w:divBdr>
        <w:top w:val="none" w:sz="0" w:space="0" w:color="auto"/>
        <w:left w:val="none" w:sz="0" w:space="0" w:color="auto"/>
        <w:bottom w:val="none" w:sz="0" w:space="0" w:color="auto"/>
        <w:right w:val="none" w:sz="0" w:space="0" w:color="auto"/>
      </w:divBdr>
    </w:div>
    <w:div w:id="435911130">
      <w:bodyDiv w:val="1"/>
      <w:marLeft w:val="0"/>
      <w:marRight w:val="0"/>
      <w:marTop w:val="0"/>
      <w:marBottom w:val="0"/>
      <w:divBdr>
        <w:top w:val="none" w:sz="0" w:space="0" w:color="auto"/>
        <w:left w:val="none" w:sz="0" w:space="0" w:color="auto"/>
        <w:bottom w:val="none" w:sz="0" w:space="0" w:color="auto"/>
        <w:right w:val="none" w:sz="0" w:space="0" w:color="auto"/>
      </w:divBdr>
    </w:div>
    <w:div w:id="493424387">
      <w:bodyDiv w:val="1"/>
      <w:marLeft w:val="0"/>
      <w:marRight w:val="0"/>
      <w:marTop w:val="0"/>
      <w:marBottom w:val="0"/>
      <w:divBdr>
        <w:top w:val="none" w:sz="0" w:space="0" w:color="auto"/>
        <w:left w:val="none" w:sz="0" w:space="0" w:color="auto"/>
        <w:bottom w:val="none" w:sz="0" w:space="0" w:color="auto"/>
        <w:right w:val="none" w:sz="0" w:space="0" w:color="auto"/>
      </w:divBdr>
    </w:div>
    <w:div w:id="502669948">
      <w:bodyDiv w:val="1"/>
      <w:marLeft w:val="0"/>
      <w:marRight w:val="0"/>
      <w:marTop w:val="0"/>
      <w:marBottom w:val="0"/>
      <w:divBdr>
        <w:top w:val="none" w:sz="0" w:space="0" w:color="auto"/>
        <w:left w:val="none" w:sz="0" w:space="0" w:color="auto"/>
        <w:bottom w:val="none" w:sz="0" w:space="0" w:color="auto"/>
        <w:right w:val="none" w:sz="0" w:space="0" w:color="auto"/>
      </w:divBdr>
      <w:divsChild>
        <w:div w:id="555698659">
          <w:marLeft w:val="446"/>
          <w:marRight w:val="0"/>
          <w:marTop w:val="0"/>
          <w:marBottom w:val="0"/>
          <w:divBdr>
            <w:top w:val="none" w:sz="0" w:space="0" w:color="auto"/>
            <w:left w:val="none" w:sz="0" w:space="0" w:color="auto"/>
            <w:bottom w:val="none" w:sz="0" w:space="0" w:color="auto"/>
            <w:right w:val="none" w:sz="0" w:space="0" w:color="auto"/>
          </w:divBdr>
        </w:div>
        <w:div w:id="2003585767">
          <w:marLeft w:val="446"/>
          <w:marRight w:val="0"/>
          <w:marTop w:val="0"/>
          <w:marBottom w:val="0"/>
          <w:divBdr>
            <w:top w:val="none" w:sz="0" w:space="0" w:color="auto"/>
            <w:left w:val="none" w:sz="0" w:space="0" w:color="auto"/>
            <w:bottom w:val="none" w:sz="0" w:space="0" w:color="auto"/>
            <w:right w:val="none" w:sz="0" w:space="0" w:color="auto"/>
          </w:divBdr>
        </w:div>
        <w:div w:id="1886213357">
          <w:marLeft w:val="446"/>
          <w:marRight w:val="0"/>
          <w:marTop w:val="0"/>
          <w:marBottom w:val="0"/>
          <w:divBdr>
            <w:top w:val="none" w:sz="0" w:space="0" w:color="auto"/>
            <w:left w:val="none" w:sz="0" w:space="0" w:color="auto"/>
            <w:bottom w:val="none" w:sz="0" w:space="0" w:color="auto"/>
            <w:right w:val="none" w:sz="0" w:space="0" w:color="auto"/>
          </w:divBdr>
        </w:div>
        <w:div w:id="1083456830">
          <w:marLeft w:val="446"/>
          <w:marRight w:val="0"/>
          <w:marTop w:val="0"/>
          <w:marBottom w:val="0"/>
          <w:divBdr>
            <w:top w:val="none" w:sz="0" w:space="0" w:color="auto"/>
            <w:left w:val="none" w:sz="0" w:space="0" w:color="auto"/>
            <w:bottom w:val="none" w:sz="0" w:space="0" w:color="auto"/>
            <w:right w:val="none" w:sz="0" w:space="0" w:color="auto"/>
          </w:divBdr>
        </w:div>
        <w:div w:id="67307728">
          <w:marLeft w:val="446"/>
          <w:marRight w:val="0"/>
          <w:marTop w:val="0"/>
          <w:marBottom w:val="0"/>
          <w:divBdr>
            <w:top w:val="none" w:sz="0" w:space="0" w:color="auto"/>
            <w:left w:val="none" w:sz="0" w:space="0" w:color="auto"/>
            <w:bottom w:val="none" w:sz="0" w:space="0" w:color="auto"/>
            <w:right w:val="none" w:sz="0" w:space="0" w:color="auto"/>
          </w:divBdr>
        </w:div>
      </w:divsChild>
    </w:div>
    <w:div w:id="527137418">
      <w:bodyDiv w:val="1"/>
      <w:marLeft w:val="0"/>
      <w:marRight w:val="0"/>
      <w:marTop w:val="0"/>
      <w:marBottom w:val="0"/>
      <w:divBdr>
        <w:top w:val="none" w:sz="0" w:space="0" w:color="auto"/>
        <w:left w:val="none" w:sz="0" w:space="0" w:color="auto"/>
        <w:bottom w:val="none" w:sz="0" w:space="0" w:color="auto"/>
        <w:right w:val="none" w:sz="0" w:space="0" w:color="auto"/>
      </w:divBdr>
      <w:divsChild>
        <w:div w:id="1548681961">
          <w:marLeft w:val="446"/>
          <w:marRight w:val="0"/>
          <w:marTop w:val="0"/>
          <w:marBottom w:val="0"/>
          <w:divBdr>
            <w:top w:val="none" w:sz="0" w:space="0" w:color="auto"/>
            <w:left w:val="none" w:sz="0" w:space="0" w:color="auto"/>
            <w:bottom w:val="none" w:sz="0" w:space="0" w:color="auto"/>
            <w:right w:val="none" w:sz="0" w:space="0" w:color="auto"/>
          </w:divBdr>
        </w:div>
      </w:divsChild>
    </w:div>
    <w:div w:id="562182165">
      <w:bodyDiv w:val="1"/>
      <w:marLeft w:val="0"/>
      <w:marRight w:val="0"/>
      <w:marTop w:val="0"/>
      <w:marBottom w:val="0"/>
      <w:divBdr>
        <w:top w:val="none" w:sz="0" w:space="0" w:color="auto"/>
        <w:left w:val="none" w:sz="0" w:space="0" w:color="auto"/>
        <w:bottom w:val="none" w:sz="0" w:space="0" w:color="auto"/>
        <w:right w:val="none" w:sz="0" w:space="0" w:color="auto"/>
      </w:divBdr>
      <w:divsChild>
        <w:div w:id="65032966">
          <w:marLeft w:val="677"/>
          <w:marRight w:val="0"/>
          <w:marTop w:val="0"/>
          <w:marBottom w:val="120"/>
          <w:divBdr>
            <w:top w:val="none" w:sz="0" w:space="0" w:color="auto"/>
            <w:left w:val="none" w:sz="0" w:space="0" w:color="auto"/>
            <w:bottom w:val="none" w:sz="0" w:space="0" w:color="auto"/>
            <w:right w:val="none" w:sz="0" w:space="0" w:color="auto"/>
          </w:divBdr>
        </w:div>
        <w:div w:id="990980939">
          <w:marLeft w:val="677"/>
          <w:marRight w:val="0"/>
          <w:marTop w:val="0"/>
          <w:marBottom w:val="120"/>
          <w:divBdr>
            <w:top w:val="none" w:sz="0" w:space="0" w:color="auto"/>
            <w:left w:val="none" w:sz="0" w:space="0" w:color="auto"/>
            <w:bottom w:val="none" w:sz="0" w:space="0" w:color="auto"/>
            <w:right w:val="none" w:sz="0" w:space="0" w:color="auto"/>
          </w:divBdr>
        </w:div>
        <w:div w:id="901137598">
          <w:marLeft w:val="677"/>
          <w:marRight w:val="0"/>
          <w:marTop w:val="0"/>
          <w:marBottom w:val="120"/>
          <w:divBdr>
            <w:top w:val="none" w:sz="0" w:space="0" w:color="auto"/>
            <w:left w:val="none" w:sz="0" w:space="0" w:color="auto"/>
            <w:bottom w:val="none" w:sz="0" w:space="0" w:color="auto"/>
            <w:right w:val="none" w:sz="0" w:space="0" w:color="auto"/>
          </w:divBdr>
        </w:div>
        <w:div w:id="1592078851">
          <w:marLeft w:val="677"/>
          <w:marRight w:val="0"/>
          <w:marTop w:val="0"/>
          <w:marBottom w:val="120"/>
          <w:divBdr>
            <w:top w:val="none" w:sz="0" w:space="0" w:color="auto"/>
            <w:left w:val="none" w:sz="0" w:space="0" w:color="auto"/>
            <w:bottom w:val="none" w:sz="0" w:space="0" w:color="auto"/>
            <w:right w:val="none" w:sz="0" w:space="0" w:color="auto"/>
          </w:divBdr>
        </w:div>
        <w:div w:id="1054163494">
          <w:marLeft w:val="677"/>
          <w:marRight w:val="0"/>
          <w:marTop w:val="0"/>
          <w:marBottom w:val="120"/>
          <w:divBdr>
            <w:top w:val="none" w:sz="0" w:space="0" w:color="auto"/>
            <w:left w:val="none" w:sz="0" w:space="0" w:color="auto"/>
            <w:bottom w:val="none" w:sz="0" w:space="0" w:color="auto"/>
            <w:right w:val="none" w:sz="0" w:space="0" w:color="auto"/>
          </w:divBdr>
        </w:div>
        <w:div w:id="1778983642">
          <w:marLeft w:val="677"/>
          <w:marRight w:val="0"/>
          <w:marTop w:val="0"/>
          <w:marBottom w:val="120"/>
          <w:divBdr>
            <w:top w:val="none" w:sz="0" w:space="0" w:color="auto"/>
            <w:left w:val="none" w:sz="0" w:space="0" w:color="auto"/>
            <w:bottom w:val="none" w:sz="0" w:space="0" w:color="auto"/>
            <w:right w:val="none" w:sz="0" w:space="0" w:color="auto"/>
          </w:divBdr>
        </w:div>
      </w:divsChild>
    </w:div>
    <w:div w:id="611323831">
      <w:bodyDiv w:val="1"/>
      <w:marLeft w:val="0"/>
      <w:marRight w:val="0"/>
      <w:marTop w:val="0"/>
      <w:marBottom w:val="0"/>
      <w:divBdr>
        <w:top w:val="none" w:sz="0" w:space="0" w:color="auto"/>
        <w:left w:val="none" w:sz="0" w:space="0" w:color="auto"/>
        <w:bottom w:val="none" w:sz="0" w:space="0" w:color="auto"/>
        <w:right w:val="none" w:sz="0" w:space="0" w:color="auto"/>
      </w:divBdr>
      <w:divsChild>
        <w:div w:id="1142504247">
          <w:marLeft w:val="446"/>
          <w:marRight w:val="0"/>
          <w:marTop w:val="0"/>
          <w:marBottom w:val="0"/>
          <w:divBdr>
            <w:top w:val="none" w:sz="0" w:space="0" w:color="auto"/>
            <w:left w:val="none" w:sz="0" w:space="0" w:color="auto"/>
            <w:bottom w:val="none" w:sz="0" w:space="0" w:color="auto"/>
            <w:right w:val="none" w:sz="0" w:space="0" w:color="auto"/>
          </w:divBdr>
        </w:div>
        <w:div w:id="839008358">
          <w:marLeft w:val="446"/>
          <w:marRight w:val="0"/>
          <w:marTop w:val="0"/>
          <w:marBottom w:val="0"/>
          <w:divBdr>
            <w:top w:val="none" w:sz="0" w:space="0" w:color="auto"/>
            <w:left w:val="none" w:sz="0" w:space="0" w:color="auto"/>
            <w:bottom w:val="none" w:sz="0" w:space="0" w:color="auto"/>
            <w:right w:val="none" w:sz="0" w:space="0" w:color="auto"/>
          </w:divBdr>
        </w:div>
        <w:div w:id="1993365767">
          <w:marLeft w:val="446"/>
          <w:marRight w:val="0"/>
          <w:marTop w:val="0"/>
          <w:marBottom w:val="0"/>
          <w:divBdr>
            <w:top w:val="none" w:sz="0" w:space="0" w:color="auto"/>
            <w:left w:val="none" w:sz="0" w:space="0" w:color="auto"/>
            <w:bottom w:val="none" w:sz="0" w:space="0" w:color="auto"/>
            <w:right w:val="none" w:sz="0" w:space="0" w:color="auto"/>
          </w:divBdr>
        </w:div>
        <w:div w:id="32966378">
          <w:marLeft w:val="446"/>
          <w:marRight w:val="0"/>
          <w:marTop w:val="0"/>
          <w:marBottom w:val="0"/>
          <w:divBdr>
            <w:top w:val="none" w:sz="0" w:space="0" w:color="auto"/>
            <w:left w:val="none" w:sz="0" w:space="0" w:color="auto"/>
            <w:bottom w:val="none" w:sz="0" w:space="0" w:color="auto"/>
            <w:right w:val="none" w:sz="0" w:space="0" w:color="auto"/>
          </w:divBdr>
        </w:div>
        <w:div w:id="2016686304">
          <w:marLeft w:val="446"/>
          <w:marRight w:val="0"/>
          <w:marTop w:val="0"/>
          <w:marBottom w:val="0"/>
          <w:divBdr>
            <w:top w:val="none" w:sz="0" w:space="0" w:color="auto"/>
            <w:left w:val="none" w:sz="0" w:space="0" w:color="auto"/>
            <w:bottom w:val="none" w:sz="0" w:space="0" w:color="auto"/>
            <w:right w:val="none" w:sz="0" w:space="0" w:color="auto"/>
          </w:divBdr>
        </w:div>
      </w:divsChild>
    </w:div>
    <w:div w:id="672144874">
      <w:bodyDiv w:val="1"/>
      <w:marLeft w:val="0"/>
      <w:marRight w:val="0"/>
      <w:marTop w:val="0"/>
      <w:marBottom w:val="0"/>
      <w:divBdr>
        <w:top w:val="none" w:sz="0" w:space="0" w:color="auto"/>
        <w:left w:val="none" w:sz="0" w:space="0" w:color="auto"/>
        <w:bottom w:val="none" w:sz="0" w:space="0" w:color="auto"/>
        <w:right w:val="none" w:sz="0" w:space="0" w:color="auto"/>
      </w:divBdr>
    </w:div>
    <w:div w:id="712387366">
      <w:bodyDiv w:val="1"/>
      <w:marLeft w:val="0"/>
      <w:marRight w:val="0"/>
      <w:marTop w:val="0"/>
      <w:marBottom w:val="0"/>
      <w:divBdr>
        <w:top w:val="none" w:sz="0" w:space="0" w:color="auto"/>
        <w:left w:val="none" w:sz="0" w:space="0" w:color="auto"/>
        <w:bottom w:val="none" w:sz="0" w:space="0" w:color="auto"/>
        <w:right w:val="none" w:sz="0" w:space="0" w:color="auto"/>
      </w:divBdr>
      <w:divsChild>
        <w:div w:id="1259631343">
          <w:marLeft w:val="446"/>
          <w:marRight w:val="0"/>
          <w:marTop w:val="0"/>
          <w:marBottom w:val="0"/>
          <w:divBdr>
            <w:top w:val="none" w:sz="0" w:space="0" w:color="auto"/>
            <w:left w:val="none" w:sz="0" w:space="0" w:color="auto"/>
            <w:bottom w:val="none" w:sz="0" w:space="0" w:color="auto"/>
            <w:right w:val="none" w:sz="0" w:space="0" w:color="auto"/>
          </w:divBdr>
        </w:div>
        <w:div w:id="1973440754">
          <w:marLeft w:val="446"/>
          <w:marRight w:val="0"/>
          <w:marTop w:val="0"/>
          <w:marBottom w:val="0"/>
          <w:divBdr>
            <w:top w:val="none" w:sz="0" w:space="0" w:color="auto"/>
            <w:left w:val="none" w:sz="0" w:space="0" w:color="auto"/>
            <w:bottom w:val="none" w:sz="0" w:space="0" w:color="auto"/>
            <w:right w:val="none" w:sz="0" w:space="0" w:color="auto"/>
          </w:divBdr>
        </w:div>
        <w:div w:id="567879589">
          <w:marLeft w:val="446"/>
          <w:marRight w:val="0"/>
          <w:marTop w:val="0"/>
          <w:marBottom w:val="0"/>
          <w:divBdr>
            <w:top w:val="none" w:sz="0" w:space="0" w:color="auto"/>
            <w:left w:val="none" w:sz="0" w:space="0" w:color="auto"/>
            <w:bottom w:val="none" w:sz="0" w:space="0" w:color="auto"/>
            <w:right w:val="none" w:sz="0" w:space="0" w:color="auto"/>
          </w:divBdr>
        </w:div>
        <w:div w:id="374549567">
          <w:marLeft w:val="446"/>
          <w:marRight w:val="0"/>
          <w:marTop w:val="0"/>
          <w:marBottom w:val="0"/>
          <w:divBdr>
            <w:top w:val="none" w:sz="0" w:space="0" w:color="auto"/>
            <w:left w:val="none" w:sz="0" w:space="0" w:color="auto"/>
            <w:bottom w:val="none" w:sz="0" w:space="0" w:color="auto"/>
            <w:right w:val="none" w:sz="0" w:space="0" w:color="auto"/>
          </w:divBdr>
        </w:div>
        <w:div w:id="1340349385">
          <w:marLeft w:val="446"/>
          <w:marRight w:val="0"/>
          <w:marTop w:val="0"/>
          <w:marBottom w:val="0"/>
          <w:divBdr>
            <w:top w:val="none" w:sz="0" w:space="0" w:color="auto"/>
            <w:left w:val="none" w:sz="0" w:space="0" w:color="auto"/>
            <w:bottom w:val="none" w:sz="0" w:space="0" w:color="auto"/>
            <w:right w:val="none" w:sz="0" w:space="0" w:color="auto"/>
          </w:divBdr>
        </w:div>
        <w:div w:id="683895837">
          <w:marLeft w:val="446"/>
          <w:marRight w:val="0"/>
          <w:marTop w:val="0"/>
          <w:marBottom w:val="0"/>
          <w:divBdr>
            <w:top w:val="none" w:sz="0" w:space="0" w:color="auto"/>
            <w:left w:val="none" w:sz="0" w:space="0" w:color="auto"/>
            <w:bottom w:val="none" w:sz="0" w:space="0" w:color="auto"/>
            <w:right w:val="none" w:sz="0" w:space="0" w:color="auto"/>
          </w:divBdr>
        </w:div>
        <w:div w:id="1582135582">
          <w:marLeft w:val="446"/>
          <w:marRight w:val="0"/>
          <w:marTop w:val="0"/>
          <w:marBottom w:val="0"/>
          <w:divBdr>
            <w:top w:val="none" w:sz="0" w:space="0" w:color="auto"/>
            <w:left w:val="none" w:sz="0" w:space="0" w:color="auto"/>
            <w:bottom w:val="none" w:sz="0" w:space="0" w:color="auto"/>
            <w:right w:val="none" w:sz="0" w:space="0" w:color="auto"/>
          </w:divBdr>
        </w:div>
        <w:div w:id="635909743">
          <w:marLeft w:val="446"/>
          <w:marRight w:val="0"/>
          <w:marTop w:val="0"/>
          <w:marBottom w:val="0"/>
          <w:divBdr>
            <w:top w:val="none" w:sz="0" w:space="0" w:color="auto"/>
            <w:left w:val="none" w:sz="0" w:space="0" w:color="auto"/>
            <w:bottom w:val="none" w:sz="0" w:space="0" w:color="auto"/>
            <w:right w:val="none" w:sz="0" w:space="0" w:color="auto"/>
          </w:divBdr>
        </w:div>
        <w:div w:id="2084374542">
          <w:marLeft w:val="446"/>
          <w:marRight w:val="0"/>
          <w:marTop w:val="0"/>
          <w:marBottom w:val="0"/>
          <w:divBdr>
            <w:top w:val="none" w:sz="0" w:space="0" w:color="auto"/>
            <w:left w:val="none" w:sz="0" w:space="0" w:color="auto"/>
            <w:bottom w:val="none" w:sz="0" w:space="0" w:color="auto"/>
            <w:right w:val="none" w:sz="0" w:space="0" w:color="auto"/>
          </w:divBdr>
        </w:div>
        <w:div w:id="237716661">
          <w:marLeft w:val="446"/>
          <w:marRight w:val="0"/>
          <w:marTop w:val="0"/>
          <w:marBottom w:val="0"/>
          <w:divBdr>
            <w:top w:val="none" w:sz="0" w:space="0" w:color="auto"/>
            <w:left w:val="none" w:sz="0" w:space="0" w:color="auto"/>
            <w:bottom w:val="none" w:sz="0" w:space="0" w:color="auto"/>
            <w:right w:val="none" w:sz="0" w:space="0" w:color="auto"/>
          </w:divBdr>
        </w:div>
        <w:div w:id="620301038">
          <w:marLeft w:val="446"/>
          <w:marRight w:val="0"/>
          <w:marTop w:val="0"/>
          <w:marBottom w:val="0"/>
          <w:divBdr>
            <w:top w:val="none" w:sz="0" w:space="0" w:color="auto"/>
            <w:left w:val="none" w:sz="0" w:space="0" w:color="auto"/>
            <w:bottom w:val="none" w:sz="0" w:space="0" w:color="auto"/>
            <w:right w:val="none" w:sz="0" w:space="0" w:color="auto"/>
          </w:divBdr>
        </w:div>
      </w:divsChild>
    </w:div>
    <w:div w:id="716051708">
      <w:bodyDiv w:val="1"/>
      <w:marLeft w:val="0"/>
      <w:marRight w:val="0"/>
      <w:marTop w:val="0"/>
      <w:marBottom w:val="0"/>
      <w:divBdr>
        <w:top w:val="none" w:sz="0" w:space="0" w:color="auto"/>
        <w:left w:val="none" w:sz="0" w:space="0" w:color="auto"/>
        <w:bottom w:val="none" w:sz="0" w:space="0" w:color="auto"/>
        <w:right w:val="none" w:sz="0" w:space="0" w:color="auto"/>
      </w:divBdr>
    </w:div>
    <w:div w:id="720784776">
      <w:bodyDiv w:val="1"/>
      <w:marLeft w:val="0"/>
      <w:marRight w:val="0"/>
      <w:marTop w:val="0"/>
      <w:marBottom w:val="0"/>
      <w:divBdr>
        <w:top w:val="none" w:sz="0" w:space="0" w:color="auto"/>
        <w:left w:val="none" w:sz="0" w:space="0" w:color="auto"/>
        <w:bottom w:val="none" w:sz="0" w:space="0" w:color="auto"/>
        <w:right w:val="none" w:sz="0" w:space="0" w:color="auto"/>
      </w:divBdr>
    </w:div>
    <w:div w:id="725642742">
      <w:bodyDiv w:val="1"/>
      <w:marLeft w:val="0"/>
      <w:marRight w:val="0"/>
      <w:marTop w:val="0"/>
      <w:marBottom w:val="0"/>
      <w:divBdr>
        <w:top w:val="none" w:sz="0" w:space="0" w:color="auto"/>
        <w:left w:val="none" w:sz="0" w:space="0" w:color="auto"/>
        <w:bottom w:val="none" w:sz="0" w:space="0" w:color="auto"/>
        <w:right w:val="none" w:sz="0" w:space="0" w:color="auto"/>
      </w:divBdr>
    </w:div>
    <w:div w:id="798958246">
      <w:bodyDiv w:val="1"/>
      <w:marLeft w:val="0"/>
      <w:marRight w:val="0"/>
      <w:marTop w:val="0"/>
      <w:marBottom w:val="0"/>
      <w:divBdr>
        <w:top w:val="none" w:sz="0" w:space="0" w:color="auto"/>
        <w:left w:val="none" w:sz="0" w:space="0" w:color="auto"/>
        <w:bottom w:val="none" w:sz="0" w:space="0" w:color="auto"/>
        <w:right w:val="none" w:sz="0" w:space="0" w:color="auto"/>
      </w:divBdr>
    </w:div>
    <w:div w:id="803423797">
      <w:bodyDiv w:val="1"/>
      <w:marLeft w:val="0"/>
      <w:marRight w:val="0"/>
      <w:marTop w:val="0"/>
      <w:marBottom w:val="0"/>
      <w:divBdr>
        <w:top w:val="none" w:sz="0" w:space="0" w:color="auto"/>
        <w:left w:val="none" w:sz="0" w:space="0" w:color="auto"/>
        <w:bottom w:val="none" w:sz="0" w:space="0" w:color="auto"/>
        <w:right w:val="none" w:sz="0" w:space="0" w:color="auto"/>
      </w:divBdr>
    </w:div>
    <w:div w:id="956452536">
      <w:bodyDiv w:val="1"/>
      <w:marLeft w:val="0"/>
      <w:marRight w:val="0"/>
      <w:marTop w:val="0"/>
      <w:marBottom w:val="0"/>
      <w:divBdr>
        <w:top w:val="none" w:sz="0" w:space="0" w:color="auto"/>
        <w:left w:val="none" w:sz="0" w:space="0" w:color="auto"/>
        <w:bottom w:val="none" w:sz="0" w:space="0" w:color="auto"/>
        <w:right w:val="none" w:sz="0" w:space="0" w:color="auto"/>
      </w:divBdr>
    </w:div>
    <w:div w:id="1000617425">
      <w:bodyDiv w:val="1"/>
      <w:marLeft w:val="0"/>
      <w:marRight w:val="0"/>
      <w:marTop w:val="0"/>
      <w:marBottom w:val="0"/>
      <w:divBdr>
        <w:top w:val="none" w:sz="0" w:space="0" w:color="auto"/>
        <w:left w:val="none" w:sz="0" w:space="0" w:color="auto"/>
        <w:bottom w:val="none" w:sz="0" w:space="0" w:color="auto"/>
        <w:right w:val="none" w:sz="0" w:space="0" w:color="auto"/>
      </w:divBdr>
    </w:div>
    <w:div w:id="1029722978">
      <w:bodyDiv w:val="1"/>
      <w:marLeft w:val="0"/>
      <w:marRight w:val="0"/>
      <w:marTop w:val="0"/>
      <w:marBottom w:val="0"/>
      <w:divBdr>
        <w:top w:val="none" w:sz="0" w:space="0" w:color="auto"/>
        <w:left w:val="none" w:sz="0" w:space="0" w:color="auto"/>
        <w:bottom w:val="none" w:sz="0" w:space="0" w:color="auto"/>
        <w:right w:val="none" w:sz="0" w:space="0" w:color="auto"/>
      </w:divBdr>
      <w:divsChild>
        <w:div w:id="471101984">
          <w:marLeft w:val="446"/>
          <w:marRight w:val="0"/>
          <w:marTop w:val="0"/>
          <w:marBottom w:val="0"/>
          <w:divBdr>
            <w:top w:val="none" w:sz="0" w:space="0" w:color="auto"/>
            <w:left w:val="none" w:sz="0" w:space="0" w:color="auto"/>
            <w:bottom w:val="none" w:sz="0" w:space="0" w:color="auto"/>
            <w:right w:val="none" w:sz="0" w:space="0" w:color="auto"/>
          </w:divBdr>
        </w:div>
        <w:div w:id="1833523107">
          <w:marLeft w:val="446"/>
          <w:marRight w:val="0"/>
          <w:marTop w:val="0"/>
          <w:marBottom w:val="0"/>
          <w:divBdr>
            <w:top w:val="none" w:sz="0" w:space="0" w:color="auto"/>
            <w:left w:val="none" w:sz="0" w:space="0" w:color="auto"/>
            <w:bottom w:val="none" w:sz="0" w:space="0" w:color="auto"/>
            <w:right w:val="none" w:sz="0" w:space="0" w:color="auto"/>
          </w:divBdr>
        </w:div>
        <w:div w:id="741024614">
          <w:marLeft w:val="446"/>
          <w:marRight w:val="0"/>
          <w:marTop w:val="0"/>
          <w:marBottom w:val="0"/>
          <w:divBdr>
            <w:top w:val="none" w:sz="0" w:space="0" w:color="auto"/>
            <w:left w:val="none" w:sz="0" w:space="0" w:color="auto"/>
            <w:bottom w:val="none" w:sz="0" w:space="0" w:color="auto"/>
            <w:right w:val="none" w:sz="0" w:space="0" w:color="auto"/>
          </w:divBdr>
        </w:div>
        <w:div w:id="597756920">
          <w:marLeft w:val="446"/>
          <w:marRight w:val="0"/>
          <w:marTop w:val="0"/>
          <w:marBottom w:val="0"/>
          <w:divBdr>
            <w:top w:val="none" w:sz="0" w:space="0" w:color="auto"/>
            <w:left w:val="none" w:sz="0" w:space="0" w:color="auto"/>
            <w:bottom w:val="none" w:sz="0" w:space="0" w:color="auto"/>
            <w:right w:val="none" w:sz="0" w:space="0" w:color="auto"/>
          </w:divBdr>
        </w:div>
        <w:div w:id="234047198">
          <w:marLeft w:val="446"/>
          <w:marRight w:val="0"/>
          <w:marTop w:val="0"/>
          <w:marBottom w:val="0"/>
          <w:divBdr>
            <w:top w:val="none" w:sz="0" w:space="0" w:color="auto"/>
            <w:left w:val="none" w:sz="0" w:space="0" w:color="auto"/>
            <w:bottom w:val="none" w:sz="0" w:space="0" w:color="auto"/>
            <w:right w:val="none" w:sz="0" w:space="0" w:color="auto"/>
          </w:divBdr>
        </w:div>
        <w:div w:id="1293169476">
          <w:marLeft w:val="446"/>
          <w:marRight w:val="0"/>
          <w:marTop w:val="0"/>
          <w:marBottom w:val="0"/>
          <w:divBdr>
            <w:top w:val="none" w:sz="0" w:space="0" w:color="auto"/>
            <w:left w:val="none" w:sz="0" w:space="0" w:color="auto"/>
            <w:bottom w:val="none" w:sz="0" w:space="0" w:color="auto"/>
            <w:right w:val="none" w:sz="0" w:space="0" w:color="auto"/>
          </w:divBdr>
        </w:div>
      </w:divsChild>
    </w:div>
    <w:div w:id="1154032210">
      <w:bodyDiv w:val="1"/>
      <w:marLeft w:val="0"/>
      <w:marRight w:val="0"/>
      <w:marTop w:val="0"/>
      <w:marBottom w:val="0"/>
      <w:divBdr>
        <w:top w:val="none" w:sz="0" w:space="0" w:color="auto"/>
        <w:left w:val="none" w:sz="0" w:space="0" w:color="auto"/>
        <w:bottom w:val="none" w:sz="0" w:space="0" w:color="auto"/>
        <w:right w:val="none" w:sz="0" w:space="0" w:color="auto"/>
      </w:divBdr>
    </w:div>
    <w:div w:id="1210459464">
      <w:bodyDiv w:val="1"/>
      <w:marLeft w:val="0"/>
      <w:marRight w:val="0"/>
      <w:marTop w:val="0"/>
      <w:marBottom w:val="0"/>
      <w:divBdr>
        <w:top w:val="none" w:sz="0" w:space="0" w:color="auto"/>
        <w:left w:val="none" w:sz="0" w:space="0" w:color="auto"/>
        <w:bottom w:val="none" w:sz="0" w:space="0" w:color="auto"/>
        <w:right w:val="none" w:sz="0" w:space="0" w:color="auto"/>
      </w:divBdr>
    </w:div>
    <w:div w:id="1235776484">
      <w:bodyDiv w:val="1"/>
      <w:marLeft w:val="0"/>
      <w:marRight w:val="0"/>
      <w:marTop w:val="0"/>
      <w:marBottom w:val="0"/>
      <w:divBdr>
        <w:top w:val="none" w:sz="0" w:space="0" w:color="auto"/>
        <w:left w:val="none" w:sz="0" w:space="0" w:color="auto"/>
        <w:bottom w:val="none" w:sz="0" w:space="0" w:color="auto"/>
        <w:right w:val="none" w:sz="0" w:space="0" w:color="auto"/>
      </w:divBdr>
    </w:div>
    <w:div w:id="1262496514">
      <w:bodyDiv w:val="1"/>
      <w:marLeft w:val="0"/>
      <w:marRight w:val="0"/>
      <w:marTop w:val="0"/>
      <w:marBottom w:val="0"/>
      <w:divBdr>
        <w:top w:val="none" w:sz="0" w:space="0" w:color="auto"/>
        <w:left w:val="none" w:sz="0" w:space="0" w:color="auto"/>
        <w:bottom w:val="none" w:sz="0" w:space="0" w:color="auto"/>
        <w:right w:val="none" w:sz="0" w:space="0" w:color="auto"/>
      </w:divBdr>
      <w:divsChild>
        <w:div w:id="1390880302">
          <w:marLeft w:val="446"/>
          <w:marRight w:val="0"/>
          <w:marTop w:val="0"/>
          <w:marBottom w:val="0"/>
          <w:divBdr>
            <w:top w:val="none" w:sz="0" w:space="0" w:color="auto"/>
            <w:left w:val="none" w:sz="0" w:space="0" w:color="auto"/>
            <w:bottom w:val="none" w:sz="0" w:space="0" w:color="auto"/>
            <w:right w:val="none" w:sz="0" w:space="0" w:color="auto"/>
          </w:divBdr>
        </w:div>
        <w:div w:id="601494059">
          <w:marLeft w:val="446"/>
          <w:marRight w:val="0"/>
          <w:marTop w:val="0"/>
          <w:marBottom w:val="0"/>
          <w:divBdr>
            <w:top w:val="none" w:sz="0" w:space="0" w:color="auto"/>
            <w:left w:val="none" w:sz="0" w:space="0" w:color="auto"/>
            <w:bottom w:val="none" w:sz="0" w:space="0" w:color="auto"/>
            <w:right w:val="none" w:sz="0" w:space="0" w:color="auto"/>
          </w:divBdr>
        </w:div>
        <w:div w:id="1939211652">
          <w:marLeft w:val="446"/>
          <w:marRight w:val="0"/>
          <w:marTop w:val="0"/>
          <w:marBottom w:val="0"/>
          <w:divBdr>
            <w:top w:val="none" w:sz="0" w:space="0" w:color="auto"/>
            <w:left w:val="none" w:sz="0" w:space="0" w:color="auto"/>
            <w:bottom w:val="none" w:sz="0" w:space="0" w:color="auto"/>
            <w:right w:val="none" w:sz="0" w:space="0" w:color="auto"/>
          </w:divBdr>
        </w:div>
        <w:div w:id="1548369204">
          <w:marLeft w:val="446"/>
          <w:marRight w:val="0"/>
          <w:marTop w:val="0"/>
          <w:marBottom w:val="0"/>
          <w:divBdr>
            <w:top w:val="none" w:sz="0" w:space="0" w:color="auto"/>
            <w:left w:val="none" w:sz="0" w:space="0" w:color="auto"/>
            <w:bottom w:val="none" w:sz="0" w:space="0" w:color="auto"/>
            <w:right w:val="none" w:sz="0" w:space="0" w:color="auto"/>
          </w:divBdr>
        </w:div>
        <w:div w:id="1442071519">
          <w:marLeft w:val="446"/>
          <w:marRight w:val="0"/>
          <w:marTop w:val="0"/>
          <w:marBottom w:val="0"/>
          <w:divBdr>
            <w:top w:val="none" w:sz="0" w:space="0" w:color="auto"/>
            <w:left w:val="none" w:sz="0" w:space="0" w:color="auto"/>
            <w:bottom w:val="none" w:sz="0" w:space="0" w:color="auto"/>
            <w:right w:val="none" w:sz="0" w:space="0" w:color="auto"/>
          </w:divBdr>
        </w:div>
      </w:divsChild>
    </w:div>
    <w:div w:id="1300845423">
      <w:bodyDiv w:val="1"/>
      <w:marLeft w:val="0"/>
      <w:marRight w:val="0"/>
      <w:marTop w:val="0"/>
      <w:marBottom w:val="0"/>
      <w:divBdr>
        <w:top w:val="none" w:sz="0" w:space="0" w:color="auto"/>
        <w:left w:val="none" w:sz="0" w:space="0" w:color="auto"/>
        <w:bottom w:val="none" w:sz="0" w:space="0" w:color="auto"/>
        <w:right w:val="none" w:sz="0" w:space="0" w:color="auto"/>
      </w:divBdr>
    </w:div>
    <w:div w:id="1311863781">
      <w:bodyDiv w:val="1"/>
      <w:marLeft w:val="0"/>
      <w:marRight w:val="0"/>
      <w:marTop w:val="0"/>
      <w:marBottom w:val="0"/>
      <w:divBdr>
        <w:top w:val="none" w:sz="0" w:space="0" w:color="auto"/>
        <w:left w:val="none" w:sz="0" w:space="0" w:color="auto"/>
        <w:bottom w:val="none" w:sz="0" w:space="0" w:color="auto"/>
        <w:right w:val="none" w:sz="0" w:space="0" w:color="auto"/>
      </w:divBdr>
    </w:div>
    <w:div w:id="1394159752">
      <w:bodyDiv w:val="1"/>
      <w:marLeft w:val="0"/>
      <w:marRight w:val="0"/>
      <w:marTop w:val="0"/>
      <w:marBottom w:val="0"/>
      <w:divBdr>
        <w:top w:val="none" w:sz="0" w:space="0" w:color="auto"/>
        <w:left w:val="none" w:sz="0" w:space="0" w:color="auto"/>
        <w:bottom w:val="none" w:sz="0" w:space="0" w:color="auto"/>
        <w:right w:val="none" w:sz="0" w:space="0" w:color="auto"/>
      </w:divBdr>
    </w:div>
    <w:div w:id="1412508473">
      <w:bodyDiv w:val="1"/>
      <w:marLeft w:val="0"/>
      <w:marRight w:val="0"/>
      <w:marTop w:val="0"/>
      <w:marBottom w:val="0"/>
      <w:divBdr>
        <w:top w:val="none" w:sz="0" w:space="0" w:color="auto"/>
        <w:left w:val="none" w:sz="0" w:space="0" w:color="auto"/>
        <w:bottom w:val="none" w:sz="0" w:space="0" w:color="auto"/>
        <w:right w:val="none" w:sz="0" w:space="0" w:color="auto"/>
      </w:divBdr>
    </w:div>
    <w:div w:id="1440830897">
      <w:bodyDiv w:val="1"/>
      <w:marLeft w:val="0"/>
      <w:marRight w:val="0"/>
      <w:marTop w:val="0"/>
      <w:marBottom w:val="0"/>
      <w:divBdr>
        <w:top w:val="none" w:sz="0" w:space="0" w:color="auto"/>
        <w:left w:val="none" w:sz="0" w:space="0" w:color="auto"/>
        <w:bottom w:val="none" w:sz="0" w:space="0" w:color="auto"/>
        <w:right w:val="none" w:sz="0" w:space="0" w:color="auto"/>
      </w:divBdr>
    </w:div>
    <w:div w:id="1457144358">
      <w:bodyDiv w:val="1"/>
      <w:marLeft w:val="0"/>
      <w:marRight w:val="0"/>
      <w:marTop w:val="0"/>
      <w:marBottom w:val="0"/>
      <w:divBdr>
        <w:top w:val="none" w:sz="0" w:space="0" w:color="auto"/>
        <w:left w:val="none" w:sz="0" w:space="0" w:color="auto"/>
        <w:bottom w:val="none" w:sz="0" w:space="0" w:color="auto"/>
        <w:right w:val="none" w:sz="0" w:space="0" w:color="auto"/>
      </w:divBdr>
    </w:div>
    <w:div w:id="1470438146">
      <w:bodyDiv w:val="1"/>
      <w:marLeft w:val="0"/>
      <w:marRight w:val="0"/>
      <w:marTop w:val="0"/>
      <w:marBottom w:val="0"/>
      <w:divBdr>
        <w:top w:val="none" w:sz="0" w:space="0" w:color="auto"/>
        <w:left w:val="none" w:sz="0" w:space="0" w:color="auto"/>
        <w:bottom w:val="none" w:sz="0" w:space="0" w:color="auto"/>
        <w:right w:val="none" w:sz="0" w:space="0" w:color="auto"/>
      </w:divBdr>
    </w:div>
    <w:div w:id="1529174788">
      <w:bodyDiv w:val="1"/>
      <w:marLeft w:val="0"/>
      <w:marRight w:val="0"/>
      <w:marTop w:val="0"/>
      <w:marBottom w:val="0"/>
      <w:divBdr>
        <w:top w:val="none" w:sz="0" w:space="0" w:color="auto"/>
        <w:left w:val="none" w:sz="0" w:space="0" w:color="auto"/>
        <w:bottom w:val="none" w:sz="0" w:space="0" w:color="auto"/>
        <w:right w:val="none" w:sz="0" w:space="0" w:color="auto"/>
      </w:divBdr>
    </w:div>
    <w:div w:id="1585802335">
      <w:bodyDiv w:val="1"/>
      <w:marLeft w:val="0"/>
      <w:marRight w:val="0"/>
      <w:marTop w:val="0"/>
      <w:marBottom w:val="0"/>
      <w:divBdr>
        <w:top w:val="none" w:sz="0" w:space="0" w:color="auto"/>
        <w:left w:val="none" w:sz="0" w:space="0" w:color="auto"/>
        <w:bottom w:val="none" w:sz="0" w:space="0" w:color="auto"/>
        <w:right w:val="none" w:sz="0" w:space="0" w:color="auto"/>
      </w:divBdr>
    </w:div>
    <w:div w:id="1677803101">
      <w:bodyDiv w:val="1"/>
      <w:marLeft w:val="0"/>
      <w:marRight w:val="0"/>
      <w:marTop w:val="0"/>
      <w:marBottom w:val="0"/>
      <w:divBdr>
        <w:top w:val="none" w:sz="0" w:space="0" w:color="auto"/>
        <w:left w:val="none" w:sz="0" w:space="0" w:color="auto"/>
        <w:bottom w:val="none" w:sz="0" w:space="0" w:color="auto"/>
        <w:right w:val="none" w:sz="0" w:space="0" w:color="auto"/>
      </w:divBdr>
    </w:div>
    <w:div w:id="1687054585">
      <w:bodyDiv w:val="1"/>
      <w:marLeft w:val="0"/>
      <w:marRight w:val="0"/>
      <w:marTop w:val="0"/>
      <w:marBottom w:val="0"/>
      <w:divBdr>
        <w:top w:val="none" w:sz="0" w:space="0" w:color="auto"/>
        <w:left w:val="none" w:sz="0" w:space="0" w:color="auto"/>
        <w:bottom w:val="none" w:sz="0" w:space="0" w:color="auto"/>
        <w:right w:val="none" w:sz="0" w:space="0" w:color="auto"/>
      </w:divBdr>
    </w:div>
    <w:div w:id="1736469622">
      <w:bodyDiv w:val="1"/>
      <w:marLeft w:val="0"/>
      <w:marRight w:val="0"/>
      <w:marTop w:val="0"/>
      <w:marBottom w:val="0"/>
      <w:divBdr>
        <w:top w:val="none" w:sz="0" w:space="0" w:color="auto"/>
        <w:left w:val="none" w:sz="0" w:space="0" w:color="auto"/>
        <w:bottom w:val="none" w:sz="0" w:space="0" w:color="auto"/>
        <w:right w:val="none" w:sz="0" w:space="0" w:color="auto"/>
      </w:divBdr>
    </w:div>
    <w:div w:id="1747340126">
      <w:bodyDiv w:val="1"/>
      <w:marLeft w:val="0"/>
      <w:marRight w:val="0"/>
      <w:marTop w:val="0"/>
      <w:marBottom w:val="0"/>
      <w:divBdr>
        <w:top w:val="none" w:sz="0" w:space="0" w:color="auto"/>
        <w:left w:val="none" w:sz="0" w:space="0" w:color="auto"/>
        <w:bottom w:val="none" w:sz="0" w:space="0" w:color="auto"/>
        <w:right w:val="none" w:sz="0" w:space="0" w:color="auto"/>
      </w:divBdr>
      <w:divsChild>
        <w:div w:id="420107355">
          <w:marLeft w:val="446"/>
          <w:marRight w:val="0"/>
          <w:marTop w:val="0"/>
          <w:marBottom w:val="0"/>
          <w:divBdr>
            <w:top w:val="none" w:sz="0" w:space="0" w:color="auto"/>
            <w:left w:val="none" w:sz="0" w:space="0" w:color="auto"/>
            <w:bottom w:val="none" w:sz="0" w:space="0" w:color="auto"/>
            <w:right w:val="none" w:sz="0" w:space="0" w:color="auto"/>
          </w:divBdr>
        </w:div>
        <w:div w:id="1324579539">
          <w:marLeft w:val="446"/>
          <w:marRight w:val="0"/>
          <w:marTop w:val="0"/>
          <w:marBottom w:val="0"/>
          <w:divBdr>
            <w:top w:val="none" w:sz="0" w:space="0" w:color="auto"/>
            <w:left w:val="none" w:sz="0" w:space="0" w:color="auto"/>
            <w:bottom w:val="none" w:sz="0" w:space="0" w:color="auto"/>
            <w:right w:val="none" w:sz="0" w:space="0" w:color="auto"/>
          </w:divBdr>
        </w:div>
        <w:div w:id="1788312801">
          <w:marLeft w:val="446"/>
          <w:marRight w:val="0"/>
          <w:marTop w:val="0"/>
          <w:marBottom w:val="0"/>
          <w:divBdr>
            <w:top w:val="none" w:sz="0" w:space="0" w:color="auto"/>
            <w:left w:val="none" w:sz="0" w:space="0" w:color="auto"/>
            <w:bottom w:val="none" w:sz="0" w:space="0" w:color="auto"/>
            <w:right w:val="none" w:sz="0" w:space="0" w:color="auto"/>
          </w:divBdr>
        </w:div>
        <w:div w:id="2048144377">
          <w:marLeft w:val="446"/>
          <w:marRight w:val="0"/>
          <w:marTop w:val="0"/>
          <w:marBottom w:val="0"/>
          <w:divBdr>
            <w:top w:val="none" w:sz="0" w:space="0" w:color="auto"/>
            <w:left w:val="none" w:sz="0" w:space="0" w:color="auto"/>
            <w:bottom w:val="none" w:sz="0" w:space="0" w:color="auto"/>
            <w:right w:val="none" w:sz="0" w:space="0" w:color="auto"/>
          </w:divBdr>
        </w:div>
      </w:divsChild>
    </w:div>
    <w:div w:id="1796170977">
      <w:bodyDiv w:val="1"/>
      <w:marLeft w:val="0"/>
      <w:marRight w:val="0"/>
      <w:marTop w:val="0"/>
      <w:marBottom w:val="0"/>
      <w:divBdr>
        <w:top w:val="none" w:sz="0" w:space="0" w:color="auto"/>
        <w:left w:val="none" w:sz="0" w:space="0" w:color="auto"/>
        <w:bottom w:val="none" w:sz="0" w:space="0" w:color="auto"/>
        <w:right w:val="none" w:sz="0" w:space="0" w:color="auto"/>
      </w:divBdr>
    </w:div>
    <w:div w:id="1863779137">
      <w:bodyDiv w:val="1"/>
      <w:marLeft w:val="0"/>
      <w:marRight w:val="0"/>
      <w:marTop w:val="0"/>
      <w:marBottom w:val="0"/>
      <w:divBdr>
        <w:top w:val="none" w:sz="0" w:space="0" w:color="auto"/>
        <w:left w:val="none" w:sz="0" w:space="0" w:color="auto"/>
        <w:bottom w:val="none" w:sz="0" w:space="0" w:color="auto"/>
        <w:right w:val="none" w:sz="0" w:space="0" w:color="auto"/>
      </w:divBdr>
    </w:div>
    <w:div w:id="1885823501">
      <w:bodyDiv w:val="1"/>
      <w:marLeft w:val="0"/>
      <w:marRight w:val="0"/>
      <w:marTop w:val="0"/>
      <w:marBottom w:val="0"/>
      <w:divBdr>
        <w:top w:val="none" w:sz="0" w:space="0" w:color="auto"/>
        <w:left w:val="none" w:sz="0" w:space="0" w:color="auto"/>
        <w:bottom w:val="none" w:sz="0" w:space="0" w:color="auto"/>
        <w:right w:val="none" w:sz="0" w:space="0" w:color="auto"/>
      </w:divBdr>
      <w:divsChild>
        <w:div w:id="933825827">
          <w:marLeft w:val="677"/>
          <w:marRight w:val="0"/>
          <w:marTop w:val="0"/>
          <w:marBottom w:val="120"/>
          <w:divBdr>
            <w:top w:val="none" w:sz="0" w:space="0" w:color="auto"/>
            <w:left w:val="none" w:sz="0" w:space="0" w:color="auto"/>
            <w:bottom w:val="none" w:sz="0" w:space="0" w:color="auto"/>
            <w:right w:val="none" w:sz="0" w:space="0" w:color="auto"/>
          </w:divBdr>
        </w:div>
        <w:div w:id="25376945">
          <w:marLeft w:val="677"/>
          <w:marRight w:val="0"/>
          <w:marTop w:val="0"/>
          <w:marBottom w:val="120"/>
          <w:divBdr>
            <w:top w:val="none" w:sz="0" w:space="0" w:color="auto"/>
            <w:left w:val="none" w:sz="0" w:space="0" w:color="auto"/>
            <w:bottom w:val="none" w:sz="0" w:space="0" w:color="auto"/>
            <w:right w:val="none" w:sz="0" w:space="0" w:color="auto"/>
          </w:divBdr>
        </w:div>
        <w:div w:id="578756620">
          <w:marLeft w:val="677"/>
          <w:marRight w:val="0"/>
          <w:marTop w:val="0"/>
          <w:marBottom w:val="120"/>
          <w:divBdr>
            <w:top w:val="none" w:sz="0" w:space="0" w:color="auto"/>
            <w:left w:val="none" w:sz="0" w:space="0" w:color="auto"/>
            <w:bottom w:val="none" w:sz="0" w:space="0" w:color="auto"/>
            <w:right w:val="none" w:sz="0" w:space="0" w:color="auto"/>
          </w:divBdr>
        </w:div>
        <w:div w:id="531453533">
          <w:marLeft w:val="677"/>
          <w:marRight w:val="0"/>
          <w:marTop w:val="0"/>
          <w:marBottom w:val="120"/>
          <w:divBdr>
            <w:top w:val="none" w:sz="0" w:space="0" w:color="auto"/>
            <w:left w:val="none" w:sz="0" w:space="0" w:color="auto"/>
            <w:bottom w:val="none" w:sz="0" w:space="0" w:color="auto"/>
            <w:right w:val="none" w:sz="0" w:space="0" w:color="auto"/>
          </w:divBdr>
        </w:div>
        <w:div w:id="1844204187">
          <w:marLeft w:val="677"/>
          <w:marRight w:val="0"/>
          <w:marTop w:val="0"/>
          <w:marBottom w:val="120"/>
          <w:divBdr>
            <w:top w:val="none" w:sz="0" w:space="0" w:color="auto"/>
            <w:left w:val="none" w:sz="0" w:space="0" w:color="auto"/>
            <w:bottom w:val="none" w:sz="0" w:space="0" w:color="auto"/>
            <w:right w:val="none" w:sz="0" w:space="0" w:color="auto"/>
          </w:divBdr>
        </w:div>
        <w:div w:id="232742521">
          <w:marLeft w:val="677"/>
          <w:marRight w:val="0"/>
          <w:marTop w:val="0"/>
          <w:marBottom w:val="120"/>
          <w:divBdr>
            <w:top w:val="none" w:sz="0" w:space="0" w:color="auto"/>
            <w:left w:val="none" w:sz="0" w:space="0" w:color="auto"/>
            <w:bottom w:val="none" w:sz="0" w:space="0" w:color="auto"/>
            <w:right w:val="none" w:sz="0" w:space="0" w:color="auto"/>
          </w:divBdr>
        </w:div>
      </w:divsChild>
    </w:div>
    <w:div w:id="1908103528">
      <w:bodyDiv w:val="1"/>
      <w:marLeft w:val="0"/>
      <w:marRight w:val="0"/>
      <w:marTop w:val="0"/>
      <w:marBottom w:val="0"/>
      <w:divBdr>
        <w:top w:val="none" w:sz="0" w:space="0" w:color="auto"/>
        <w:left w:val="none" w:sz="0" w:space="0" w:color="auto"/>
        <w:bottom w:val="none" w:sz="0" w:space="0" w:color="auto"/>
        <w:right w:val="none" w:sz="0" w:space="0" w:color="auto"/>
      </w:divBdr>
    </w:div>
    <w:div w:id="1930111662">
      <w:bodyDiv w:val="1"/>
      <w:marLeft w:val="0"/>
      <w:marRight w:val="0"/>
      <w:marTop w:val="0"/>
      <w:marBottom w:val="0"/>
      <w:divBdr>
        <w:top w:val="none" w:sz="0" w:space="0" w:color="auto"/>
        <w:left w:val="none" w:sz="0" w:space="0" w:color="auto"/>
        <w:bottom w:val="none" w:sz="0" w:space="0" w:color="auto"/>
        <w:right w:val="none" w:sz="0" w:space="0" w:color="auto"/>
      </w:divBdr>
    </w:div>
    <w:div w:id="1968587387">
      <w:bodyDiv w:val="1"/>
      <w:marLeft w:val="0"/>
      <w:marRight w:val="0"/>
      <w:marTop w:val="0"/>
      <w:marBottom w:val="0"/>
      <w:divBdr>
        <w:top w:val="none" w:sz="0" w:space="0" w:color="auto"/>
        <w:left w:val="none" w:sz="0" w:space="0" w:color="auto"/>
        <w:bottom w:val="none" w:sz="0" w:space="0" w:color="auto"/>
        <w:right w:val="none" w:sz="0" w:space="0" w:color="auto"/>
      </w:divBdr>
    </w:div>
    <w:div w:id="2016760647">
      <w:bodyDiv w:val="1"/>
      <w:marLeft w:val="0"/>
      <w:marRight w:val="0"/>
      <w:marTop w:val="0"/>
      <w:marBottom w:val="0"/>
      <w:divBdr>
        <w:top w:val="none" w:sz="0" w:space="0" w:color="auto"/>
        <w:left w:val="none" w:sz="0" w:space="0" w:color="auto"/>
        <w:bottom w:val="none" w:sz="0" w:space="0" w:color="auto"/>
        <w:right w:val="none" w:sz="0" w:space="0" w:color="auto"/>
      </w:divBdr>
    </w:div>
    <w:div w:id="2017728333">
      <w:bodyDiv w:val="1"/>
      <w:marLeft w:val="0"/>
      <w:marRight w:val="0"/>
      <w:marTop w:val="0"/>
      <w:marBottom w:val="0"/>
      <w:divBdr>
        <w:top w:val="none" w:sz="0" w:space="0" w:color="auto"/>
        <w:left w:val="none" w:sz="0" w:space="0" w:color="auto"/>
        <w:bottom w:val="none" w:sz="0" w:space="0" w:color="auto"/>
        <w:right w:val="none" w:sz="0" w:space="0" w:color="auto"/>
      </w:divBdr>
    </w:div>
    <w:div w:id="2087989836">
      <w:bodyDiv w:val="1"/>
      <w:marLeft w:val="0"/>
      <w:marRight w:val="0"/>
      <w:marTop w:val="0"/>
      <w:marBottom w:val="0"/>
      <w:divBdr>
        <w:top w:val="none" w:sz="0" w:space="0" w:color="auto"/>
        <w:left w:val="none" w:sz="0" w:space="0" w:color="auto"/>
        <w:bottom w:val="none" w:sz="0" w:space="0" w:color="auto"/>
        <w:right w:val="none" w:sz="0" w:space="0" w:color="auto"/>
      </w:divBdr>
      <w:divsChild>
        <w:div w:id="1317882970">
          <w:marLeft w:val="994"/>
          <w:marRight w:val="0"/>
          <w:marTop w:val="0"/>
          <w:marBottom w:val="120"/>
          <w:divBdr>
            <w:top w:val="none" w:sz="0" w:space="0" w:color="auto"/>
            <w:left w:val="none" w:sz="0" w:space="0" w:color="auto"/>
            <w:bottom w:val="none" w:sz="0" w:space="0" w:color="auto"/>
            <w:right w:val="none" w:sz="0" w:space="0" w:color="auto"/>
          </w:divBdr>
        </w:div>
        <w:div w:id="429858991">
          <w:marLeft w:val="994"/>
          <w:marRight w:val="0"/>
          <w:marTop w:val="0"/>
          <w:marBottom w:val="120"/>
          <w:divBdr>
            <w:top w:val="none" w:sz="0" w:space="0" w:color="auto"/>
            <w:left w:val="none" w:sz="0" w:space="0" w:color="auto"/>
            <w:bottom w:val="none" w:sz="0" w:space="0" w:color="auto"/>
            <w:right w:val="none" w:sz="0" w:space="0" w:color="auto"/>
          </w:divBdr>
        </w:div>
        <w:div w:id="776406911">
          <w:marLeft w:val="994"/>
          <w:marRight w:val="0"/>
          <w:marTop w:val="0"/>
          <w:marBottom w:val="120"/>
          <w:divBdr>
            <w:top w:val="none" w:sz="0" w:space="0" w:color="auto"/>
            <w:left w:val="none" w:sz="0" w:space="0" w:color="auto"/>
            <w:bottom w:val="none" w:sz="0" w:space="0" w:color="auto"/>
            <w:right w:val="none" w:sz="0" w:space="0" w:color="auto"/>
          </w:divBdr>
        </w:div>
        <w:div w:id="1778213264">
          <w:marLeft w:val="99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ransportfocus.org.uk/research-publications/publications/national-rail-passenger-survey-nrps-spring-2018-main-report/" TargetMode="External"/><Relationship Id="rId2" Type="http://schemas.openxmlformats.org/officeDocument/2006/relationships/hyperlink" Target="https://www.sparkrail.org/Lists/Records/DispForm.aspx?ID=22428" TargetMode="External"/><Relationship Id="rId1" Type="http://schemas.openxmlformats.org/officeDocument/2006/relationships/hyperlink" Target="https://www.sparkrail.org/Lists/Records/DispForm.aspx?ID=22428" TargetMode="External"/><Relationship Id="rId5" Type="http://schemas.openxmlformats.org/officeDocument/2006/relationships/hyperlink" Target="https://www.rssb.co.uk/improving-industry-performance/leading-health-and-safety-on-britains-railway" TargetMode="External"/><Relationship Id="rId4" Type="http://schemas.openxmlformats.org/officeDocument/2006/relationships/hyperlink" Target="https://www.rssb.co.uk/Pages/platform-train-interface.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chmidt\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BC0DB726-FC79-4BC5-992A-B87EF86E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4.xml><?xml version="1.0" encoding="utf-8"?>
<ds:datastoreItem xmlns:ds="http://schemas.openxmlformats.org/officeDocument/2006/customXml" ds:itemID="{3DB66549-17C7-47E1-95AB-2D169931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24</TotalTime>
  <Pages>9</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RSSB A4 template for numbered appendices</vt:lpstr>
    </vt:vector>
  </TitlesOfParts>
  <Company>RSSB</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for numbered appendices</dc:title>
  <dc:subject/>
  <dc:creator>Henning Schmidt</dc:creator>
  <cp:keywords/>
  <dc:description/>
  <cp:lastModifiedBy>Hassan Khalil</cp:lastModifiedBy>
  <cp:revision>5</cp:revision>
  <dcterms:created xsi:type="dcterms:W3CDTF">2018-11-13T11:09:00Z</dcterms:created>
  <dcterms:modified xsi:type="dcterms:W3CDTF">2018-11-13T11:53:00Z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