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716" w:rsidRPr="009B4652" w:rsidRDefault="0062699D">
      <w:pPr>
        <w:rPr>
          <w:b/>
          <w:sz w:val="24"/>
        </w:rPr>
      </w:pPr>
      <w:r w:rsidRPr="009B4652">
        <w:rPr>
          <w:b/>
          <w:sz w:val="24"/>
        </w:rPr>
        <w:t>Query Log</w:t>
      </w:r>
      <w:r w:rsidR="00BE7D36">
        <w:rPr>
          <w:b/>
          <w:sz w:val="24"/>
        </w:rPr>
        <w:t xml:space="preserve"> – as at </w:t>
      </w:r>
      <w:r w:rsidR="00444B5E">
        <w:rPr>
          <w:b/>
          <w:sz w:val="24"/>
        </w:rPr>
        <w:t>2</w:t>
      </w:r>
      <w:r w:rsidR="00BE7D36">
        <w:rPr>
          <w:b/>
          <w:sz w:val="24"/>
        </w:rPr>
        <w:t>1</w:t>
      </w:r>
      <w:r w:rsidR="009B4652" w:rsidRPr="009B4652">
        <w:rPr>
          <w:b/>
          <w:sz w:val="24"/>
        </w:rPr>
        <w:t xml:space="preserve"> November 2018</w:t>
      </w:r>
    </w:p>
    <w:p w:rsidR="0062699D" w:rsidRDefault="0062699D"/>
    <w:tbl>
      <w:tblPr>
        <w:tblW w:w="0" w:type="auto"/>
        <w:jc w:val="center"/>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3101"/>
        <w:gridCol w:w="5429"/>
      </w:tblGrid>
      <w:tr w:rsidR="0062699D" w:rsidRPr="008C215F" w:rsidTr="00444B5E">
        <w:trPr>
          <w:tblHeader/>
          <w:jc w:val="center"/>
        </w:trPr>
        <w:tc>
          <w:tcPr>
            <w:tcW w:w="1252" w:type="dxa"/>
            <w:shd w:val="clear" w:color="auto" w:fill="CC99FF"/>
            <w:vAlign w:val="center"/>
          </w:tcPr>
          <w:p w:rsidR="0062699D" w:rsidRPr="008C215F" w:rsidRDefault="0062699D" w:rsidP="0062699D">
            <w:pPr>
              <w:spacing w:before="60" w:after="120"/>
              <w:rPr>
                <w:rFonts w:cs="Arial"/>
                <w:b/>
                <w:color w:val="FFFFFF"/>
                <w:sz w:val="24"/>
                <w:szCs w:val="24"/>
              </w:rPr>
            </w:pPr>
            <w:r w:rsidRPr="008C215F">
              <w:rPr>
                <w:rFonts w:cs="Arial"/>
                <w:sz w:val="24"/>
                <w:szCs w:val="24"/>
              </w:rPr>
              <w:br w:type="page"/>
            </w:r>
            <w:r>
              <w:rPr>
                <w:rFonts w:cs="Arial"/>
                <w:b/>
                <w:color w:val="FFFFFF"/>
                <w:sz w:val="24"/>
                <w:szCs w:val="24"/>
              </w:rPr>
              <w:t xml:space="preserve"> Date</w:t>
            </w:r>
            <w:r w:rsidR="00F44005">
              <w:rPr>
                <w:rFonts w:cs="Arial"/>
                <w:b/>
                <w:color w:val="FFFFFF"/>
                <w:sz w:val="24"/>
                <w:szCs w:val="24"/>
              </w:rPr>
              <w:t>/time submitted</w:t>
            </w:r>
          </w:p>
        </w:tc>
        <w:tc>
          <w:tcPr>
            <w:tcW w:w="3101" w:type="dxa"/>
            <w:shd w:val="clear" w:color="auto" w:fill="CC99FF"/>
            <w:vAlign w:val="center"/>
          </w:tcPr>
          <w:p w:rsidR="0062699D" w:rsidRPr="008C215F" w:rsidRDefault="0062699D" w:rsidP="0062699D">
            <w:pPr>
              <w:spacing w:before="60" w:after="120"/>
              <w:rPr>
                <w:rFonts w:cs="Arial"/>
                <w:b/>
                <w:color w:val="FFFFFF"/>
                <w:sz w:val="24"/>
                <w:szCs w:val="24"/>
              </w:rPr>
            </w:pPr>
            <w:r>
              <w:rPr>
                <w:rFonts w:cs="Arial"/>
                <w:b/>
                <w:color w:val="FFFFFF"/>
                <w:sz w:val="24"/>
                <w:szCs w:val="24"/>
              </w:rPr>
              <w:t>Query</w:t>
            </w:r>
          </w:p>
        </w:tc>
        <w:tc>
          <w:tcPr>
            <w:tcW w:w="5429" w:type="dxa"/>
            <w:shd w:val="clear" w:color="auto" w:fill="CC99FF"/>
            <w:vAlign w:val="center"/>
          </w:tcPr>
          <w:p w:rsidR="0062699D" w:rsidRPr="00FD7F89" w:rsidRDefault="0062699D" w:rsidP="006509FA">
            <w:pPr>
              <w:spacing w:before="60" w:after="120"/>
              <w:jc w:val="center"/>
              <w:rPr>
                <w:rFonts w:cs="Arial"/>
                <w:b/>
                <w:color w:val="FFFFFF"/>
                <w:sz w:val="24"/>
                <w:szCs w:val="24"/>
              </w:rPr>
            </w:pPr>
            <w:r>
              <w:rPr>
                <w:rFonts w:cs="Arial"/>
                <w:b/>
                <w:color w:val="FFFFFF"/>
                <w:sz w:val="24"/>
                <w:szCs w:val="24"/>
              </w:rPr>
              <w:t>LC response</w:t>
            </w:r>
          </w:p>
        </w:tc>
      </w:tr>
      <w:tr w:rsidR="0062699D" w:rsidRPr="008C215F" w:rsidTr="00444B5E">
        <w:trPr>
          <w:trHeight w:val="3409"/>
          <w:jc w:val="center"/>
        </w:trPr>
        <w:tc>
          <w:tcPr>
            <w:tcW w:w="1252" w:type="dxa"/>
            <w:shd w:val="clear" w:color="auto" w:fill="auto"/>
            <w:vAlign w:val="center"/>
          </w:tcPr>
          <w:p w:rsidR="0062699D" w:rsidRDefault="0062699D" w:rsidP="00444B5E">
            <w:pPr>
              <w:spacing w:before="60" w:after="120"/>
              <w:jc w:val="center"/>
              <w:rPr>
                <w:rFonts w:cs="Arial"/>
              </w:rPr>
            </w:pPr>
            <w:r w:rsidRPr="006C1CA3">
              <w:rPr>
                <w:rFonts w:cs="Arial"/>
              </w:rPr>
              <w:t>1</w:t>
            </w:r>
            <w:r w:rsidR="00F44005">
              <w:rPr>
                <w:rFonts w:cs="Arial"/>
              </w:rPr>
              <w:t>9</w:t>
            </w:r>
            <w:r w:rsidRPr="006C1CA3">
              <w:rPr>
                <w:rFonts w:cs="Arial"/>
              </w:rPr>
              <w:t>/11</w:t>
            </w:r>
          </w:p>
          <w:p w:rsidR="00F44005" w:rsidRPr="006C1CA3" w:rsidRDefault="00F44005" w:rsidP="00444B5E">
            <w:pPr>
              <w:spacing w:before="60" w:after="120"/>
              <w:jc w:val="center"/>
              <w:rPr>
                <w:rFonts w:cs="Arial"/>
              </w:rPr>
            </w:pPr>
            <w:r>
              <w:rPr>
                <w:rFonts w:cs="Arial"/>
              </w:rPr>
              <w:t>14:03</w:t>
            </w:r>
          </w:p>
        </w:tc>
        <w:tc>
          <w:tcPr>
            <w:tcW w:w="3101" w:type="dxa"/>
            <w:shd w:val="clear" w:color="auto" w:fill="auto"/>
            <w:vAlign w:val="center"/>
          </w:tcPr>
          <w:p w:rsidR="0062699D" w:rsidRPr="006C1CA3" w:rsidRDefault="00F44005" w:rsidP="006509FA">
            <w:pPr>
              <w:spacing w:before="60" w:after="120"/>
              <w:rPr>
                <w:rFonts w:cs="Arial"/>
              </w:rPr>
            </w:pPr>
            <w:r w:rsidRPr="00F44005">
              <w:rPr>
                <w:rFonts w:cs="Arial"/>
              </w:rPr>
              <w:t>Given the extremely wide scope of expertise required to cover all the topics, would the London Councils consider a call off contract to allow consultancies to only work in their specialist areas?</w:t>
            </w:r>
          </w:p>
        </w:tc>
        <w:tc>
          <w:tcPr>
            <w:tcW w:w="5429" w:type="dxa"/>
            <w:shd w:val="clear" w:color="auto" w:fill="auto"/>
            <w:vAlign w:val="center"/>
          </w:tcPr>
          <w:p w:rsidR="00F44005" w:rsidRDefault="00F44005" w:rsidP="00F44005">
            <w:pPr>
              <w:spacing w:before="60" w:after="120"/>
              <w:rPr>
                <w:rFonts w:cs="Arial"/>
                <w:sz w:val="24"/>
                <w:szCs w:val="24"/>
              </w:rPr>
            </w:pPr>
            <w:r>
              <w:rPr>
                <w:rFonts w:cs="Arial"/>
                <w:sz w:val="24"/>
                <w:szCs w:val="24"/>
              </w:rPr>
              <w:t xml:space="preserve">No, as while the project does entail </w:t>
            </w:r>
            <w:r w:rsidRPr="00F44005">
              <w:rPr>
                <w:rFonts w:cs="Arial"/>
                <w:sz w:val="24"/>
                <w:szCs w:val="24"/>
              </w:rPr>
              <w:t>a wide scope</w:t>
            </w:r>
            <w:r>
              <w:rPr>
                <w:rFonts w:cs="Arial"/>
                <w:sz w:val="24"/>
                <w:szCs w:val="24"/>
              </w:rPr>
              <w:t>,</w:t>
            </w:r>
            <w:r w:rsidRPr="00F44005">
              <w:rPr>
                <w:rFonts w:cs="Arial"/>
                <w:sz w:val="24"/>
                <w:szCs w:val="24"/>
              </w:rPr>
              <w:t xml:space="preserve"> we </w:t>
            </w:r>
            <w:r>
              <w:rPr>
                <w:rFonts w:cs="Arial"/>
                <w:sz w:val="24"/>
                <w:szCs w:val="24"/>
              </w:rPr>
              <w:t xml:space="preserve">are not able to </w:t>
            </w:r>
            <w:r w:rsidRPr="00F44005">
              <w:rPr>
                <w:rFonts w:cs="Arial"/>
                <w:sz w:val="24"/>
                <w:szCs w:val="24"/>
              </w:rPr>
              <w:t>work with contracts in different areas</w:t>
            </w:r>
            <w:r>
              <w:rPr>
                <w:rFonts w:cs="Arial"/>
                <w:sz w:val="24"/>
                <w:szCs w:val="24"/>
              </w:rPr>
              <w:t xml:space="preserve"> given our current level of resource.</w:t>
            </w:r>
            <w:r w:rsidRPr="00F44005">
              <w:rPr>
                <w:rFonts w:cs="Arial"/>
                <w:sz w:val="24"/>
                <w:szCs w:val="24"/>
              </w:rPr>
              <w:t xml:space="preserve"> </w:t>
            </w:r>
          </w:p>
          <w:p w:rsidR="00FA7163" w:rsidRPr="00FD7F89" w:rsidRDefault="00F44005" w:rsidP="00F44005">
            <w:pPr>
              <w:spacing w:before="60" w:after="120"/>
              <w:rPr>
                <w:rFonts w:cs="Arial"/>
                <w:sz w:val="24"/>
                <w:szCs w:val="24"/>
              </w:rPr>
            </w:pPr>
            <w:r>
              <w:rPr>
                <w:rFonts w:cs="Arial"/>
                <w:sz w:val="24"/>
                <w:szCs w:val="24"/>
              </w:rPr>
              <w:t>T</w:t>
            </w:r>
            <w:r w:rsidRPr="00F44005">
              <w:rPr>
                <w:rFonts w:cs="Arial"/>
                <w:sz w:val="24"/>
                <w:szCs w:val="24"/>
              </w:rPr>
              <w:t xml:space="preserve">he key expertise </w:t>
            </w:r>
            <w:r>
              <w:rPr>
                <w:rFonts w:cs="Arial"/>
                <w:sz w:val="24"/>
                <w:szCs w:val="24"/>
              </w:rPr>
              <w:t xml:space="preserve">required </w:t>
            </w:r>
            <w:r w:rsidRPr="00F44005">
              <w:rPr>
                <w:rFonts w:cs="Arial"/>
                <w:sz w:val="24"/>
                <w:szCs w:val="24"/>
              </w:rPr>
              <w:t xml:space="preserve">is around the </w:t>
            </w:r>
            <w:proofErr w:type="spellStart"/>
            <w:r w:rsidRPr="00F44005">
              <w:rPr>
                <w:rFonts w:cs="Arial"/>
                <w:sz w:val="24"/>
                <w:szCs w:val="24"/>
              </w:rPr>
              <w:t>EiP</w:t>
            </w:r>
            <w:proofErr w:type="spellEnd"/>
            <w:r w:rsidRPr="00F44005">
              <w:rPr>
                <w:rFonts w:cs="Arial"/>
                <w:sz w:val="24"/>
                <w:szCs w:val="24"/>
              </w:rPr>
              <w:t xml:space="preserve"> process and Local Plans.</w:t>
            </w:r>
          </w:p>
        </w:tc>
      </w:tr>
      <w:tr w:rsidR="00444B5E" w:rsidRPr="008C215F" w:rsidTr="00444B5E">
        <w:trPr>
          <w:jc w:val="center"/>
        </w:trPr>
        <w:tc>
          <w:tcPr>
            <w:tcW w:w="1252" w:type="dxa"/>
            <w:vMerge w:val="restart"/>
            <w:shd w:val="clear" w:color="auto" w:fill="auto"/>
            <w:vAlign w:val="center"/>
          </w:tcPr>
          <w:p w:rsidR="00444B5E" w:rsidRDefault="00444B5E" w:rsidP="00444B5E">
            <w:pPr>
              <w:spacing w:before="60" w:after="120"/>
              <w:jc w:val="center"/>
              <w:rPr>
                <w:rFonts w:cs="Arial"/>
              </w:rPr>
            </w:pPr>
            <w:r>
              <w:rPr>
                <w:rFonts w:cs="Arial"/>
              </w:rPr>
              <w:t>20/11</w:t>
            </w:r>
          </w:p>
          <w:p w:rsidR="00444B5E" w:rsidRPr="006C1CA3" w:rsidRDefault="00444B5E" w:rsidP="00444B5E">
            <w:pPr>
              <w:spacing w:before="60" w:after="120"/>
              <w:jc w:val="center"/>
              <w:rPr>
                <w:rFonts w:cs="Arial"/>
              </w:rPr>
            </w:pPr>
            <w:r>
              <w:rPr>
                <w:rFonts w:cs="Arial"/>
              </w:rPr>
              <w:t>14:49</w:t>
            </w:r>
          </w:p>
        </w:tc>
        <w:tc>
          <w:tcPr>
            <w:tcW w:w="3101" w:type="dxa"/>
            <w:shd w:val="clear" w:color="auto" w:fill="auto"/>
            <w:vAlign w:val="center"/>
          </w:tcPr>
          <w:p w:rsidR="00444B5E" w:rsidRPr="006C1CA3" w:rsidRDefault="00444B5E" w:rsidP="0062699D">
            <w:pPr>
              <w:spacing w:before="60" w:after="120"/>
              <w:rPr>
                <w:rFonts w:cs="Arial"/>
              </w:rPr>
            </w:pPr>
            <w:r>
              <w:rPr>
                <w:rFonts w:cs="Arial"/>
              </w:rPr>
              <w:t xml:space="preserve">1. </w:t>
            </w:r>
            <w:r w:rsidRPr="00444B5E">
              <w:rPr>
                <w:rFonts w:cs="Arial"/>
              </w:rPr>
              <w:t>I understand that you would like to present information which complements Boroughs’ own contribution. To what extent do you require bidders to engage with London Boroughs and other relevant stakeholders in preparing evidence during December to meet the other two deadlines?</w:t>
            </w:r>
          </w:p>
        </w:tc>
        <w:tc>
          <w:tcPr>
            <w:tcW w:w="5429" w:type="dxa"/>
            <w:shd w:val="clear" w:color="auto" w:fill="auto"/>
            <w:vAlign w:val="center"/>
          </w:tcPr>
          <w:p w:rsidR="00444B5E" w:rsidRPr="00444B5E" w:rsidRDefault="00444B5E" w:rsidP="00444B5E">
            <w:pPr>
              <w:spacing w:before="60" w:after="120"/>
              <w:rPr>
                <w:rFonts w:cs="Arial"/>
                <w:sz w:val="24"/>
                <w:szCs w:val="24"/>
              </w:rPr>
            </w:pPr>
            <w:r w:rsidRPr="00444B5E">
              <w:rPr>
                <w:rFonts w:cs="Arial"/>
                <w:sz w:val="24"/>
                <w:szCs w:val="24"/>
              </w:rPr>
              <w:t>There have been amendments to the London Plan Examination in Public (</w:t>
            </w:r>
            <w:proofErr w:type="spellStart"/>
            <w:r w:rsidRPr="00444B5E">
              <w:rPr>
                <w:rFonts w:cs="Arial"/>
                <w:sz w:val="24"/>
                <w:szCs w:val="24"/>
              </w:rPr>
              <w:t>EiP</w:t>
            </w:r>
            <w:proofErr w:type="spellEnd"/>
            <w:r w:rsidRPr="00444B5E">
              <w:rPr>
                <w:rFonts w:cs="Arial"/>
                <w:sz w:val="24"/>
                <w:szCs w:val="24"/>
              </w:rPr>
              <w:t>) written statement deadlines, which are set out in</w:t>
            </w:r>
            <w:r>
              <w:rPr>
                <w:rFonts w:cs="Arial"/>
                <w:sz w:val="24"/>
                <w:szCs w:val="24"/>
              </w:rPr>
              <w:t xml:space="preserve"> our response to query 2 </w:t>
            </w:r>
            <w:r w:rsidR="00674214">
              <w:rPr>
                <w:rFonts w:cs="Arial"/>
                <w:sz w:val="24"/>
                <w:szCs w:val="24"/>
              </w:rPr>
              <w:t xml:space="preserve">from 20/11 </w:t>
            </w:r>
            <w:r>
              <w:rPr>
                <w:rFonts w:cs="Arial"/>
                <w:sz w:val="24"/>
                <w:szCs w:val="24"/>
              </w:rPr>
              <w:t>below.</w:t>
            </w:r>
            <w:r w:rsidRPr="00444B5E">
              <w:rPr>
                <w:rFonts w:cs="Arial"/>
                <w:sz w:val="24"/>
                <w:szCs w:val="24"/>
              </w:rPr>
              <w:t xml:space="preserve">     </w:t>
            </w:r>
          </w:p>
          <w:p w:rsidR="00444B5E" w:rsidRPr="00FD7F89" w:rsidRDefault="00444B5E" w:rsidP="00444B5E">
            <w:pPr>
              <w:spacing w:before="60" w:after="120"/>
              <w:rPr>
                <w:rFonts w:cs="Arial"/>
                <w:sz w:val="24"/>
                <w:szCs w:val="24"/>
              </w:rPr>
            </w:pPr>
            <w:r w:rsidRPr="00444B5E">
              <w:rPr>
                <w:rFonts w:cs="Arial"/>
                <w:sz w:val="24"/>
                <w:szCs w:val="24"/>
              </w:rPr>
              <w:t xml:space="preserve">The successful bidder will primarily be expected to make use of information London Councils already has available. Where liaison with the London Boroughs or other stakeholders is required, the successful bidder will be able to utilise the established liaison arrangements London Councils already has in place. </w:t>
            </w:r>
          </w:p>
        </w:tc>
      </w:tr>
      <w:tr w:rsidR="00444B5E" w:rsidRPr="008C215F" w:rsidTr="00444B5E">
        <w:trPr>
          <w:jc w:val="center"/>
        </w:trPr>
        <w:tc>
          <w:tcPr>
            <w:tcW w:w="1252" w:type="dxa"/>
            <w:vMerge/>
            <w:shd w:val="clear" w:color="auto" w:fill="auto"/>
            <w:vAlign w:val="center"/>
          </w:tcPr>
          <w:p w:rsidR="00444B5E" w:rsidRPr="006C1CA3" w:rsidRDefault="00444B5E" w:rsidP="00444B5E">
            <w:pPr>
              <w:spacing w:before="60" w:after="120"/>
              <w:jc w:val="center"/>
              <w:rPr>
                <w:rFonts w:cs="Arial"/>
              </w:rPr>
            </w:pPr>
          </w:p>
        </w:tc>
        <w:tc>
          <w:tcPr>
            <w:tcW w:w="3101" w:type="dxa"/>
            <w:shd w:val="clear" w:color="auto" w:fill="auto"/>
            <w:vAlign w:val="center"/>
          </w:tcPr>
          <w:p w:rsidR="00444B5E" w:rsidRPr="00444B5E" w:rsidRDefault="00444B5E" w:rsidP="00444B5E">
            <w:pPr>
              <w:spacing w:before="60" w:after="120"/>
              <w:rPr>
                <w:rFonts w:cs="Arial"/>
              </w:rPr>
            </w:pPr>
            <w:r>
              <w:rPr>
                <w:rFonts w:cs="Arial"/>
              </w:rPr>
              <w:t xml:space="preserve">2. </w:t>
            </w:r>
            <w:r w:rsidRPr="00444B5E">
              <w:rPr>
                <w:rFonts w:cs="Arial"/>
              </w:rPr>
              <w:t>I noted that you would not expect any written submission for 3 December deadline</w:t>
            </w:r>
            <w:r w:rsidR="00674214" w:rsidRPr="00444B5E">
              <w:rPr>
                <w:rFonts w:cs="Arial"/>
              </w:rPr>
              <w:t xml:space="preserve">. </w:t>
            </w:r>
            <w:r w:rsidRPr="00444B5E">
              <w:rPr>
                <w:rFonts w:cs="Arial"/>
              </w:rPr>
              <w:t xml:space="preserve">Could you please clarify if you will need assistance with attending hearing sessions on these topics (covering week 1 to week 4)? </w:t>
            </w:r>
          </w:p>
          <w:p w:rsidR="00444B5E" w:rsidRPr="006C1CA3" w:rsidRDefault="00444B5E" w:rsidP="006509FA">
            <w:pPr>
              <w:spacing w:before="60" w:after="120"/>
              <w:rPr>
                <w:rFonts w:cs="Arial"/>
              </w:rPr>
            </w:pPr>
          </w:p>
        </w:tc>
        <w:tc>
          <w:tcPr>
            <w:tcW w:w="5429" w:type="dxa"/>
            <w:shd w:val="clear" w:color="auto" w:fill="auto"/>
            <w:vAlign w:val="center"/>
          </w:tcPr>
          <w:p w:rsidR="00444B5E" w:rsidRPr="00FD7F89" w:rsidRDefault="00444B5E" w:rsidP="00444B5E">
            <w:pPr>
              <w:spacing w:before="60" w:after="120"/>
              <w:rPr>
                <w:rFonts w:cs="Arial"/>
                <w:sz w:val="24"/>
                <w:szCs w:val="24"/>
              </w:rPr>
            </w:pPr>
            <w:r w:rsidRPr="00444B5E">
              <w:rPr>
                <w:rFonts w:cs="Arial"/>
                <w:sz w:val="24"/>
                <w:szCs w:val="24"/>
              </w:rPr>
              <w:t xml:space="preserve">The London Plan </w:t>
            </w:r>
            <w:proofErr w:type="spellStart"/>
            <w:r w:rsidRPr="00444B5E">
              <w:rPr>
                <w:rFonts w:cs="Arial"/>
                <w:sz w:val="24"/>
                <w:szCs w:val="24"/>
              </w:rPr>
              <w:t>EiP</w:t>
            </w:r>
            <w:proofErr w:type="spellEnd"/>
            <w:r w:rsidRPr="00444B5E">
              <w:rPr>
                <w:rFonts w:cs="Arial"/>
                <w:sz w:val="24"/>
                <w:szCs w:val="24"/>
              </w:rPr>
              <w:t xml:space="preserve"> Panel have now published their Final Participants and Matters for consideration at the Examination in Public, commencing on Tuesday 15 January 2019. They have also produced procedural information about the </w:t>
            </w:r>
            <w:proofErr w:type="spellStart"/>
            <w:r w:rsidRPr="00444B5E">
              <w:rPr>
                <w:rFonts w:cs="Arial"/>
                <w:sz w:val="24"/>
                <w:szCs w:val="24"/>
              </w:rPr>
              <w:t>EiP</w:t>
            </w:r>
            <w:proofErr w:type="spellEnd"/>
            <w:r w:rsidRPr="00444B5E">
              <w:rPr>
                <w:rFonts w:cs="Arial"/>
                <w:sz w:val="24"/>
                <w:szCs w:val="24"/>
              </w:rPr>
              <w:t xml:space="preserve"> and a detailed hearings programme. From this information, we have produced </w:t>
            </w:r>
            <w:r>
              <w:rPr>
                <w:rFonts w:cs="Arial"/>
                <w:sz w:val="24"/>
                <w:szCs w:val="24"/>
              </w:rPr>
              <w:t xml:space="preserve">a </w:t>
            </w:r>
            <w:r w:rsidRPr="00444B5E">
              <w:rPr>
                <w:rFonts w:cs="Arial"/>
                <w:sz w:val="24"/>
                <w:szCs w:val="24"/>
              </w:rPr>
              <w:t>summary table below, which sets out the updated hearing dates, written statement deadlines and statement word limits for the 8 Matters London Councils is particip</w:t>
            </w:r>
            <w:r>
              <w:rPr>
                <w:rFonts w:cs="Arial"/>
                <w:sz w:val="24"/>
                <w:szCs w:val="24"/>
              </w:rPr>
              <w:t xml:space="preserve">ating in at the </w:t>
            </w:r>
            <w:proofErr w:type="spellStart"/>
            <w:r>
              <w:rPr>
                <w:rFonts w:cs="Arial"/>
                <w:sz w:val="24"/>
                <w:szCs w:val="24"/>
              </w:rPr>
              <w:t>EiP</w:t>
            </w:r>
            <w:proofErr w:type="spellEnd"/>
            <w:r>
              <w:rPr>
                <w:rFonts w:cs="Arial"/>
                <w:sz w:val="24"/>
                <w:szCs w:val="24"/>
              </w:rPr>
              <w:t>, as follows.</w:t>
            </w:r>
          </w:p>
        </w:tc>
      </w:tr>
      <w:tr w:rsidR="00444B5E" w:rsidRPr="008C215F" w:rsidTr="00444B5E">
        <w:trPr>
          <w:jc w:val="center"/>
        </w:trPr>
        <w:tc>
          <w:tcPr>
            <w:tcW w:w="1252" w:type="dxa"/>
            <w:vMerge/>
            <w:shd w:val="clear" w:color="auto" w:fill="auto"/>
            <w:vAlign w:val="center"/>
          </w:tcPr>
          <w:p w:rsidR="00444B5E" w:rsidRPr="006C1CA3" w:rsidRDefault="00444B5E" w:rsidP="00444B5E">
            <w:pPr>
              <w:spacing w:before="60" w:after="120"/>
              <w:jc w:val="center"/>
              <w:rPr>
                <w:rFonts w:cs="Arial"/>
              </w:rPr>
            </w:pPr>
          </w:p>
        </w:tc>
        <w:tc>
          <w:tcPr>
            <w:tcW w:w="3101" w:type="dxa"/>
            <w:shd w:val="clear" w:color="auto" w:fill="auto"/>
            <w:vAlign w:val="center"/>
          </w:tcPr>
          <w:p w:rsidR="00444B5E" w:rsidRPr="006C1CA3" w:rsidRDefault="00674214" w:rsidP="0062699D">
            <w:pPr>
              <w:spacing w:before="60" w:after="120"/>
              <w:rPr>
                <w:rFonts w:cs="Arial"/>
              </w:rPr>
            </w:pPr>
            <w:r>
              <w:rPr>
                <w:rFonts w:cs="Arial"/>
              </w:rPr>
              <w:t xml:space="preserve">3. </w:t>
            </w:r>
            <w:r w:rsidR="00077E99" w:rsidRPr="00077E99">
              <w:rPr>
                <w:rFonts w:cs="Arial"/>
              </w:rPr>
              <w:t>In order to allow us to make reasonable assumptions on time inputs by individual(s) delivering the tender, could you please clarify what the expectations are for attending hearing sessions</w:t>
            </w:r>
            <w:r w:rsidRPr="00077E99">
              <w:rPr>
                <w:rFonts w:cs="Arial"/>
              </w:rPr>
              <w:t xml:space="preserve">? </w:t>
            </w:r>
            <w:r w:rsidR="00077E99" w:rsidRPr="00077E99">
              <w:rPr>
                <w:rFonts w:cs="Arial"/>
              </w:rPr>
              <w:t>For example, attending full sessions three days a week from January to May 2019? Or attend sessions when required?</w:t>
            </w:r>
          </w:p>
        </w:tc>
        <w:tc>
          <w:tcPr>
            <w:tcW w:w="5429" w:type="dxa"/>
            <w:shd w:val="clear" w:color="auto" w:fill="auto"/>
            <w:vAlign w:val="center"/>
          </w:tcPr>
          <w:p w:rsidR="00444B5E" w:rsidRPr="00FD7F89" w:rsidRDefault="00674214" w:rsidP="00FA7163">
            <w:pPr>
              <w:spacing w:before="60" w:after="120"/>
              <w:rPr>
                <w:rFonts w:cs="Arial"/>
                <w:sz w:val="24"/>
                <w:szCs w:val="24"/>
              </w:rPr>
            </w:pPr>
            <w:r w:rsidRPr="00674214">
              <w:rPr>
                <w:rFonts w:cs="Arial"/>
                <w:sz w:val="24"/>
                <w:szCs w:val="24"/>
              </w:rPr>
              <w:t xml:space="preserve">The response to query 2 </w:t>
            </w:r>
            <w:r>
              <w:rPr>
                <w:rFonts w:cs="Arial"/>
                <w:sz w:val="24"/>
                <w:szCs w:val="24"/>
              </w:rPr>
              <w:t xml:space="preserve">from 20/11 </w:t>
            </w:r>
            <w:r w:rsidRPr="00674214">
              <w:rPr>
                <w:rFonts w:cs="Arial"/>
                <w:sz w:val="24"/>
                <w:szCs w:val="24"/>
              </w:rPr>
              <w:t>above provides the hearing dates which require full day attendance; unless either a morning (AM) or afternoon (PM) session is indicated. Bidders will appreciate that these arrangements may be subject to some change as the hearings progress.</w:t>
            </w:r>
          </w:p>
        </w:tc>
      </w:tr>
    </w:tbl>
    <w:p w:rsidR="002361BC" w:rsidRDefault="002361BC">
      <w:pPr>
        <w:rPr>
          <w:b/>
          <w:sz w:val="24"/>
        </w:rPr>
      </w:pPr>
    </w:p>
    <w:p w:rsidR="00AD69CB" w:rsidRPr="00674214" w:rsidRDefault="00AD69CB">
      <w:pPr>
        <w:rPr>
          <w:b/>
          <w:sz w:val="24"/>
        </w:rPr>
      </w:pPr>
      <w:bookmarkStart w:id="0" w:name="_GoBack"/>
      <w:bookmarkEnd w:id="0"/>
      <w:r w:rsidRPr="00674214">
        <w:rPr>
          <w:b/>
          <w:sz w:val="24"/>
        </w:rPr>
        <w:t xml:space="preserve">Summary table of </w:t>
      </w:r>
      <w:proofErr w:type="spellStart"/>
      <w:r w:rsidRPr="00674214">
        <w:rPr>
          <w:b/>
          <w:sz w:val="24"/>
        </w:rPr>
        <w:t>EiP</w:t>
      </w:r>
      <w:proofErr w:type="spellEnd"/>
      <w:r w:rsidRPr="00674214">
        <w:rPr>
          <w:b/>
          <w:sz w:val="24"/>
        </w:rPr>
        <w:t xml:space="preserve"> Hearings Programme relevant to London Councils</w:t>
      </w:r>
    </w:p>
    <w:tbl>
      <w:tblPr>
        <w:tblW w:w="9782" w:type="dxa"/>
        <w:tblInd w:w="-318" w:type="dxa"/>
        <w:tblCellMar>
          <w:left w:w="0" w:type="dxa"/>
          <w:right w:w="0" w:type="dxa"/>
        </w:tblCellMar>
        <w:tblLook w:val="04A0" w:firstRow="1" w:lastRow="0" w:firstColumn="1" w:lastColumn="0" w:noHBand="0" w:noVBand="1"/>
      </w:tblPr>
      <w:tblGrid>
        <w:gridCol w:w="2694"/>
        <w:gridCol w:w="3544"/>
        <w:gridCol w:w="2067"/>
        <w:gridCol w:w="1477"/>
      </w:tblGrid>
      <w:tr w:rsidR="00444B5E" w:rsidRPr="00444B5E" w:rsidTr="00AD69CB">
        <w:tc>
          <w:tcPr>
            <w:tcW w:w="2694" w:type="dxa"/>
            <w:tcBorders>
              <w:top w:val="single" w:sz="8" w:space="0" w:color="auto"/>
              <w:left w:val="single" w:sz="8" w:space="0" w:color="auto"/>
              <w:bottom w:val="single" w:sz="8" w:space="0" w:color="auto"/>
              <w:right w:val="single" w:sz="8" w:space="0" w:color="auto"/>
            </w:tcBorders>
            <w:shd w:val="clear" w:color="auto" w:fill="31849B" w:themeFill="accent5" w:themeFillShade="BF"/>
            <w:tcMar>
              <w:top w:w="0" w:type="dxa"/>
              <w:left w:w="108" w:type="dxa"/>
              <w:bottom w:w="0" w:type="dxa"/>
              <w:right w:w="108" w:type="dxa"/>
            </w:tcMar>
            <w:vAlign w:val="center"/>
            <w:hideMark/>
          </w:tcPr>
          <w:p w:rsidR="00444B5E" w:rsidRPr="00444B5E" w:rsidRDefault="00444B5E" w:rsidP="00444B5E">
            <w:pPr>
              <w:pStyle w:val="NoSpacing"/>
              <w:rPr>
                <w:b/>
                <w:color w:val="FFFFFF" w:themeColor="background1"/>
                <w:sz w:val="24"/>
              </w:rPr>
            </w:pPr>
            <w:r w:rsidRPr="00444B5E">
              <w:rPr>
                <w:b/>
                <w:color w:val="FFFFFF" w:themeColor="background1"/>
                <w:sz w:val="24"/>
              </w:rPr>
              <w:t>Matter</w:t>
            </w:r>
          </w:p>
        </w:tc>
        <w:tc>
          <w:tcPr>
            <w:tcW w:w="3544" w:type="dxa"/>
            <w:tcBorders>
              <w:top w:val="single" w:sz="8" w:space="0" w:color="auto"/>
              <w:left w:val="nil"/>
              <w:bottom w:val="single" w:sz="8" w:space="0" w:color="auto"/>
              <w:right w:val="single" w:sz="8" w:space="0" w:color="auto"/>
            </w:tcBorders>
            <w:shd w:val="clear" w:color="auto" w:fill="31849B" w:themeFill="accent5" w:themeFillShade="BF"/>
            <w:tcMar>
              <w:top w:w="0" w:type="dxa"/>
              <w:left w:w="108" w:type="dxa"/>
              <w:bottom w:w="0" w:type="dxa"/>
              <w:right w:w="108" w:type="dxa"/>
            </w:tcMar>
            <w:vAlign w:val="center"/>
            <w:hideMark/>
          </w:tcPr>
          <w:p w:rsidR="00444B5E" w:rsidRPr="00444B5E" w:rsidRDefault="00444B5E" w:rsidP="00AD69CB">
            <w:pPr>
              <w:pStyle w:val="NoSpacing"/>
              <w:rPr>
                <w:b/>
                <w:color w:val="FFFFFF" w:themeColor="background1"/>
                <w:sz w:val="24"/>
              </w:rPr>
            </w:pPr>
            <w:r w:rsidRPr="00444B5E">
              <w:rPr>
                <w:b/>
                <w:color w:val="FFFFFF" w:themeColor="background1"/>
                <w:sz w:val="24"/>
              </w:rPr>
              <w:t>Hearing date</w:t>
            </w:r>
            <w:r w:rsidR="00AD69CB">
              <w:rPr>
                <w:b/>
                <w:color w:val="FFFFFF" w:themeColor="background1"/>
                <w:sz w:val="24"/>
              </w:rPr>
              <w:t xml:space="preserve"> </w:t>
            </w:r>
            <w:r w:rsidRPr="00444B5E">
              <w:rPr>
                <w:b/>
                <w:color w:val="FFFFFF" w:themeColor="background1"/>
                <w:sz w:val="24"/>
              </w:rPr>
              <w:t>(hearing week)</w:t>
            </w:r>
          </w:p>
        </w:tc>
        <w:tc>
          <w:tcPr>
            <w:tcW w:w="2067" w:type="dxa"/>
            <w:tcBorders>
              <w:top w:val="single" w:sz="8" w:space="0" w:color="auto"/>
              <w:left w:val="nil"/>
              <w:bottom w:val="single" w:sz="8" w:space="0" w:color="auto"/>
              <w:right w:val="single" w:sz="8" w:space="0" w:color="auto"/>
            </w:tcBorders>
            <w:shd w:val="clear" w:color="auto" w:fill="31849B" w:themeFill="accent5" w:themeFillShade="BF"/>
            <w:tcMar>
              <w:top w:w="0" w:type="dxa"/>
              <w:left w:w="108" w:type="dxa"/>
              <w:bottom w:w="0" w:type="dxa"/>
              <w:right w:w="108" w:type="dxa"/>
            </w:tcMar>
            <w:vAlign w:val="center"/>
            <w:hideMark/>
          </w:tcPr>
          <w:p w:rsidR="00444B5E" w:rsidRPr="00444B5E" w:rsidRDefault="00444B5E" w:rsidP="00444B5E">
            <w:pPr>
              <w:pStyle w:val="NoSpacing"/>
              <w:rPr>
                <w:b/>
                <w:color w:val="FFFFFF" w:themeColor="background1"/>
                <w:sz w:val="24"/>
              </w:rPr>
            </w:pPr>
            <w:r w:rsidRPr="00444B5E">
              <w:rPr>
                <w:b/>
                <w:color w:val="FFFFFF" w:themeColor="background1"/>
                <w:sz w:val="24"/>
              </w:rPr>
              <w:t>Written statement midday deadline dates</w:t>
            </w:r>
          </w:p>
        </w:tc>
        <w:tc>
          <w:tcPr>
            <w:tcW w:w="1477" w:type="dxa"/>
            <w:tcBorders>
              <w:top w:val="single" w:sz="8" w:space="0" w:color="auto"/>
              <w:left w:val="nil"/>
              <w:bottom w:val="single" w:sz="8" w:space="0" w:color="auto"/>
              <w:right w:val="single" w:sz="8" w:space="0" w:color="auto"/>
            </w:tcBorders>
            <w:shd w:val="clear" w:color="auto" w:fill="31849B" w:themeFill="accent5" w:themeFillShade="BF"/>
            <w:tcMar>
              <w:top w:w="0" w:type="dxa"/>
              <w:left w:w="108" w:type="dxa"/>
              <w:bottom w:w="0" w:type="dxa"/>
              <w:right w:w="108" w:type="dxa"/>
            </w:tcMar>
            <w:vAlign w:val="center"/>
            <w:hideMark/>
          </w:tcPr>
          <w:p w:rsidR="00444B5E" w:rsidRPr="00444B5E" w:rsidRDefault="00444B5E" w:rsidP="00444B5E">
            <w:pPr>
              <w:pStyle w:val="NoSpacing"/>
              <w:rPr>
                <w:b/>
                <w:color w:val="FFFFFF" w:themeColor="background1"/>
                <w:sz w:val="24"/>
              </w:rPr>
            </w:pPr>
            <w:r w:rsidRPr="00444B5E">
              <w:rPr>
                <w:b/>
                <w:color w:val="FFFFFF" w:themeColor="background1"/>
                <w:sz w:val="24"/>
              </w:rPr>
              <w:t>Written statement word limits</w:t>
            </w:r>
          </w:p>
        </w:tc>
      </w:tr>
      <w:tr w:rsidR="00444B5E" w:rsidTr="002361BC">
        <w:trPr>
          <w:trHeight w:val="870"/>
        </w:trPr>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pPr>
            <w:r>
              <w:t>Housing supply and targets [M19]</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pPr>
            <w:r>
              <w:t>Mon 11/2/2019 (week 4)</w:t>
            </w:r>
          </w:p>
        </w:tc>
        <w:tc>
          <w:tcPr>
            <w:tcW w:w="20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jc w:val="center"/>
            </w:pPr>
            <w:r>
              <w:t>Fri 14/12/2018</w:t>
            </w:r>
          </w:p>
        </w:tc>
        <w:tc>
          <w:tcPr>
            <w:tcW w:w="14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jc w:val="center"/>
            </w:pPr>
            <w:r>
              <w:t>4,000</w:t>
            </w:r>
          </w:p>
        </w:tc>
      </w:tr>
      <w:tr w:rsidR="00444B5E" w:rsidTr="002361BC">
        <w:trPr>
          <w:trHeight w:val="967"/>
        </w:trPr>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pPr>
            <w:r>
              <w:t>Small sites and small housing development</w:t>
            </w:r>
          </w:p>
          <w:p w:rsidR="00444B5E" w:rsidRDefault="00444B5E" w:rsidP="00444B5E">
            <w:pPr>
              <w:pStyle w:val="NoSpacing"/>
            </w:pPr>
            <w:r>
              <w:t>(Policy H2) [M20]</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pPr>
            <w:r>
              <w:t>London Councils not appearing, but making written submission only.</w:t>
            </w:r>
          </w:p>
        </w:tc>
        <w:tc>
          <w:tcPr>
            <w:tcW w:w="20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jc w:val="center"/>
            </w:pPr>
            <w:r>
              <w:t>Fri 14/12/2018</w:t>
            </w:r>
          </w:p>
        </w:tc>
        <w:tc>
          <w:tcPr>
            <w:tcW w:w="14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jc w:val="center"/>
            </w:pPr>
            <w:r>
              <w:t>4,000</w:t>
            </w:r>
          </w:p>
        </w:tc>
      </w:tr>
      <w:tr w:rsidR="00444B5E" w:rsidTr="00AD69CB">
        <w:trPr>
          <w:trHeight w:val="603"/>
        </w:trPr>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pPr>
            <w:r>
              <w:t>Housing size mix [M28]</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pPr>
            <w:r>
              <w:t>Fri 1/3/2019 (week 5)</w:t>
            </w:r>
          </w:p>
        </w:tc>
        <w:tc>
          <w:tcPr>
            <w:tcW w:w="20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jc w:val="center"/>
            </w:pPr>
            <w:r>
              <w:t>Fri 11/1/2019</w:t>
            </w:r>
          </w:p>
        </w:tc>
        <w:tc>
          <w:tcPr>
            <w:tcW w:w="14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jc w:val="center"/>
            </w:pPr>
            <w:r>
              <w:t>2,000</w:t>
            </w:r>
          </w:p>
        </w:tc>
      </w:tr>
      <w:tr w:rsidR="00444B5E" w:rsidTr="00AD69CB">
        <w:trPr>
          <w:trHeight w:val="603"/>
        </w:trPr>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pPr>
            <w:r>
              <w:t>Density (Policy D6) [M39]</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pPr>
            <w:r>
              <w:t>Tues 5/3/2019 PM session (week 6)</w:t>
            </w:r>
          </w:p>
        </w:tc>
        <w:tc>
          <w:tcPr>
            <w:tcW w:w="20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jc w:val="center"/>
            </w:pPr>
            <w:r>
              <w:t>Fri 11/1/2019</w:t>
            </w:r>
          </w:p>
        </w:tc>
        <w:tc>
          <w:tcPr>
            <w:tcW w:w="14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jc w:val="center"/>
            </w:pPr>
            <w:r>
              <w:t>2,000</w:t>
            </w:r>
          </w:p>
        </w:tc>
      </w:tr>
      <w:tr w:rsidR="00444B5E" w:rsidTr="002361BC">
        <w:trPr>
          <w:trHeight w:val="1141"/>
        </w:trPr>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pPr>
            <w:r>
              <w:t xml:space="preserve">Social Infrastructure (Policies S1-S3) [M51-M53] </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pPr>
            <w:r>
              <w:t>Fri  3/5/2019 AM session (week 9)</w:t>
            </w:r>
          </w:p>
          <w:p w:rsidR="00444B5E" w:rsidRDefault="00444B5E" w:rsidP="00444B5E">
            <w:pPr>
              <w:pStyle w:val="NoSpacing"/>
            </w:pPr>
            <w:r>
              <w:t>Awaiting confirmation of whether London Councils is able to appear.</w:t>
            </w:r>
          </w:p>
        </w:tc>
        <w:tc>
          <w:tcPr>
            <w:tcW w:w="20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jc w:val="center"/>
            </w:pPr>
            <w:r>
              <w:t>Fri 1/3/2019</w:t>
            </w:r>
          </w:p>
        </w:tc>
        <w:tc>
          <w:tcPr>
            <w:tcW w:w="14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jc w:val="center"/>
            </w:pPr>
            <w:r>
              <w:t>2,000 (tbc)</w:t>
            </w:r>
          </w:p>
        </w:tc>
      </w:tr>
      <w:tr w:rsidR="00444B5E" w:rsidTr="00AD69CB">
        <w:trPr>
          <w:trHeight w:val="750"/>
        </w:trPr>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pPr>
            <w:r>
              <w:t>Air Quality and Water Infrastructure [M74]</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pPr>
            <w:r>
              <w:t>Thurs 9/5/2019 PM session (week 10)</w:t>
            </w:r>
          </w:p>
        </w:tc>
        <w:tc>
          <w:tcPr>
            <w:tcW w:w="20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jc w:val="center"/>
            </w:pPr>
            <w:r>
              <w:t>Fri  1/3/2019</w:t>
            </w:r>
          </w:p>
        </w:tc>
        <w:tc>
          <w:tcPr>
            <w:tcW w:w="14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jc w:val="center"/>
            </w:pPr>
            <w:r>
              <w:t>2,000</w:t>
            </w:r>
          </w:p>
        </w:tc>
      </w:tr>
      <w:tr w:rsidR="00444B5E" w:rsidTr="00AD69CB">
        <w:trPr>
          <w:trHeight w:val="994"/>
        </w:trPr>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pPr>
            <w:r>
              <w:t>Transport schemes and development [M76-M80] (M76 and M78)</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pPr>
            <w:r>
              <w:t>Tues 7/5/2019 (week 10)</w:t>
            </w:r>
          </w:p>
        </w:tc>
        <w:tc>
          <w:tcPr>
            <w:tcW w:w="20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jc w:val="center"/>
            </w:pPr>
            <w:r>
              <w:t>Fri  1/3/2019</w:t>
            </w:r>
          </w:p>
        </w:tc>
        <w:tc>
          <w:tcPr>
            <w:tcW w:w="14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jc w:val="center"/>
            </w:pPr>
            <w:r>
              <w:t>2,000 (tbc)</w:t>
            </w:r>
          </w:p>
        </w:tc>
      </w:tr>
      <w:tr w:rsidR="00444B5E" w:rsidTr="00AD69CB">
        <w:trPr>
          <w:trHeight w:val="716"/>
        </w:trPr>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pPr>
            <w:r>
              <w:t xml:space="preserve">Hot Food Takeaways (Policy E9) [M91] </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pPr>
            <w:r>
              <w:t>Wed 15/5/2019 (week 11)</w:t>
            </w:r>
          </w:p>
        </w:tc>
        <w:tc>
          <w:tcPr>
            <w:tcW w:w="20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jc w:val="center"/>
            </w:pPr>
            <w:r>
              <w:t>Fri  1/3/2019</w:t>
            </w:r>
          </w:p>
        </w:tc>
        <w:tc>
          <w:tcPr>
            <w:tcW w:w="14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4B5E" w:rsidRDefault="00444B5E" w:rsidP="00444B5E">
            <w:pPr>
              <w:pStyle w:val="NoSpacing"/>
              <w:jc w:val="center"/>
            </w:pPr>
            <w:r>
              <w:t>2,000</w:t>
            </w:r>
          </w:p>
        </w:tc>
      </w:tr>
    </w:tbl>
    <w:p w:rsidR="00444B5E" w:rsidRDefault="00444B5E"/>
    <w:sectPr w:rsidR="00444B5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E99" w:rsidRDefault="00077E99" w:rsidP="009B4652">
      <w:pPr>
        <w:spacing w:after="0" w:line="240" w:lineRule="auto"/>
      </w:pPr>
      <w:r>
        <w:separator/>
      </w:r>
    </w:p>
  </w:endnote>
  <w:endnote w:type="continuationSeparator" w:id="0">
    <w:p w:rsidR="00077E99" w:rsidRDefault="00077E99" w:rsidP="009B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291183"/>
      <w:docPartObj>
        <w:docPartGallery w:val="Page Numbers (Bottom of Page)"/>
        <w:docPartUnique/>
      </w:docPartObj>
    </w:sdtPr>
    <w:sdtContent>
      <w:sdt>
        <w:sdtPr>
          <w:id w:val="-1669238322"/>
          <w:docPartObj>
            <w:docPartGallery w:val="Page Numbers (Top of Page)"/>
            <w:docPartUnique/>
          </w:docPartObj>
        </w:sdtPr>
        <w:sdtContent>
          <w:p w:rsidR="00077E99" w:rsidRDefault="00077E9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361B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61BC">
              <w:rPr>
                <w:b/>
                <w:bCs/>
                <w:noProof/>
              </w:rPr>
              <w:t>2</w:t>
            </w:r>
            <w:r>
              <w:rPr>
                <w:b/>
                <w:bCs/>
                <w:sz w:val="24"/>
                <w:szCs w:val="24"/>
              </w:rPr>
              <w:fldChar w:fldCharType="end"/>
            </w:r>
          </w:p>
        </w:sdtContent>
      </w:sdt>
    </w:sdtContent>
  </w:sdt>
  <w:p w:rsidR="00077E99" w:rsidRDefault="00077E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E99" w:rsidRDefault="00077E99" w:rsidP="009B4652">
      <w:pPr>
        <w:spacing w:after="0" w:line="240" w:lineRule="auto"/>
      </w:pPr>
      <w:r>
        <w:separator/>
      </w:r>
    </w:p>
  </w:footnote>
  <w:footnote w:type="continuationSeparator" w:id="0">
    <w:p w:rsidR="00077E99" w:rsidRDefault="00077E99" w:rsidP="009B46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AD04D7"/>
    <w:multiLevelType w:val="hybridMultilevel"/>
    <w:tmpl w:val="A7D4E1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99D"/>
    <w:rsid w:val="00000ACC"/>
    <w:rsid w:val="00077E99"/>
    <w:rsid w:val="000D16BA"/>
    <w:rsid w:val="00140538"/>
    <w:rsid w:val="00226FF0"/>
    <w:rsid w:val="002361BC"/>
    <w:rsid w:val="00237CE8"/>
    <w:rsid w:val="00394856"/>
    <w:rsid w:val="004166BF"/>
    <w:rsid w:val="00444B5E"/>
    <w:rsid w:val="00584177"/>
    <w:rsid w:val="0062699D"/>
    <w:rsid w:val="006509FA"/>
    <w:rsid w:val="00674214"/>
    <w:rsid w:val="006C1CA3"/>
    <w:rsid w:val="00750194"/>
    <w:rsid w:val="008C2235"/>
    <w:rsid w:val="009B4652"/>
    <w:rsid w:val="00AD69CB"/>
    <w:rsid w:val="00AF2AA6"/>
    <w:rsid w:val="00B540A3"/>
    <w:rsid w:val="00BE7D36"/>
    <w:rsid w:val="00EE7716"/>
    <w:rsid w:val="00F44005"/>
    <w:rsid w:val="00FA7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52"/>
  </w:style>
  <w:style w:type="paragraph" w:styleId="Footer">
    <w:name w:val="footer"/>
    <w:basedOn w:val="Normal"/>
    <w:link w:val="FooterChar"/>
    <w:uiPriority w:val="99"/>
    <w:unhideWhenUsed/>
    <w:rsid w:val="009B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52"/>
  </w:style>
  <w:style w:type="paragraph" w:styleId="ListParagraph">
    <w:name w:val="List Paragraph"/>
    <w:basedOn w:val="Normal"/>
    <w:uiPriority w:val="34"/>
    <w:qFormat/>
    <w:rsid w:val="00444B5E"/>
    <w:pPr>
      <w:spacing w:after="0" w:line="240" w:lineRule="auto"/>
      <w:ind w:left="720"/>
    </w:pPr>
    <w:rPr>
      <w:rFonts w:ascii="Calibri" w:hAnsi="Calibri" w:cs="Times New Roman"/>
    </w:rPr>
  </w:style>
  <w:style w:type="paragraph" w:styleId="NoSpacing">
    <w:name w:val="No Spacing"/>
    <w:uiPriority w:val="1"/>
    <w:qFormat/>
    <w:rsid w:val="00444B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52"/>
  </w:style>
  <w:style w:type="paragraph" w:styleId="Footer">
    <w:name w:val="footer"/>
    <w:basedOn w:val="Normal"/>
    <w:link w:val="FooterChar"/>
    <w:uiPriority w:val="99"/>
    <w:unhideWhenUsed/>
    <w:rsid w:val="009B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52"/>
  </w:style>
  <w:style w:type="paragraph" w:styleId="ListParagraph">
    <w:name w:val="List Paragraph"/>
    <w:basedOn w:val="Normal"/>
    <w:uiPriority w:val="34"/>
    <w:qFormat/>
    <w:rsid w:val="00444B5E"/>
    <w:pPr>
      <w:spacing w:after="0" w:line="240" w:lineRule="auto"/>
      <w:ind w:left="720"/>
    </w:pPr>
    <w:rPr>
      <w:rFonts w:ascii="Calibri" w:hAnsi="Calibri" w:cs="Times New Roman"/>
    </w:rPr>
  </w:style>
  <w:style w:type="paragraph" w:styleId="NoSpacing">
    <w:name w:val="No Spacing"/>
    <w:uiPriority w:val="1"/>
    <w:qFormat/>
    <w:rsid w:val="00444B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14523">
      <w:bodyDiv w:val="1"/>
      <w:marLeft w:val="0"/>
      <w:marRight w:val="0"/>
      <w:marTop w:val="0"/>
      <w:marBottom w:val="0"/>
      <w:divBdr>
        <w:top w:val="none" w:sz="0" w:space="0" w:color="auto"/>
        <w:left w:val="none" w:sz="0" w:space="0" w:color="auto"/>
        <w:bottom w:val="none" w:sz="0" w:space="0" w:color="auto"/>
        <w:right w:val="none" w:sz="0" w:space="0" w:color="auto"/>
      </w:divBdr>
    </w:div>
    <w:div w:id="231935161">
      <w:bodyDiv w:val="1"/>
      <w:marLeft w:val="0"/>
      <w:marRight w:val="0"/>
      <w:marTop w:val="0"/>
      <w:marBottom w:val="0"/>
      <w:divBdr>
        <w:top w:val="none" w:sz="0" w:space="0" w:color="auto"/>
        <w:left w:val="none" w:sz="0" w:space="0" w:color="auto"/>
        <w:bottom w:val="none" w:sz="0" w:space="0" w:color="auto"/>
        <w:right w:val="none" w:sz="0" w:space="0" w:color="auto"/>
      </w:divBdr>
    </w:div>
    <w:div w:id="452094911">
      <w:bodyDiv w:val="1"/>
      <w:marLeft w:val="0"/>
      <w:marRight w:val="0"/>
      <w:marTop w:val="0"/>
      <w:marBottom w:val="0"/>
      <w:divBdr>
        <w:top w:val="none" w:sz="0" w:space="0" w:color="auto"/>
        <w:left w:val="none" w:sz="0" w:space="0" w:color="auto"/>
        <w:bottom w:val="none" w:sz="0" w:space="0" w:color="auto"/>
        <w:right w:val="none" w:sz="0" w:space="0" w:color="auto"/>
      </w:divBdr>
    </w:div>
    <w:div w:id="525407467">
      <w:bodyDiv w:val="1"/>
      <w:marLeft w:val="0"/>
      <w:marRight w:val="0"/>
      <w:marTop w:val="0"/>
      <w:marBottom w:val="0"/>
      <w:divBdr>
        <w:top w:val="none" w:sz="0" w:space="0" w:color="auto"/>
        <w:left w:val="none" w:sz="0" w:space="0" w:color="auto"/>
        <w:bottom w:val="none" w:sz="0" w:space="0" w:color="auto"/>
        <w:right w:val="none" w:sz="0" w:space="0" w:color="auto"/>
      </w:divBdr>
    </w:div>
    <w:div w:id="639195173">
      <w:bodyDiv w:val="1"/>
      <w:marLeft w:val="0"/>
      <w:marRight w:val="0"/>
      <w:marTop w:val="0"/>
      <w:marBottom w:val="0"/>
      <w:divBdr>
        <w:top w:val="none" w:sz="0" w:space="0" w:color="auto"/>
        <w:left w:val="none" w:sz="0" w:space="0" w:color="auto"/>
        <w:bottom w:val="none" w:sz="0" w:space="0" w:color="auto"/>
        <w:right w:val="none" w:sz="0" w:space="0" w:color="auto"/>
      </w:divBdr>
    </w:div>
    <w:div w:id="747120489">
      <w:bodyDiv w:val="1"/>
      <w:marLeft w:val="0"/>
      <w:marRight w:val="0"/>
      <w:marTop w:val="0"/>
      <w:marBottom w:val="0"/>
      <w:divBdr>
        <w:top w:val="none" w:sz="0" w:space="0" w:color="auto"/>
        <w:left w:val="none" w:sz="0" w:space="0" w:color="auto"/>
        <w:bottom w:val="none" w:sz="0" w:space="0" w:color="auto"/>
        <w:right w:val="none" w:sz="0" w:space="0" w:color="auto"/>
      </w:divBdr>
    </w:div>
    <w:div w:id="941181371">
      <w:bodyDiv w:val="1"/>
      <w:marLeft w:val="0"/>
      <w:marRight w:val="0"/>
      <w:marTop w:val="0"/>
      <w:marBottom w:val="0"/>
      <w:divBdr>
        <w:top w:val="none" w:sz="0" w:space="0" w:color="auto"/>
        <w:left w:val="none" w:sz="0" w:space="0" w:color="auto"/>
        <w:bottom w:val="none" w:sz="0" w:space="0" w:color="auto"/>
        <w:right w:val="none" w:sz="0" w:space="0" w:color="auto"/>
      </w:divBdr>
    </w:div>
    <w:div w:id="1014839392">
      <w:bodyDiv w:val="1"/>
      <w:marLeft w:val="0"/>
      <w:marRight w:val="0"/>
      <w:marTop w:val="0"/>
      <w:marBottom w:val="0"/>
      <w:divBdr>
        <w:top w:val="none" w:sz="0" w:space="0" w:color="auto"/>
        <w:left w:val="none" w:sz="0" w:space="0" w:color="auto"/>
        <w:bottom w:val="none" w:sz="0" w:space="0" w:color="auto"/>
        <w:right w:val="none" w:sz="0" w:space="0" w:color="auto"/>
      </w:divBdr>
    </w:div>
    <w:div w:id="1018774899">
      <w:bodyDiv w:val="1"/>
      <w:marLeft w:val="0"/>
      <w:marRight w:val="0"/>
      <w:marTop w:val="0"/>
      <w:marBottom w:val="0"/>
      <w:divBdr>
        <w:top w:val="none" w:sz="0" w:space="0" w:color="auto"/>
        <w:left w:val="none" w:sz="0" w:space="0" w:color="auto"/>
        <w:bottom w:val="none" w:sz="0" w:space="0" w:color="auto"/>
        <w:right w:val="none" w:sz="0" w:space="0" w:color="auto"/>
      </w:divBdr>
    </w:div>
    <w:div w:id="1020164733">
      <w:bodyDiv w:val="1"/>
      <w:marLeft w:val="0"/>
      <w:marRight w:val="0"/>
      <w:marTop w:val="0"/>
      <w:marBottom w:val="0"/>
      <w:divBdr>
        <w:top w:val="none" w:sz="0" w:space="0" w:color="auto"/>
        <w:left w:val="none" w:sz="0" w:space="0" w:color="auto"/>
        <w:bottom w:val="none" w:sz="0" w:space="0" w:color="auto"/>
        <w:right w:val="none" w:sz="0" w:space="0" w:color="auto"/>
      </w:divBdr>
    </w:div>
    <w:div w:id="1044594352">
      <w:bodyDiv w:val="1"/>
      <w:marLeft w:val="0"/>
      <w:marRight w:val="0"/>
      <w:marTop w:val="0"/>
      <w:marBottom w:val="0"/>
      <w:divBdr>
        <w:top w:val="none" w:sz="0" w:space="0" w:color="auto"/>
        <w:left w:val="none" w:sz="0" w:space="0" w:color="auto"/>
        <w:bottom w:val="none" w:sz="0" w:space="0" w:color="auto"/>
        <w:right w:val="none" w:sz="0" w:space="0" w:color="auto"/>
      </w:divBdr>
    </w:div>
    <w:div w:id="1283927879">
      <w:bodyDiv w:val="1"/>
      <w:marLeft w:val="0"/>
      <w:marRight w:val="0"/>
      <w:marTop w:val="0"/>
      <w:marBottom w:val="0"/>
      <w:divBdr>
        <w:top w:val="none" w:sz="0" w:space="0" w:color="auto"/>
        <w:left w:val="none" w:sz="0" w:space="0" w:color="auto"/>
        <w:bottom w:val="none" w:sz="0" w:space="0" w:color="auto"/>
        <w:right w:val="none" w:sz="0" w:space="0" w:color="auto"/>
      </w:divBdr>
    </w:div>
    <w:div w:id="1371875087">
      <w:bodyDiv w:val="1"/>
      <w:marLeft w:val="0"/>
      <w:marRight w:val="0"/>
      <w:marTop w:val="0"/>
      <w:marBottom w:val="0"/>
      <w:divBdr>
        <w:top w:val="none" w:sz="0" w:space="0" w:color="auto"/>
        <w:left w:val="none" w:sz="0" w:space="0" w:color="auto"/>
        <w:bottom w:val="none" w:sz="0" w:space="0" w:color="auto"/>
        <w:right w:val="none" w:sz="0" w:space="0" w:color="auto"/>
      </w:divBdr>
    </w:div>
    <w:div w:id="1453667909">
      <w:bodyDiv w:val="1"/>
      <w:marLeft w:val="0"/>
      <w:marRight w:val="0"/>
      <w:marTop w:val="0"/>
      <w:marBottom w:val="0"/>
      <w:divBdr>
        <w:top w:val="none" w:sz="0" w:space="0" w:color="auto"/>
        <w:left w:val="none" w:sz="0" w:space="0" w:color="auto"/>
        <w:bottom w:val="none" w:sz="0" w:space="0" w:color="auto"/>
        <w:right w:val="none" w:sz="0" w:space="0" w:color="auto"/>
      </w:divBdr>
    </w:div>
    <w:div w:id="20617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7B11A-850A-4FDD-A13C-46A7E817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64FA3603</Template>
  <TotalTime>13</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 Maqbool</dc:creator>
  <cp:lastModifiedBy>Sima Maqbool</cp:lastModifiedBy>
  <cp:revision>6</cp:revision>
  <cp:lastPrinted>2018-11-14T15:52:00Z</cp:lastPrinted>
  <dcterms:created xsi:type="dcterms:W3CDTF">2018-11-21T14:50:00Z</dcterms:created>
  <dcterms:modified xsi:type="dcterms:W3CDTF">2018-11-21T15:03:00Z</dcterms:modified>
</cp:coreProperties>
</file>