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15225C" w14:textId="2395D70B" w:rsidR="00E346DA" w:rsidRDefault="00637913" w:rsidP="004A59CA">
      <w:pPr>
        <w:jc w:val="center"/>
        <w:rPr>
          <w:b/>
          <w:sz w:val="32"/>
        </w:rPr>
      </w:pPr>
      <w:r>
        <w:rPr>
          <w:noProof/>
          <w:lang w:eastAsia="en-GB"/>
        </w:rPr>
        <w:drawing>
          <wp:anchor distT="0" distB="0" distL="114300" distR="114300" simplePos="0" relativeHeight="251658240" behindDoc="1" locked="0" layoutInCell="1" allowOverlap="1" wp14:anchorId="72B8CF2C" wp14:editId="428CF5A9">
            <wp:simplePos x="0" y="0"/>
            <wp:positionH relativeFrom="column">
              <wp:posOffset>-923544</wp:posOffset>
            </wp:positionH>
            <wp:positionV relativeFrom="paragraph">
              <wp:posOffset>-914400</wp:posOffset>
            </wp:positionV>
            <wp:extent cx="7360920" cy="10506456"/>
            <wp:effectExtent l="0" t="0" r="0" b="0"/>
            <wp:wrapNone/>
            <wp:docPr id="1" name="Picture 2" descr="UHB-Letter-heads.png"/>
            <wp:cNvGraphicFramePr/>
            <a:graphic xmlns:a="http://schemas.openxmlformats.org/drawingml/2006/main">
              <a:graphicData uri="http://schemas.openxmlformats.org/drawingml/2006/picture">
                <pic:pic xmlns:pic="http://schemas.openxmlformats.org/drawingml/2006/picture">
                  <pic:nvPicPr>
                    <pic:cNvPr id="1" name="Picture 2" descr="UHB-Letter-heads.png"/>
                    <pic:cNvPicPr/>
                  </pic:nvPicPr>
                  <pic:blipFill>
                    <a:blip r:embed="rId9" cstate="print">
                      <a:extLst>
                        <a:ext uri="{28A0092B-C50C-407E-A947-70E740481C1C}">
                          <a14:useLocalDpi xmlns:a14="http://schemas.microsoft.com/office/drawing/2010/main" val="0"/>
                        </a:ext>
                      </a:extLst>
                    </a:blip>
                    <a:srcRect b="4853"/>
                    <a:stretch>
                      <a:fillRect/>
                    </a:stretch>
                  </pic:blipFill>
                  <pic:spPr bwMode="auto">
                    <a:xfrm>
                      <a:off x="0" y="0"/>
                      <a:ext cx="7364779" cy="105119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6D3D459" w14:textId="57EECBA2" w:rsidR="00E346DA" w:rsidRDefault="00E346DA" w:rsidP="004A59CA">
      <w:pPr>
        <w:jc w:val="center"/>
        <w:rPr>
          <w:b/>
          <w:sz w:val="36"/>
        </w:rPr>
      </w:pPr>
    </w:p>
    <w:p w14:paraId="67864B9F" w14:textId="77777777" w:rsidR="00E346DA" w:rsidRDefault="00E346DA" w:rsidP="004A59CA">
      <w:pPr>
        <w:jc w:val="center"/>
        <w:rPr>
          <w:b/>
          <w:sz w:val="36"/>
        </w:rPr>
      </w:pPr>
    </w:p>
    <w:p w14:paraId="2610052E" w14:textId="77777777" w:rsidR="00E346DA" w:rsidRDefault="00E346DA" w:rsidP="004A59CA">
      <w:pPr>
        <w:jc w:val="center"/>
        <w:rPr>
          <w:b/>
          <w:sz w:val="36"/>
        </w:rPr>
      </w:pPr>
    </w:p>
    <w:p w14:paraId="4FA37733" w14:textId="77777777" w:rsidR="00E346DA" w:rsidRDefault="00E346DA" w:rsidP="004A59CA">
      <w:pPr>
        <w:jc w:val="center"/>
        <w:rPr>
          <w:b/>
          <w:sz w:val="36"/>
        </w:rPr>
      </w:pPr>
    </w:p>
    <w:p w14:paraId="4D20AFED" w14:textId="77777777" w:rsidR="00E346DA" w:rsidRPr="00E346DA" w:rsidRDefault="00E346DA" w:rsidP="004A59CA">
      <w:pPr>
        <w:jc w:val="center"/>
        <w:rPr>
          <w:b/>
          <w:sz w:val="36"/>
        </w:rPr>
      </w:pPr>
    </w:p>
    <w:p w14:paraId="69DA5F74" w14:textId="77777777" w:rsidR="00E346DA" w:rsidRPr="001878D7" w:rsidRDefault="00E346DA" w:rsidP="004A59CA">
      <w:pPr>
        <w:jc w:val="center"/>
        <w:rPr>
          <w:rFonts w:ascii="Arial" w:hAnsi="Arial" w:cs="Arial"/>
          <w:b/>
          <w:sz w:val="36"/>
        </w:rPr>
      </w:pPr>
    </w:p>
    <w:p w14:paraId="798CD0F6" w14:textId="77777777" w:rsidR="00E346DA" w:rsidRPr="001878D7" w:rsidRDefault="00E346DA" w:rsidP="004A59CA">
      <w:pPr>
        <w:jc w:val="center"/>
        <w:rPr>
          <w:rFonts w:ascii="Arial" w:hAnsi="Arial" w:cs="Arial"/>
          <w:b/>
          <w:sz w:val="36"/>
        </w:rPr>
      </w:pPr>
      <w:r w:rsidRPr="001878D7">
        <w:rPr>
          <w:rFonts w:ascii="Arial" w:hAnsi="Arial" w:cs="Arial"/>
          <w:b/>
          <w:sz w:val="36"/>
        </w:rPr>
        <w:t>Service Specification for the Delivery of an Ophthalmology Outpatient Glaucoma Service</w:t>
      </w:r>
    </w:p>
    <w:p w14:paraId="2A3955D2" w14:textId="16A3DFF7" w:rsidR="00E346DA" w:rsidRPr="001878D7" w:rsidRDefault="0012649C" w:rsidP="004A59CA">
      <w:pPr>
        <w:jc w:val="center"/>
        <w:rPr>
          <w:rFonts w:ascii="Arial" w:hAnsi="Arial" w:cs="Arial"/>
          <w:b/>
          <w:sz w:val="36"/>
        </w:rPr>
      </w:pPr>
      <w:r>
        <w:rPr>
          <w:rFonts w:ascii="Arial" w:hAnsi="Arial" w:cs="Arial"/>
          <w:b/>
          <w:sz w:val="36"/>
        </w:rPr>
        <w:t>DRAFT</w:t>
      </w:r>
      <w:r w:rsidR="0073643D">
        <w:rPr>
          <w:rFonts w:ascii="Arial" w:hAnsi="Arial" w:cs="Arial"/>
          <w:b/>
          <w:sz w:val="36"/>
        </w:rPr>
        <w:t xml:space="preserve"> for Information</w:t>
      </w:r>
    </w:p>
    <w:p w14:paraId="749E14DB" w14:textId="6DA41C8A" w:rsidR="00E346DA" w:rsidRDefault="00BF65D4" w:rsidP="004A59CA">
      <w:pPr>
        <w:jc w:val="center"/>
        <w:rPr>
          <w:rFonts w:ascii="Arial" w:hAnsi="Arial" w:cs="Arial"/>
          <w:sz w:val="36"/>
        </w:rPr>
      </w:pPr>
      <w:r>
        <w:rPr>
          <w:rFonts w:ascii="Arial" w:hAnsi="Arial" w:cs="Arial"/>
          <w:sz w:val="36"/>
        </w:rPr>
        <w:t xml:space="preserve">October </w:t>
      </w:r>
      <w:r w:rsidR="00E346DA" w:rsidRPr="001878D7">
        <w:rPr>
          <w:rFonts w:ascii="Arial" w:hAnsi="Arial" w:cs="Arial"/>
          <w:sz w:val="36"/>
        </w:rPr>
        <w:t>2017</w:t>
      </w:r>
    </w:p>
    <w:p w14:paraId="163CB754" w14:textId="77777777" w:rsidR="00BB2DA5" w:rsidRDefault="00BB2DA5" w:rsidP="004A59CA">
      <w:pPr>
        <w:jc w:val="center"/>
        <w:rPr>
          <w:rFonts w:ascii="Arial" w:hAnsi="Arial" w:cs="Arial"/>
          <w:sz w:val="36"/>
        </w:rPr>
      </w:pPr>
    </w:p>
    <w:p w14:paraId="3251D0FB" w14:textId="08B8A502" w:rsidR="00BB2DA5" w:rsidRPr="001878D7" w:rsidRDefault="00BB2DA5" w:rsidP="00BB2DA5">
      <w:pPr>
        <w:rPr>
          <w:rFonts w:ascii="Arial" w:hAnsi="Arial" w:cs="Arial"/>
          <w:sz w:val="36"/>
        </w:rPr>
      </w:pPr>
      <w:r>
        <w:rPr>
          <w:b/>
          <w:sz w:val="24"/>
          <w:szCs w:val="24"/>
          <w:highlight w:val="yellow"/>
        </w:rPr>
        <w:t>PLEASE NOTE THAT ALL SECTIONS HIGHLIGTHED IN YELLOW WITHIN THIS DOCUMENT ARE STILL BEING FINALISED AND WILL FORM PART OF THE FINAL ITT DOCUMENTATION</w:t>
      </w:r>
    </w:p>
    <w:p w14:paraId="6F92FEE8" w14:textId="77777777" w:rsidR="00C50B7E" w:rsidRDefault="00C50B7E" w:rsidP="004A59CA">
      <w:pPr>
        <w:jc w:val="center"/>
        <w:rPr>
          <w:sz w:val="36"/>
        </w:rPr>
      </w:pPr>
    </w:p>
    <w:p w14:paraId="31003125" w14:textId="77777777" w:rsidR="00E6303D" w:rsidRDefault="00E6303D" w:rsidP="00CE676E">
      <w:pPr>
        <w:jc w:val="both"/>
        <w:rPr>
          <w:b/>
          <w:sz w:val="32"/>
        </w:rPr>
      </w:pPr>
    </w:p>
    <w:p w14:paraId="6F6A264A" w14:textId="77777777" w:rsidR="00E6303D" w:rsidRDefault="00E6303D" w:rsidP="00CE676E">
      <w:pPr>
        <w:jc w:val="both"/>
        <w:rPr>
          <w:b/>
          <w:sz w:val="32"/>
        </w:rPr>
      </w:pPr>
    </w:p>
    <w:p w14:paraId="564BDA85" w14:textId="635B3927" w:rsidR="00E6303D" w:rsidRDefault="00E6303D" w:rsidP="00CE676E">
      <w:pPr>
        <w:jc w:val="both"/>
        <w:rPr>
          <w:b/>
          <w:sz w:val="32"/>
        </w:rPr>
      </w:pPr>
    </w:p>
    <w:p w14:paraId="370B010D" w14:textId="77777777" w:rsidR="00E6303D" w:rsidRDefault="00E6303D" w:rsidP="00CE676E">
      <w:pPr>
        <w:jc w:val="both"/>
        <w:rPr>
          <w:b/>
          <w:sz w:val="32"/>
        </w:rPr>
      </w:pPr>
    </w:p>
    <w:p w14:paraId="3C34164E" w14:textId="77777777" w:rsidR="00E6303D" w:rsidRDefault="00E6303D" w:rsidP="00CE676E">
      <w:pPr>
        <w:jc w:val="both"/>
        <w:rPr>
          <w:b/>
          <w:sz w:val="32"/>
        </w:rPr>
      </w:pPr>
    </w:p>
    <w:p w14:paraId="35488C39" w14:textId="77777777" w:rsidR="00E6303D" w:rsidRDefault="00E6303D" w:rsidP="00CE676E">
      <w:pPr>
        <w:jc w:val="both"/>
        <w:rPr>
          <w:b/>
          <w:sz w:val="32"/>
        </w:rPr>
      </w:pPr>
    </w:p>
    <w:p w14:paraId="3B383109" w14:textId="5B95F655" w:rsidR="00E6303D" w:rsidRDefault="00E6303D" w:rsidP="00CE676E">
      <w:pPr>
        <w:jc w:val="both"/>
        <w:rPr>
          <w:b/>
          <w:sz w:val="32"/>
        </w:rPr>
      </w:pPr>
    </w:p>
    <w:p w14:paraId="394A6624" w14:textId="77777777" w:rsidR="00637913" w:rsidRDefault="00637913" w:rsidP="00CE676E">
      <w:pPr>
        <w:jc w:val="both"/>
        <w:rPr>
          <w:b/>
          <w:sz w:val="32"/>
        </w:rPr>
      </w:pPr>
    </w:p>
    <w:p w14:paraId="5192AE21" w14:textId="1A5C7771" w:rsidR="004614FE" w:rsidRDefault="004614FE" w:rsidP="00CE676E">
      <w:pPr>
        <w:jc w:val="both"/>
        <w:rPr>
          <w:b/>
          <w:sz w:val="32"/>
        </w:rPr>
      </w:pPr>
    </w:p>
    <w:p w14:paraId="077C28D5" w14:textId="77777777" w:rsidR="00C67906" w:rsidRDefault="003723F0">
      <w:pPr>
        <w:pStyle w:val="TOC1"/>
        <w:tabs>
          <w:tab w:val="left" w:pos="440"/>
          <w:tab w:val="right" w:leader="dot" w:pos="9016"/>
        </w:tabs>
        <w:rPr>
          <w:rFonts w:eastAsiaTheme="minorEastAsia"/>
          <w:b w:val="0"/>
          <w:noProof/>
          <w:sz w:val="22"/>
          <w:szCs w:val="22"/>
          <w:lang w:eastAsia="en-GB"/>
        </w:rPr>
      </w:pPr>
      <w:r w:rsidRPr="00BF7A6D">
        <w:rPr>
          <w:rFonts w:ascii="Arial" w:hAnsi="Arial" w:cs="Arial"/>
          <w:b w:val="0"/>
          <w:sz w:val="22"/>
          <w:szCs w:val="22"/>
        </w:rPr>
        <w:fldChar w:fldCharType="begin"/>
      </w:r>
      <w:r w:rsidRPr="00BF7A6D">
        <w:rPr>
          <w:rFonts w:ascii="Arial" w:hAnsi="Arial" w:cs="Arial"/>
          <w:b w:val="0"/>
          <w:sz w:val="22"/>
          <w:szCs w:val="22"/>
        </w:rPr>
        <w:instrText xml:space="preserve"> TOC \o "1-3" </w:instrText>
      </w:r>
      <w:r w:rsidRPr="00BF7A6D">
        <w:rPr>
          <w:rFonts w:ascii="Arial" w:hAnsi="Arial" w:cs="Arial"/>
          <w:b w:val="0"/>
          <w:sz w:val="22"/>
          <w:szCs w:val="22"/>
        </w:rPr>
        <w:fldChar w:fldCharType="separate"/>
      </w:r>
      <w:r w:rsidR="00C67906">
        <w:rPr>
          <w:noProof/>
        </w:rPr>
        <w:t>1.</w:t>
      </w:r>
      <w:r w:rsidR="00C67906">
        <w:rPr>
          <w:rFonts w:eastAsiaTheme="minorEastAsia"/>
          <w:b w:val="0"/>
          <w:noProof/>
          <w:sz w:val="22"/>
          <w:szCs w:val="22"/>
          <w:lang w:eastAsia="en-GB"/>
        </w:rPr>
        <w:tab/>
      </w:r>
      <w:r w:rsidR="00C67906">
        <w:rPr>
          <w:noProof/>
        </w:rPr>
        <w:t>Introduction &amp; Purpose</w:t>
      </w:r>
      <w:r w:rsidR="00C67906">
        <w:rPr>
          <w:noProof/>
        </w:rPr>
        <w:tab/>
      </w:r>
      <w:r w:rsidR="00C67906">
        <w:rPr>
          <w:noProof/>
        </w:rPr>
        <w:fldChar w:fldCharType="begin"/>
      </w:r>
      <w:r w:rsidR="00C67906">
        <w:rPr>
          <w:noProof/>
        </w:rPr>
        <w:instrText xml:space="preserve"> PAGEREF _Toc492544862 \h </w:instrText>
      </w:r>
      <w:r w:rsidR="00C67906">
        <w:rPr>
          <w:noProof/>
        </w:rPr>
      </w:r>
      <w:r w:rsidR="00C67906">
        <w:rPr>
          <w:noProof/>
        </w:rPr>
        <w:fldChar w:fldCharType="separate"/>
      </w:r>
      <w:r w:rsidR="00097FBE">
        <w:rPr>
          <w:noProof/>
        </w:rPr>
        <w:t>3</w:t>
      </w:r>
      <w:r w:rsidR="00C67906">
        <w:rPr>
          <w:noProof/>
        </w:rPr>
        <w:fldChar w:fldCharType="end"/>
      </w:r>
    </w:p>
    <w:p w14:paraId="4137291A"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2.</w:t>
      </w:r>
      <w:r>
        <w:rPr>
          <w:rFonts w:eastAsiaTheme="minorEastAsia"/>
          <w:b w:val="0"/>
          <w:noProof/>
          <w:sz w:val="22"/>
          <w:szCs w:val="22"/>
          <w:lang w:eastAsia="en-GB"/>
        </w:rPr>
        <w:tab/>
      </w:r>
      <w:r>
        <w:rPr>
          <w:noProof/>
        </w:rPr>
        <w:t>Scope</w:t>
      </w:r>
      <w:r>
        <w:rPr>
          <w:noProof/>
        </w:rPr>
        <w:tab/>
      </w:r>
      <w:r>
        <w:rPr>
          <w:noProof/>
        </w:rPr>
        <w:fldChar w:fldCharType="begin"/>
      </w:r>
      <w:r>
        <w:rPr>
          <w:noProof/>
        </w:rPr>
        <w:instrText xml:space="preserve"> PAGEREF _Toc492544863 \h </w:instrText>
      </w:r>
      <w:r>
        <w:rPr>
          <w:noProof/>
        </w:rPr>
      </w:r>
      <w:r>
        <w:rPr>
          <w:noProof/>
        </w:rPr>
        <w:fldChar w:fldCharType="separate"/>
      </w:r>
      <w:r w:rsidR="00097FBE">
        <w:rPr>
          <w:noProof/>
        </w:rPr>
        <w:t>3</w:t>
      </w:r>
      <w:r>
        <w:rPr>
          <w:noProof/>
        </w:rPr>
        <w:fldChar w:fldCharType="end"/>
      </w:r>
    </w:p>
    <w:p w14:paraId="7C30AD59" w14:textId="77777777" w:rsidR="00C67906" w:rsidRDefault="00C67906">
      <w:pPr>
        <w:pStyle w:val="TOC2"/>
        <w:tabs>
          <w:tab w:val="left" w:pos="880"/>
          <w:tab w:val="right" w:leader="dot" w:pos="9016"/>
        </w:tabs>
        <w:rPr>
          <w:rFonts w:eastAsiaTheme="minorEastAsia"/>
          <w:b w:val="0"/>
          <w:noProof/>
          <w:lang w:eastAsia="en-GB"/>
        </w:rPr>
      </w:pPr>
      <w:r>
        <w:rPr>
          <w:noProof/>
        </w:rPr>
        <w:t xml:space="preserve">2.1 </w:t>
      </w:r>
      <w:r>
        <w:rPr>
          <w:rFonts w:eastAsiaTheme="minorEastAsia"/>
          <w:b w:val="0"/>
          <w:noProof/>
          <w:lang w:eastAsia="en-GB"/>
        </w:rPr>
        <w:tab/>
      </w:r>
      <w:r>
        <w:rPr>
          <w:noProof/>
        </w:rPr>
        <w:t>Aims and Objectives of Service</w:t>
      </w:r>
      <w:r>
        <w:rPr>
          <w:noProof/>
        </w:rPr>
        <w:tab/>
      </w:r>
      <w:r>
        <w:rPr>
          <w:noProof/>
        </w:rPr>
        <w:fldChar w:fldCharType="begin"/>
      </w:r>
      <w:r>
        <w:rPr>
          <w:noProof/>
        </w:rPr>
        <w:instrText xml:space="preserve"> PAGEREF _Toc492544864 \h </w:instrText>
      </w:r>
      <w:r>
        <w:rPr>
          <w:noProof/>
        </w:rPr>
      </w:r>
      <w:r>
        <w:rPr>
          <w:noProof/>
        </w:rPr>
        <w:fldChar w:fldCharType="separate"/>
      </w:r>
      <w:r w:rsidR="00097FBE">
        <w:rPr>
          <w:noProof/>
        </w:rPr>
        <w:t>3</w:t>
      </w:r>
      <w:r>
        <w:rPr>
          <w:noProof/>
        </w:rPr>
        <w:fldChar w:fldCharType="end"/>
      </w:r>
    </w:p>
    <w:p w14:paraId="7277268A" w14:textId="77777777" w:rsidR="00C67906" w:rsidRDefault="00C67906">
      <w:pPr>
        <w:pStyle w:val="TOC2"/>
        <w:tabs>
          <w:tab w:val="left" w:pos="880"/>
          <w:tab w:val="right" w:leader="dot" w:pos="9016"/>
        </w:tabs>
        <w:rPr>
          <w:rFonts w:eastAsiaTheme="minorEastAsia"/>
          <w:b w:val="0"/>
          <w:noProof/>
          <w:lang w:eastAsia="en-GB"/>
        </w:rPr>
      </w:pPr>
      <w:r>
        <w:rPr>
          <w:noProof/>
        </w:rPr>
        <w:t xml:space="preserve">2.2 </w:t>
      </w:r>
      <w:r>
        <w:rPr>
          <w:rFonts w:eastAsiaTheme="minorEastAsia"/>
          <w:b w:val="0"/>
          <w:noProof/>
          <w:lang w:eastAsia="en-GB"/>
        </w:rPr>
        <w:tab/>
      </w:r>
      <w:r>
        <w:rPr>
          <w:noProof/>
        </w:rPr>
        <w:t>Service Description and Care Pathway</w:t>
      </w:r>
      <w:r>
        <w:rPr>
          <w:noProof/>
        </w:rPr>
        <w:tab/>
      </w:r>
      <w:r>
        <w:rPr>
          <w:noProof/>
        </w:rPr>
        <w:fldChar w:fldCharType="begin"/>
      </w:r>
      <w:r>
        <w:rPr>
          <w:noProof/>
        </w:rPr>
        <w:instrText xml:space="preserve"> PAGEREF _Toc492544865 \h </w:instrText>
      </w:r>
      <w:r>
        <w:rPr>
          <w:noProof/>
        </w:rPr>
      </w:r>
      <w:r>
        <w:rPr>
          <w:noProof/>
        </w:rPr>
        <w:fldChar w:fldCharType="separate"/>
      </w:r>
      <w:r w:rsidR="00097FBE">
        <w:rPr>
          <w:noProof/>
        </w:rPr>
        <w:t>4</w:t>
      </w:r>
      <w:r>
        <w:rPr>
          <w:noProof/>
        </w:rPr>
        <w:fldChar w:fldCharType="end"/>
      </w:r>
    </w:p>
    <w:p w14:paraId="600E7C09" w14:textId="77777777" w:rsidR="00C67906" w:rsidRDefault="00C67906">
      <w:pPr>
        <w:pStyle w:val="TOC3"/>
        <w:tabs>
          <w:tab w:val="left" w:pos="1320"/>
          <w:tab w:val="right" w:leader="dot" w:pos="9016"/>
        </w:tabs>
        <w:rPr>
          <w:rFonts w:eastAsiaTheme="minorEastAsia"/>
          <w:noProof/>
          <w:lang w:eastAsia="en-GB"/>
        </w:rPr>
      </w:pPr>
      <w:r>
        <w:rPr>
          <w:noProof/>
        </w:rPr>
        <w:t>2.2.1</w:t>
      </w:r>
      <w:r>
        <w:rPr>
          <w:rFonts w:eastAsiaTheme="minorEastAsia"/>
          <w:noProof/>
          <w:lang w:eastAsia="en-GB"/>
        </w:rPr>
        <w:tab/>
      </w:r>
      <w:r>
        <w:rPr>
          <w:noProof/>
        </w:rPr>
        <w:t>Stage 1: Referral</w:t>
      </w:r>
      <w:r>
        <w:rPr>
          <w:noProof/>
        </w:rPr>
        <w:tab/>
      </w:r>
      <w:r>
        <w:rPr>
          <w:noProof/>
        </w:rPr>
        <w:fldChar w:fldCharType="begin"/>
      </w:r>
      <w:r>
        <w:rPr>
          <w:noProof/>
        </w:rPr>
        <w:instrText xml:space="preserve"> PAGEREF _Toc492544866 \h </w:instrText>
      </w:r>
      <w:r>
        <w:rPr>
          <w:noProof/>
        </w:rPr>
      </w:r>
      <w:r>
        <w:rPr>
          <w:noProof/>
        </w:rPr>
        <w:fldChar w:fldCharType="separate"/>
      </w:r>
      <w:r w:rsidR="00097FBE">
        <w:rPr>
          <w:noProof/>
        </w:rPr>
        <w:t>4</w:t>
      </w:r>
      <w:r>
        <w:rPr>
          <w:noProof/>
        </w:rPr>
        <w:fldChar w:fldCharType="end"/>
      </w:r>
    </w:p>
    <w:p w14:paraId="26B94182" w14:textId="77777777" w:rsidR="00C67906" w:rsidRDefault="00C67906">
      <w:pPr>
        <w:pStyle w:val="TOC3"/>
        <w:tabs>
          <w:tab w:val="left" w:pos="1320"/>
          <w:tab w:val="right" w:leader="dot" w:pos="9016"/>
        </w:tabs>
        <w:rPr>
          <w:rFonts w:eastAsiaTheme="minorEastAsia"/>
          <w:noProof/>
          <w:lang w:eastAsia="en-GB"/>
        </w:rPr>
      </w:pPr>
      <w:r>
        <w:rPr>
          <w:noProof/>
        </w:rPr>
        <w:t>2.2.2</w:t>
      </w:r>
      <w:r>
        <w:rPr>
          <w:rFonts w:eastAsiaTheme="minorEastAsia"/>
          <w:noProof/>
          <w:lang w:eastAsia="en-GB"/>
        </w:rPr>
        <w:tab/>
      </w:r>
      <w:r>
        <w:rPr>
          <w:noProof/>
        </w:rPr>
        <w:t>Stage 2: Triage</w:t>
      </w:r>
      <w:r>
        <w:rPr>
          <w:noProof/>
        </w:rPr>
        <w:tab/>
      </w:r>
      <w:r>
        <w:rPr>
          <w:noProof/>
        </w:rPr>
        <w:fldChar w:fldCharType="begin"/>
      </w:r>
      <w:r>
        <w:rPr>
          <w:noProof/>
        </w:rPr>
        <w:instrText xml:space="preserve"> PAGEREF _Toc492544867 \h </w:instrText>
      </w:r>
      <w:r>
        <w:rPr>
          <w:noProof/>
        </w:rPr>
      </w:r>
      <w:r>
        <w:rPr>
          <w:noProof/>
        </w:rPr>
        <w:fldChar w:fldCharType="separate"/>
      </w:r>
      <w:r w:rsidR="00097FBE">
        <w:rPr>
          <w:noProof/>
        </w:rPr>
        <w:t>4</w:t>
      </w:r>
      <w:r>
        <w:rPr>
          <w:noProof/>
        </w:rPr>
        <w:fldChar w:fldCharType="end"/>
      </w:r>
    </w:p>
    <w:p w14:paraId="2C12E2B5" w14:textId="77777777" w:rsidR="00C67906" w:rsidRDefault="00C67906">
      <w:pPr>
        <w:pStyle w:val="TOC3"/>
        <w:tabs>
          <w:tab w:val="left" w:pos="1320"/>
          <w:tab w:val="right" w:leader="dot" w:pos="9016"/>
        </w:tabs>
        <w:rPr>
          <w:rFonts w:eastAsiaTheme="minorEastAsia"/>
          <w:noProof/>
          <w:lang w:eastAsia="en-GB"/>
        </w:rPr>
      </w:pPr>
      <w:r>
        <w:rPr>
          <w:noProof/>
        </w:rPr>
        <w:t>2.2.3</w:t>
      </w:r>
      <w:r>
        <w:rPr>
          <w:rFonts w:eastAsiaTheme="minorEastAsia"/>
          <w:noProof/>
          <w:lang w:eastAsia="en-GB"/>
        </w:rPr>
        <w:tab/>
      </w:r>
      <w:r>
        <w:rPr>
          <w:noProof/>
        </w:rPr>
        <w:t>Stage 3: Clinical Assessment</w:t>
      </w:r>
      <w:r>
        <w:rPr>
          <w:noProof/>
        </w:rPr>
        <w:tab/>
      </w:r>
      <w:r>
        <w:rPr>
          <w:noProof/>
        </w:rPr>
        <w:fldChar w:fldCharType="begin"/>
      </w:r>
      <w:r>
        <w:rPr>
          <w:noProof/>
        </w:rPr>
        <w:instrText xml:space="preserve"> PAGEREF _Toc492544868 \h </w:instrText>
      </w:r>
      <w:r>
        <w:rPr>
          <w:noProof/>
        </w:rPr>
      </w:r>
      <w:r>
        <w:rPr>
          <w:noProof/>
        </w:rPr>
        <w:fldChar w:fldCharType="separate"/>
      </w:r>
      <w:r w:rsidR="00097FBE">
        <w:rPr>
          <w:noProof/>
        </w:rPr>
        <w:t>5</w:t>
      </w:r>
      <w:r>
        <w:rPr>
          <w:noProof/>
        </w:rPr>
        <w:fldChar w:fldCharType="end"/>
      </w:r>
    </w:p>
    <w:p w14:paraId="6B90025B" w14:textId="77777777" w:rsidR="00C67906" w:rsidRDefault="00C67906">
      <w:pPr>
        <w:pStyle w:val="TOC3"/>
        <w:tabs>
          <w:tab w:val="left" w:pos="1320"/>
          <w:tab w:val="right" w:leader="dot" w:pos="9016"/>
        </w:tabs>
        <w:rPr>
          <w:rFonts w:eastAsiaTheme="minorEastAsia"/>
          <w:noProof/>
          <w:lang w:eastAsia="en-GB"/>
        </w:rPr>
      </w:pPr>
      <w:r>
        <w:rPr>
          <w:noProof/>
        </w:rPr>
        <w:t>2.2.4</w:t>
      </w:r>
      <w:r>
        <w:rPr>
          <w:rFonts w:eastAsiaTheme="minorEastAsia"/>
          <w:noProof/>
          <w:lang w:eastAsia="en-GB"/>
        </w:rPr>
        <w:tab/>
      </w:r>
      <w:r>
        <w:rPr>
          <w:noProof/>
        </w:rPr>
        <w:t>Stage 4: Diagnostics</w:t>
      </w:r>
      <w:r>
        <w:rPr>
          <w:noProof/>
        </w:rPr>
        <w:tab/>
      </w:r>
      <w:r>
        <w:rPr>
          <w:noProof/>
        </w:rPr>
        <w:fldChar w:fldCharType="begin"/>
      </w:r>
      <w:r>
        <w:rPr>
          <w:noProof/>
        </w:rPr>
        <w:instrText xml:space="preserve"> PAGEREF _Toc492544869 \h </w:instrText>
      </w:r>
      <w:r>
        <w:rPr>
          <w:noProof/>
        </w:rPr>
      </w:r>
      <w:r>
        <w:rPr>
          <w:noProof/>
        </w:rPr>
        <w:fldChar w:fldCharType="separate"/>
      </w:r>
      <w:r w:rsidR="00097FBE">
        <w:rPr>
          <w:noProof/>
        </w:rPr>
        <w:t>6</w:t>
      </w:r>
      <w:r>
        <w:rPr>
          <w:noProof/>
        </w:rPr>
        <w:fldChar w:fldCharType="end"/>
      </w:r>
    </w:p>
    <w:p w14:paraId="0EB75DA4" w14:textId="77777777" w:rsidR="00C67906" w:rsidRDefault="00C67906">
      <w:pPr>
        <w:pStyle w:val="TOC3"/>
        <w:tabs>
          <w:tab w:val="left" w:pos="1320"/>
          <w:tab w:val="right" w:leader="dot" w:pos="9016"/>
        </w:tabs>
        <w:rPr>
          <w:rFonts w:eastAsiaTheme="minorEastAsia"/>
          <w:noProof/>
          <w:lang w:eastAsia="en-GB"/>
        </w:rPr>
      </w:pPr>
      <w:r>
        <w:rPr>
          <w:noProof/>
        </w:rPr>
        <w:t>2.2.5</w:t>
      </w:r>
      <w:r>
        <w:rPr>
          <w:rFonts w:eastAsiaTheme="minorEastAsia"/>
          <w:noProof/>
          <w:lang w:eastAsia="en-GB"/>
        </w:rPr>
        <w:tab/>
      </w:r>
      <w:r>
        <w:rPr>
          <w:noProof/>
        </w:rPr>
        <w:t>Stage 5: Treatment</w:t>
      </w:r>
      <w:r>
        <w:rPr>
          <w:noProof/>
        </w:rPr>
        <w:tab/>
      </w:r>
      <w:r>
        <w:rPr>
          <w:noProof/>
        </w:rPr>
        <w:fldChar w:fldCharType="begin"/>
      </w:r>
      <w:r>
        <w:rPr>
          <w:noProof/>
        </w:rPr>
        <w:instrText xml:space="preserve"> PAGEREF _Toc492544870 \h </w:instrText>
      </w:r>
      <w:r>
        <w:rPr>
          <w:noProof/>
        </w:rPr>
      </w:r>
      <w:r>
        <w:rPr>
          <w:noProof/>
        </w:rPr>
        <w:fldChar w:fldCharType="separate"/>
      </w:r>
      <w:r w:rsidR="00097FBE">
        <w:rPr>
          <w:noProof/>
        </w:rPr>
        <w:t>7</w:t>
      </w:r>
      <w:r>
        <w:rPr>
          <w:noProof/>
        </w:rPr>
        <w:fldChar w:fldCharType="end"/>
      </w:r>
    </w:p>
    <w:p w14:paraId="2B90045E" w14:textId="77777777" w:rsidR="00C67906" w:rsidRDefault="00C67906">
      <w:pPr>
        <w:pStyle w:val="TOC3"/>
        <w:tabs>
          <w:tab w:val="left" w:pos="1320"/>
          <w:tab w:val="right" w:leader="dot" w:pos="9016"/>
        </w:tabs>
        <w:rPr>
          <w:rFonts w:eastAsiaTheme="minorEastAsia"/>
          <w:noProof/>
          <w:lang w:eastAsia="en-GB"/>
        </w:rPr>
      </w:pPr>
      <w:r>
        <w:rPr>
          <w:noProof/>
        </w:rPr>
        <w:t>2.2.6</w:t>
      </w:r>
      <w:r>
        <w:rPr>
          <w:rFonts w:eastAsiaTheme="minorEastAsia"/>
          <w:noProof/>
          <w:lang w:eastAsia="en-GB"/>
        </w:rPr>
        <w:tab/>
      </w:r>
      <w:r>
        <w:rPr>
          <w:noProof/>
        </w:rPr>
        <w:t>Stage 6: Onward Referral</w:t>
      </w:r>
      <w:r>
        <w:rPr>
          <w:noProof/>
        </w:rPr>
        <w:tab/>
      </w:r>
      <w:r>
        <w:rPr>
          <w:noProof/>
        </w:rPr>
        <w:fldChar w:fldCharType="begin"/>
      </w:r>
      <w:r>
        <w:rPr>
          <w:noProof/>
        </w:rPr>
        <w:instrText xml:space="preserve"> PAGEREF _Toc492544871 \h </w:instrText>
      </w:r>
      <w:r>
        <w:rPr>
          <w:noProof/>
        </w:rPr>
      </w:r>
      <w:r>
        <w:rPr>
          <w:noProof/>
        </w:rPr>
        <w:fldChar w:fldCharType="separate"/>
      </w:r>
      <w:r w:rsidR="00097FBE">
        <w:rPr>
          <w:noProof/>
        </w:rPr>
        <w:t>7</w:t>
      </w:r>
      <w:r>
        <w:rPr>
          <w:noProof/>
        </w:rPr>
        <w:fldChar w:fldCharType="end"/>
      </w:r>
    </w:p>
    <w:p w14:paraId="4F044EEF" w14:textId="77777777" w:rsidR="00C67906" w:rsidRDefault="00C67906">
      <w:pPr>
        <w:pStyle w:val="TOC3"/>
        <w:tabs>
          <w:tab w:val="left" w:pos="1320"/>
          <w:tab w:val="right" w:leader="dot" w:pos="9016"/>
        </w:tabs>
        <w:rPr>
          <w:rFonts w:eastAsiaTheme="minorEastAsia"/>
          <w:noProof/>
          <w:lang w:eastAsia="en-GB"/>
        </w:rPr>
      </w:pPr>
      <w:r>
        <w:rPr>
          <w:noProof/>
        </w:rPr>
        <w:t>2.2.7</w:t>
      </w:r>
      <w:r>
        <w:rPr>
          <w:rFonts w:eastAsiaTheme="minorEastAsia"/>
          <w:noProof/>
          <w:lang w:eastAsia="en-GB"/>
        </w:rPr>
        <w:tab/>
      </w:r>
      <w:r>
        <w:rPr>
          <w:noProof/>
        </w:rPr>
        <w:t>Stage 7: Discharge</w:t>
      </w:r>
      <w:r>
        <w:rPr>
          <w:noProof/>
        </w:rPr>
        <w:tab/>
      </w:r>
      <w:r>
        <w:rPr>
          <w:noProof/>
        </w:rPr>
        <w:fldChar w:fldCharType="begin"/>
      </w:r>
      <w:r>
        <w:rPr>
          <w:noProof/>
        </w:rPr>
        <w:instrText xml:space="preserve"> PAGEREF _Toc492544872 \h </w:instrText>
      </w:r>
      <w:r>
        <w:rPr>
          <w:noProof/>
        </w:rPr>
      </w:r>
      <w:r>
        <w:rPr>
          <w:noProof/>
        </w:rPr>
        <w:fldChar w:fldCharType="separate"/>
      </w:r>
      <w:r w:rsidR="00097FBE">
        <w:rPr>
          <w:noProof/>
        </w:rPr>
        <w:t>8</w:t>
      </w:r>
      <w:r>
        <w:rPr>
          <w:noProof/>
        </w:rPr>
        <w:fldChar w:fldCharType="end"/>
      </w:r>
    </w:p>
    <w:p w14:paraId="7354F6EB"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3.</w:t>
      </w:r>
      <w:r>
        <w:rPr>
          <w:rFonts w:eastAsiaTheme="minorEastAsia"/>
          <w:b w:val="0"/>
          <w:noProof/>
          <w:sz w:val="22"/>
          <w:szCs w:val="22"/>
          <w:lang w:eastAsia="en-GB"/>
        </w:rPr>
        <w:tab/>
      </w:r>
      <w:r>
        <w:rPr>
          <w:noProof/>
        </w:rPr>
        <w:t>Key Service Outcomes</w:t>
      </w:r>
      <w:r>
        <w:rPr>
          <w:noProof/>
        </w:rPr>
        <w:tab/>
      </w:r>
      <w:r>
        <w:rPr>
          <w:noProof/>
        </w:rPr>
        <w:fldChar w:fldCharType="begin"/>
      </w:r>
      <w:r>
        <w:rPr>
          <w:noProof/>
        </w:rPr>
        <w:instrText xml:space="preserve"> PAGEREF _Toc492544873 \h </w:instrText>
      </w:r>
      <w:r>
        <w:rPr>
          <w:noProof/>
        </w:rPr>
      </w:r>
      <w:r>
        <w:rPr>
          <w:noProof/>
        </w:rPr>
        <w:fldChar w:fldCharType="separate"/>
      </w:r>
      <w:r w:rsidR="00097FBE">
        <w:rPr>
          <w:noProof/>
        </w:rPr>
        <w:t>8</w:t>
      </w:r>
      <w:r>
        <w:rPr>
          <w:noProof/>
        </w:rPr>
        <w:fldChar w:fldCharType="end"/>
      </w:r>
    </w:p>
    <w:p w14:paraId="1D919C3F"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4.</w:t>
      </w:r>
      <w:r>
        <w:rPr>
          <w:rFonts w:eastAsiaTheme="minorEastAsia"/>
          <w:b w:val="0"/>
          <w:noProof/>
          <w:sz w:val="22"/>
          <w:szCs w:val="22"/>
          <w:lang w:eastAsia="en-GB"/>
        </w:rPr>
        <w:tab/>
      </w:r>
      <w:r>
        <w:rPr>
          <w:noProof/>
        </w:rPr>
        <w:t>Premises</w:t>
      </w:r>
      <w:r>
        <w:rPr>
          <w:noProof/>
        </w:rPr>
        <w:tab/>
      </w:r>
      <w:r>
        <w:rPr>
          <w:noProof/>
        </w:rPr>
        <w:fldChar w:fldCharType="begin"/>
      </w:r>
      <w:r>
        <w:rPr>
          <w:noProof/>
        </w:rPr>
        <w:instrText xml:space="preserve"> PAGEREF _Toc492544874 \h </w:instrText>
      </w:r>
      <w:r>
        <w:rPr>
          <w:noProof/>
        </w:rPr>
      </w:r>
      <w:r>
        <w:rPr>
          <w:noProof/>
        </w:rPr>
        <w:fldChar w:fldCharType="separate"/>
      </w:r>
      <w:r w:rsidR="00097FBE">
        <w:rPr>
          <w:noProof/>
        </w:rPr>
        <w:t>9</w:t>
      </w:r>
      <w:r>
        <w:rPr>
          <w:noProof/>
        </w:rPr>
        <w:fldChar w:fldCharType="end"/>
      </w:r>
    </w:p>
    <w:p w14:paraId="7623CE90"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5.</w:t>
      </w:r>
      <w:r>
        <w:rPr>
          <w:rFonts w:eastAsiaTheme="minorEastAsia"/>
          <w:b w:val="0"/>
          <w:noProof/>
          <w:sz w:val="22"/>
          <w:szCs w:val="22"/>
          <w:lang w:eastAsia="en-GB"/>
        </w:rPr>
        <w:tab/>
      </w:r>
      <w:r>
        <w:rPr>
          <w:noProof/>
        </w:rPr>
        <w:t>Quality and Governance</w:t>
      </w:r>
      <w:r>
        <w:rPr>
          <w:noProof/>
        </w:rPr>
        <w:tab/>
      </w:r>
      <w:r>
        <w:rPr>
          <w:noProof/>
        </w:rPr>
        <w:fldChar w:fldCharType="begin"/>
      </w:r>
      <w:r>
        <w:rPr>
          <w:noProof/>
        </w:rPr>
        <w:instrText xml:space="preserve"> PAGEREF _Toc492544875 \h </w:instrText>
      </w:r>
      <w:r>
        <w:rPr>
          <w:noProof/>
        </w:rPr>
      </w:r>
      <w:r>
        <w:rPr>
          <w:noProof/>
        </w:rPr>
        <w:fldChar w:fldCharType="separate"/>
      </w:r>
      <w:r w:rsidR="00097FBE">
        <w:rPr>
          <w:noProof/>
        </w:rPr>
        <w:t>9</w:t>
      </w:r>
      <w:r>
        <w:rPr>
          <w:noProof/>
        </w:rPr>
        <w:fldChar w:fldCharType="end"/>
      </w:r>
    </w:p>
    <w:p w14:paraId="56B8548F" w14:textId="77777777" w:rsidR="00C67906" w:rsidRDefault="00C67906">
      <w:pPr>
        <w:pStyle w:val="TOC2"/>
        <w:tabs>
          <w:tab w:val="left" w:pos="880"/>
          <w:tab w:val="right" w:leader="dot" w:pos="9016"/>
        </w:tabs>
        <w:rPr>
          <w:rFonts w:eastAsiaTheme="minorEastAsia"/>
          <w:b w:val="0"/>
          <w:noProof/>
          <w:lang w:eastAsia="en-GB"/>
        </w:rPr>
      </w:pPr>
      <w:r>
        <w:rPr>
          <w:noProof/>
        </w:rPr>
        <w:t xml:space="preserve">5.1  </w:t>
      </w:r>
      <w:r>
        <w:rPr>
          <w:rFonts w:eastAsiaTheme="minorEastAsia"/>
          <w:b w:val="0"/>
          <w:noProof/>
          <w:lang w:eastAsia="en-GB"/>
        </w:rPr>
        <w:tab/>
      </w:r>
      <w:r>
        <w:rPr>
          <w:noProof/>
        </w:rPr>
        <w:t>Applicable Service Standards</w:t>
      </w:r>
      <w:r>
        <w:rPr>
          <w:noProof/>
        </w:rPr>
        <w:tab/>
      </w:r>
      <w:r>
        <w:rPr>
          <w:noProof/>
        </w:rPr>
        <w:fldChar w:fldCharType="begin"/>
      </w:r>
      <w:r>
        <w:rPr>
          <w:noProof/>
        </w:rPr>
        <w:instrText xml:space="preserve"> PAGEREF _Toc492544876 \h </w:instrText>
      </w:r>
      <w:r>
        <w:rPr>
          <w:noProof/>
        </w:rPr>
      </w:r>
      <w:r>
        <w:rPr>
          <w:noProof/>
        </w:rPr>
        <w:fldChar w:fldCharType="separate"/>
      </w:r>
      <w:r w:rsidR="00097FBE">
        <w:rPr>
          <w:noProof/>
        </w:rPr>
        <w:t>9</w:t>
      </w:r>
      <w:r>
        <w:rPr>
          <w:noProof/>
        </w:rPr>
        <w:fldChar w:fldCharType="end"/>
      </w:r>
    </w:p>
    <w:p w14:paraId="7890E1AA" w14:textId="77777777" w:rsidR="00C67906" w:rsidRDefault="00C67906">
      <w:pPr>
        <w:pStyle w:val="TOC2"/>
        <w:tabs>
          <w:tab w:val="left" w:pos="880"/>
          <w:tab w:val="right" w:leader="dot" w:pos="9016"/>
        </w:tabs>
        <w:rPr>
          <w:rFonts w:eastAsiaTheme="minorEastAsia"/>
          <w:b w:val="0"/>
          <w:noProof/>
          <w:lang w:eastAsia="en-GB"/>
        </w:rPr>
      </w:pPr>
      <w:r>
        <w:rPr>
          <w:noProof/>
        </w:rPr>
        <w:t xml:space="preserve">5.2 </w:t>
      </w:r>
      <w:r>
        <w:rPr>
          <w:rFonts w:eastAsiaTheme="minorEastAsia"/>
          <w:b w:val="0"/>
          <w:noProof/>
          <w:lang w:eastAsia="en-GB"/>
        </w:rPr>
        <w:tab/>
      </w:r>
      <w:r>
        <w:rPr>
          <w:noProof/>
        </w:rPr>
        <w:t>Staff and Staff Management</w:t>
      </w:r>
      <w:r>
        <w:rPr>
          <w:noProof/>
        </w:rPr>
        <w:tab/>
      </w:r>
      <w:r>
        <w:rPr>
          <w:noProof/>
        </w:rPr>
        <w:fldChar w:fldCharType="begin"/>
      </w:r>
      <w:r>
        <w:rPr>
          <w:noProof/>
        </w:rPr>
        <w:instrText xml:space="preserve"> PAGEREF _Toc492544877 \h </w:instrText>
      </w:r>
      <w:r>
        <w:rPr>
          <w:noProof/>
        </w:rPr>
      </w:r>
      <w:r>
        <w:rPr>
          <w:noProof/>
        </w:rPr>
        <w:fldChar w:fldCharType="separate"/>
      </w:r>
      <w:r w:rsidR="00097FBE">
        <w:rPr>
          <w:noProof/>
        </w:rPr>
        <w:t>10</w:t>
      </w:r>
      <w:r>
        <w:rPr>
          <w:noProof/>
        </w:rPr>
        <w:fldChar w:fldCharType="end"/>
      </w:r>
    </w:p>
    <w:p w14:paraId="692E304A" w14:textId="77777777" w:rsidR="00C67906" w:rsidRDefault="00C67906">
      <w:pPr>
        <w:pStyle w:val="TOC2"/>
        <w:tabs>
          <w:tab w:val="left" w:pos="880"/>
          <w:tab w:val="right" w:leader="dot" w:pos="9016"/>
        </w:tabs>
        <w:rPr>
          <w:rFonts w:eastAsiaTheme="minorEastAsia"/>
          <w:b w:val="0"/>
          <w:noProof/>
          <w:lang w:eastAsia="en-GB"/>
        </w:rPr>
      </w:pPr>
      <w:r>
        <w:rPr>
          <w:noProof/>
        </w:rPr>
        <w:t xml:space="preserve">5.3  </w:t>
      </w:r>
      <w:r>
        <w:rPr>
          <w:rFonts w:eastAsiaTheme="minorEastAsia"/>
          <w:b w:val="0"/>
          <w:noProof/>
          <w:lang w:eastAsia="en-GB"/>
        </w:rPr>
        <w:tab/>
      </w:r>
      <w:r>
        <w:rPr>
          <w:noProof/>
        </w:rPr>
        <w:t>Clinical Effectiveness and Audit</w:t>
      </w:r>
      <w:r>
        <w:rPr>
          <w:noProof/>
        </w:rPr>
        <w:tab/>
      </w:r>
      <w:r>
        <w:rPr>
          <w:noProof/>
        </w:rPr>
        <w:fldChar w:fldCharType="begin"/>
      </w:r>
      <w:r>
        <w:rPr>
          <w:noProof/>
        </w:rPr>
        <w:instrText xml:space="preserve"> PAGEREF _Toc492544878 \h </w:instrText>
      </w:r>
      <w:r>
        <w:rPr>
          <w:noProof/>
        </w:rPr>
      </w:r>
      <w:r>
        <w:rPr>
          <w:noProof/>
        </w:rPr>
        <w:fldChar w:fldCharType="separate"/>
      </w:r>
      <w:r w:rsidR="00097FBE">
        <w:rPr>
          <w:noProof/>
        </w:rPr>
        <w:t>11</w:t>
      </w:r>
      <w:r>
        <w:rPr>
          <w:noProof/>
        </w:rPr>
        <w:fldChar w:fldCharType="end"/>
      </w:r>
    </w:p>
    <w:p w14:paraId="2BFF78B3" w14:textId="77777777" w:rsidR="00C67906" w:rsidRDefault="00C67906">
      <w:pPr>
        <w:pStyle w:val="TOC2"/>
        <w:tabs>
          <w:tab w:val="left" w:pos="880"/>
          <w:tab w:val="right" w:leader="dot" w:pos="9016"/>
        </w:tabs>
        <w:rPr>
          <w:rFonts w:eastAsiaTheme="minorEastAsia"/>
          <w:b w:val="0"/>
          <w:noProof/>
          <w:lang w:eastAsia="en-GB"/>
        </w:rPr>
      </w:pPr>
      <w:r>
        <w:rPr>
          <w:noProof/>
        </w:rPr>
        <w:t xml:space="preserve">5.4 </w:t>
      </w:r>
      <w:r>
        <w:rPr>
          <w:rFonts w:eastAsiaTheme="minorEastAsia"/>
          <w:b w:val="0"/>
          <w:noProof/>
          <w:lang w:eastAsia="en-GB"/>
        </w:rPr>
        <w:tab/>
      </w:r>
      <w:r>
        <w:rPr>
          <w:noProof/>
        </w:rPr>
        <w:t>Risk and Incident Management</w:t>
      </w:r>
      <w:r>
        <w:rPr>
          <w:noProof/>
        </w:rPr>
        <w:tab/>
      </w:r>
      <w:r>
        <w:rPr>
          <w:noProof/>
        </w:rPr>
        <w:fldChar w:fldCharType="begin"/>
      </w:r>
      <w:r>
        <w:rPr>
          <w:noProof/>
        </w:rPr>
        <w:instrText xml:space="preserve"> PAGEREF _Toc492544879 \h </w:instrText>
      </w:r>
      <w:r>
        <w:rPr>
          <w:noProof/>
        </w:rPr>
      </w:r>
      <w:r>
        <w:rPr>
          <w:noProof/>
        </w:rPr>
        <w:fldChar w:fldCharType="separate"/>
      </w:r>
      <w:r w:rsidR="00097FBE">
        <w:rPr>
          <w:noProof/>
        </w:rPr>
        <w:t>11</w:t>
      </w:r>
      <w:r>
        <w:rPr>
          <w:noProof/>
        </w:rPr>
        <w:fldChar w:fldCharType="end"/>
      </w:r>
    </w:p>
    <w:p w14:paraId="02C64180" w14:textId="77777777" w:rsidR="00C67906" w:rsidRDefault="00C67906">
      <w:pPr>
        <w:pStyle w:val="TOC2"/>
        <w:tabs>
          <w:tab w:val="left" w:pos="880"/>
          <w:tab w:val="right" w:leader="dot" w:pos="9016"/>
        </w:tabs>
        <w:rPr>
          <w:rFonts w:eastAsiaTheme="minorEastAsia"/>
          <w:b w:val="0"/>
          <w:noProof/>
          <w:lang w:eastAsia="en-GB"/>
        </w:rPr>
      </w:pPr>
      <w:r>
        <w:rPr>
          <w:noProof/>
        </w:rPr>
        <w:t xml:space="preserve">5.7 </w:t>
      </w:r>
      <w:r>
        <w:rPr>
          <w:rFonts w:eastAsiaTheme="minorEastAsia"/>
          <w:b w:val="0"/>
          <w:noProof/>
          <w:lang w:eastAsia="en-GB"/>
        </w:rPr>
        <w:tab/>
      </w:r>
      <w:r>
        <w:rPr>
          <w:noProof/>
        </w:rPr>
        <w:t>Patients and Public Involvement</w:t>
      </w:r>
      <w:r>
        <w:rPr>
          <w:noProof/>
        </w:rPr>
        <w:tab/>
      </w:r>
      <w:r>
        <w:rPr>
          <w:noProof/>
        </w:rPr>
        <w:fldChar w:fldCharType="begin"/>
      </w:r>
      <w:r>
        <w:rPr>
          <w:noProof/>
        </w:rPr>
        <w:instrText xml:space="preserve"> PAGEREF _Toc492544880 \h </w:instrText>
      </w:r>
      <w:r>
        <w:rPr>
          <w:noProof/>
        </w:rPr>
      </w:r>
      <w:r>
        <w:rPr>
          <w:noProof/>
        </w:rPr>
        <w:fldChar w:fldCharType="separate"/>
      </w:r>
      <w:r w:rsidR="00097FBE">
        <w:rPr>
          <w:noProof/>
        </w:rPr>
        <w:t>12</w:t>
      </w:r>
      <w:r>
        <w:rPr>
          <w:noProof/>
        </w:rPr>
        <w:fldChar w:fldCharType="end"/>
      </w:r>
    </w:p>
    <w:p w14:paraId="0ACB7025" w14:textId="77777777" w:rsidR="00C67906" w:rsidRDefault="00C67906">
      <w:pPr>
        <w:pStyle w:val="TOC2"/>
        <w:tabs>
          <w:tab w:val="left" w:pos="880"/>
          <w:tab w:val="right" w:leader="dot" w:pos="9016"/>
        </w:tabs>
        <w:rPr>
          <w:rFonts w:eastAsiaTheme="minorEastAsia"/>
          <w:b w:val="0"/>
          <w:noProof/>
          <w:lang w:eastAsia="en-GB"/>
        </w:rPr>
      </w:pPr>
      <w:r>
        <w:rPr>
          <w:noProof/>
        </w:rPr>
        <w:t>5.8</w:t>
      </w:r>
      <w:r>
        <w:rPr>
          <w:rFonts w:eastAsiaTheme="minorEastAsia"/>
          <w:b w:val="0"/>
          <w:noProof/>
          <w:lang w:eastAsia="en-GB"/>
        </w:rPr>
        <w:tab/>
      </w:r>
      <w:r>
        <w:rPr>
          <w:noProof/>
        </w:rPr>
        <w:t>Information Governance</w:t>
      </w:r>
      <w:r>
        <w:rPr>
          <w:noProof/>
        </w:rPr>
        <w:tab/>
      </w:r>
      <w:r>
        <w:rPr>
          <w:noProof/>
        </w:rPr>
        <w:fldChar w:fldCharType="begin"/>
      </w:r>
      <w:r>
        <w:rPr>
          <w:noProof/>
        </w:rPr>
        <w:instrText xml:space="preserve"> PAGEREF _Toc492544881 \h </w:instrText>
      </w:r>
      <w:r>
        <w:rPr>
          <w:noProof/>
        </w:rPr>
      </w:r>
      <w:r>
        <w:rPr>
          <w:noProof/>
        </w:rPr>
        <w:fldChar w:fldCharType="separate"/>
      </w:r>
      <w:r w:rsidR="00097FBE">
        <w:rPr>
          <w:noProof/>
        </w:rPr>
        <w:t>12</w:t>
      </w:r>
      <w:r>
        <w:rPr>
          <w:noProof/>
        </w:rPr>
        <w:fldChar w:fldCharType="end"/>
      </w:r>
    </w:p>
    <w:p w14:paraId="3999E81A" w14:textId="77777777" w:rsidR="00C67906" w:rsidRDefault="00C67906">
      <w:pPr>
        <w:pStyle w:val="TOC2"/>
        <w:tabs>
          <w:tab w:val="left" w:pos="880"/>
          <w:tab w:val="right" w:leader="dot" w:pos="9016"/>
        </w:tabs>
        <w:rPr>
          <w:rFonts w:eastAsiaTheme="minorEastAsia"/>
          <w:b w:val="0"/>
          <w:noProof/>
          <w:lang w:eastAsia="en-GB"/>
        </w:rPr>
      </w:pPr>
      <w:r>
        <w:rPr>
          <w:noProof/>
        </w:rPr>
        <w:t xml:space="preserve">5.9 </w:t>
      </w:r>
      <w:r>
        <w:rPr>
          <w:rFonts w:eastAsiaTheme="minorEastAsia"/>
          <w:b w:val="0"/>
          <w:noProof/>
          <w:lang w:eastAsia="en-GB"/>
        </w:rPr>
        <w:tab/>
      </w:r>
      <w:r>
        <w:rPr>
          <w:noProof/>
        </w:rPr>
        <w:t>Health &amp; Safety</w:t>
      </w:r>
      <w:r>
        <w:rPr>
          <w:noProof/>
        </w:rPr>
        <w:tab/>
      </w:r>
      <w:r>
        <w:rPr>
          <w:noProof/>
        </w:rPr>
        <w:fldChar w:fldCharType="begin"/>
      </w:r>
      <w:r>
        <w:rPr>
          <w:noProof/>
        </w:rPr>
        <w:instrText xml:space="preserve"> PAGEREF _Toc492544882 \h </w:instrText>
      </w:r>
      <w:r>
        <w:rPr>
          <w:noProof/>
        </w:rPr>
      </w:r>
      <w:r>
        <w:rPr>
          <w:noProof/>
        </w:rPr>
        <w:fldChar w:fldCharType="separate"/>
      </w:r>
      <w:r w:rsidR="00097FBE">
        <w:rPr>
          <w:noProof/>
        </w:rPr>
        <w:t>13</w:t>
      </w:r>
      <w:r>
        <w:rPr>
          <w:noProof/>
        </w:rPr>
        <w:fldChar w:fldCharType="end"/>
      </w:r>
    </w:p>
    <w:p w14:paraId="606A01CE"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6.</w:t>
      </w:r>
      <w:r>
        <w:rPr>
          <w:rFonts w:eastAsiaTheme="minorEastAsia"/>
          <w:b w:val="0"/>
          <w:noProof/>
          <w:sz w:val="22"/>
          <w:szCs w:val="22"/>
          <w:lang w:eastAsia="en-GB"/>
        </w:rPr>
        <w:tab/>
      </w:r>
      <w:r>
        <w:rPr>
          <w:noProof/>
        </w:rPr>
        <w:t>Contract Management</w:t>
      </w:r>
      <w:r>
        <w:rPr>
          <w:noProof/>
        </w:rPr>
        <w:tab/>
      </w:r>
      <w:r>
        <w:rPr>
          <w:noProof/>
        </w:rPr>
        <w:fldChar w:fldCharType="begin"/>
      </w:r>
      <w:r>
        <w:rPr>
          <w:noProof/>
        </w:rPr>
        <w:instrText xml:space="preserve"> PAGEREF _Toc492544883 \h </w:instrText>
      </w:r>
      <w:r>
        <w:rPr>
          <w:noProof/>
        </w:rPr>
      </w:r>
      <w:r>
        <w:rPr>
          <w:noProof/>
        </w:rPr>
        <w:fldChar w:fldCharType="separate"/>
      </w:r>
      <w:r w:rsidR="00097FBE">
        <w:rPr>
          <w:noProof/>
        </w:rPr>
        <w:t>13</w:t>
      </w:r>
      <w:r>
        <w:rPr>
          <w:noProof/>
        </w:rPr>
        <w:fldChar w:fldCharType="end"/>
      </w:r>
    </w:p>
    <w:p w14:paraId="5DD41A9E"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7.</w:t>
      </w:r>
      <w:r>
        <w:rPr>
          <w:rFonts w:eastAsiaTheme="minorEastAsia"/>
          <w:b w:val="0"/>
          <w:noProof/>
          <w:sz w:val="22"/>
          <w:szCs w:val="22"/>
          <w:lang w:eastAsia="en-GB"/>
        </w:rPr>
        <w:tab/>
      </w:r>
      <w:r>
        <w:rPr>
          <w:noProof/>
        </w:rPr>
        <w:t>Activity &amp; Tariff</w:t>
      </w:r>
      <w:r>
        <w:rPr>
          <w:noProof/>
        </w:rPr>
        <w:tab/>
      </w:r>
      <w:r>
        <w:rPr>
          <w:noProof/>
        </w:rPr>
        <w:fldChar w:fldCharType="begin"/>
      </w:r>
      <w:r>
        <w:rPr>
          <w:noProof/>
        </w:rPr>
        <w:instrText xml:space="preserve"> PAGEREF _Toc492544884 \h </w:instrText>
      </w:r>
      <w:r>
        <w:rPr>
          <w:noProof/>
        </w:rPr>
      </w:r>
      <w:r>
        <w:rPr>
          <w:noProof/>
        </w:rPr>
        <w:fldChar w:fldCharType="separate"/>
      </w:r>
      <w:r w:rsidR="00097FBE">
        <w:rPr>
          <w:noProof/>
        </w:rPr>
        <w:t>13</w:t>
      </w:r>
      <w:r>
        <w:rPr>
          <w:noProof/>
        </w:rPr>
        <w:fldChar w:fldCharType="end"/>
      </w:r>
    </w:p>
    <w:p w14:paraId="2D0E16FC" w14:textId="77777777" w:rsidR="00C67906" w:rsidRDefault="00C67906">
      <w:pPr>
        <w:pStyle w:val="TOC1"/>
        <w:tabs>
          <w:tab w:val="left" w:pos="440"/>
          <w:tab w:val="right" w:leader="dot" w:pos="9016"/>
        </w:tabs>
        <w:rPr>
          <w:rFonts w:eastAsiaTheme="minorEastAsia"/>
          <w:b w:val="0"/>
          <w:noProof/>
          <w:sz w:val="22"/>
          <w:szCs w:val="22"/>
          <w:lang w:eastAsia="en-GB"/>
        </w:rPr>
      </w:pPr>
      <w:r>
        <w:rPr>
          <w:noProof/>
        </w:rPr>
        <w:t>8.</w:t>
      </w:r>
      <w:r>
        <w:rPr>
          <w:rFonts w:eastAsiaTheme="minorEastAsia"/>
          <w:b w:val="0"/>
          <w:noProof/>
          <w:sz w:val="22"/>
          <w:szCs w:val="22"/>
          <w:lang w:eastAsia="en-GB"/>
        </w:rPr>
        <w:tab/>
      </w:r>
      <w:r>
        <w:rPr>
          <w:noProof/>
        </w:rPr>
        <w:t>Key Performance Indicators</w:t>
      </w:r>
      <w:r>
        <w:rPr>
          <w:noProof/>
        </w:rPr>
        <w:tab/>
      </w:r>
      <w:r>
        <w:rPr>
          <w:noProof/>
        </w:rPr>
        <w:fldChar w:fldCharType="begin"/>
      </w:r>
      <w:r>
        <w:rPr>
          <w:noProof/>
        </w:rPr>
        <w:instrText xml:space="preserve"> PAGEREF _Toc492544885 \h </w:instrText>
      </w:r>
      <w:r>
        <w:rPr>
          <w:noProof/>
        </w:rPr>
      </w:r>
      <w:r>
        <w:rPr>
          <w:noProof/>
        </w:rPr>
        <w:fldChar w:fldCharType="separate"/>
      </w:r>
      <w:r w:rsidR="00097FBE">
        <w:rPr>
          <w:noProof/>
        </w:rPr>
        <w:t>14</w:t>
      </w:r>
      <w:r>
        <w:rPr>
          <w:noProof/>
        </w:rPr>
        <w:fldChar w:fldCharType="end"/>
      </w:r>
    </w:p>
    <w:p w14:paraId="36B0EF5B" w14:textId="77777777" w:rsidR="00E346DA" w:rsidRPr="00BF7A6D" w:rsidRDefault="003723F0" w:rsidP="00CE676E">
      <w:pPr>
        <w:jc w:val="both"/>
        <w:rPr>
          <w:rFonts w:ascii="Arial" w:hAnsi="Arial" w:cs="Arial"/>
          <w:b/>
        </w:rPr>
      </w:pPr>
      <w:r w:rsidRPr="00BF7A6D">
        <w:rPr>
          <w:rFonts w:ascii="Arial" w:hAnsi="Arial" w:cs="Arial"/>
          <w:b/>
        </w:rPr>
        <w:fldChar w:fldCharType="end"/>
      </w:r>
      <w:r w:rsidR="00E346DA" w:rsidRPr="00BF7A6D">
        <w:rPr>
          <w:rFonts w:ascii="Arial" w:hAnsi="Arial" w:cs="Arial"/>
          <w:b/>
        </w:rPr>
        <w:br w:type="page"/>
      </w:r>
    </w:p>
    <w:tbl>
      <w:tblPr>
        <w:tblStyle w:val="TableGrid"/>
        <w:tblW w:w="0" w:type="auto"/>
        <w:tblLook w:val="04A0" w:firstRow="1" w:lastRow="0" w:firstColumn="1" w:lastColumn="0" w:noHBand="0" w:noVBand="1"/>
      </w:tblPr>
      <w:tblGrid>
        <w:gridCol w:w="2268"/>
        <w:gridCol w:w="6520"/>
      </w:tblGrid>
      <w:tr w:rsidR="00E346DA" w:rsidRPr="00C50B7E" w14:paraId="1F0D888C" w14:textId="77777777" w:rsidTr="00ED6F5E">
        <w:trPr>
          <w:trHeight w:val="459"/>
        </w:trPr>
        <w:tc>
          <w:tcPr>
            <w:tcW w:w="2268" w:type="dxa"/>
            <w:shd w:val="clear" w:color="auto" w:fill="D9D9D9" w:themeFill="background1" w:themeFillShade="D9"/>
          </w:tcPr>
          <w:p w14:paraId="3CDB40C3" w14:textId="77777777" w:rsidR="00E346DA" w:rsidRPr="00BF7A6D" w:rsidRDefault="00E346DA" w:rsidP="00CE676E">
            <w:pPr>
              <w:jc w:val="both"/>
              <w:rPr>
                <w:rFonts w:ascii="Arial" w:hAnsi="Arial" w:cs="Arial"/>
                <w:b/>
              </w:rPr>
            </w:pPr>
            <w:r w:rsidRPr="00BF7A6D">
              <w:rPr>
                <w:rFonts w:ascii="Arial" w:hAnsi="Arial" w:cs="Arial"/>
                <w:b/>
              </w:rPr>
              <w:lastRenderedPageBreak/>
              <w:t>Service</w:t>
            </w:r>
          </w:p>
        </w:tc>
        <w:tc>
          <w:tcPr>
            <w:tcW w:w="6520" w:type="dxa"/>
          </w:tcPr>
          <w:p w14:paraId="4250565A" w14:textId="77777777" w:rsidR="00E346DA" w:rsidRPr="00BF7A6D" w:rsidRDefault="00E346DA" w:rsidP="00CE676E">
            <w:pPr>
              <w:jc w:val="both"/>
              <w:rPr>
                <w:rFonts w:ascii="Arial" w:hAnsi="Arial" w:cs="Arial"/>
                <w:b/>
              </w:rPr>
            </w:pPr>
            <w:r w:rsidRPr="00BF7A6D">
              <w:rPr>
                <w:rFonts w:ascii="Arial" w:hAnsi="Arial" w:cs="Arial"/>
                <w:b/>
              </w:rPr>
              <w:t>Ophthalmology Outpatient Glaucoma Management</w:t>
            </w:r>
          </w:p>
        </w:tc>
      </w:tr>
      <w:tr w:rsidR="00E346DA" w:rsidRPr="00C50B7E" w14:paraId="56B509D5" w14:textId="77777777" w:rsidTr="00ED6F5E">
        <w:trPr>
          <w:trHeight w:val="459"/>
        </w:trPr>
        <w:tc>
          <w:tcPr>
            <w:tcW w:w="2268" w:type="dxa"/>
            <w:shd w:val="clear" w:color="auto" w:fill="D9D9D9" w:themeFill="background1" w:themeFillShade="D9"/>
          </w:tcPr>
          <w:p w14:paraId="653C3222" w14:textId="77777777" w:rsidR="00E346DA" w:rsidRPr="00BF7A6D" w:rsidRDefault="00E346DA" w:rsidP="00CE676E">
            <w:pPr>
              <w:jc w:val="both"/>
              <w:rPr>
                <w:rFonts w:ascii="Arial" w:hAnsi="Arial" w:cs="Arial"/>
                <w:b/>
              </w:rPr>
            </w:pPr>
            <w:r w:rsidRPr="00BF7A6D">
              <w:rPr>
                <w:rFonts w:ascii="Arial" w:hAnsi="Arial" w:cs="Arial"/>
                <w:b/>
              </w:rPr>
              <w:t>Commissioner Lead</w:t>
            </w:r>
          </w:p>
        </w:tc>
        <w:tc>
          <w:tcPr>
            <w:tcW w:w="6520" w:type="dxa"/>
          </w:tcPr>
          <w:p w14:paraId="515C22EF" w14:textId="77777777" w:rsidR="00E346DA" w:rsidRPr="00BF7A6D" w:rsidRDefault="00E346DA" w:rsidP="00CE676E">
            <w:pPr>
              <w:jc w:val="both"/>
              <w:rPr>
                <w:rFonts w:ascii="Arial" w:hAnsi="Arial" w:cs="Arial"/>
                <w:b/>
              </w:rPr>
            </w:pPr>
            <w:r w:rsidRPr="00BF7A6D">
              <w:rPr>
                <w:rFonts w:ascii="Arial" w:hAnsi="Arial" w:cs="Arial"/>
                <w:b/>
              </w:rPr>
              <w:t>University Hospital Birmingham NHS Foundation Trust</w:t>
            </w:r>
          </w:p>
        </w:tc>
      </w:tr>
      <w:tr w:rsidR="00E346DA" w:rsidRPr="00C50B7E" w14:paraId="270AC110" w14:textId="77777777" w:rsidTr="00ED6F5E">
        <w:trPr>
          <w:trHeight w:val="459"/>
        </w:trPr>
        <w:tc>
          <w:tcPr>
            <w:tcW w:w="2268" w:type="dxa"/>
            <w:shd w:val="clear" w:color="auto" w:fill="D9D9D9" w:themeFill="background1" w:themeFillShade="D9"/>
          </w:tcPr>
          <w:p w14:paraId="7A471681" w14:textId="77777777" w:rsidR="00E346DA" w:rsidRPr="00BF7A6D" w:rsidRDefault="00E346DA" w:rsidP="00CE676E">
            <w:pPr>
              <w:jc w:val="both"/>
              <w:rPr>
                <w:rFonts w:ascii="Arial" w:hAnsi="Arial" w:cs="Arial"/>
                <w:b/>
              </w:rPr>
            </w:pPr>
            <w:r w:rsidRPr="00BF7A6D">
              <w:rPr>
                <w:rFonts w:ascii="Arial" w:hAnsi="Arial" w:cs="Arial"/>
                <w:b/>
              </w:rPr>
              <w:t>Period</w:t>
            </w:r>
          </w:p>
        </w:tc>
        <w:tc>
          <w:tcPr>
            <w:tcW w:w="6520" w:type="dxa"/>
          </w:tcPr>
          <w:p w14:paraId="143742CF" w14:textId="77777777" w:rsidR="00E346DA" w:rsidRPr="00BF7A6D" w:rsidRDefault="00E346DA" w:rsidP="00CE676E">
            <w:pPr>
              <w:jc w:val="both"/>
              <w:rPr>
                <w:rFonts w:ascii="Arial" w:hAnsi="Arial" w:cs="Arial"/>
                <w:b/>
              </w:rPr>
            </w:pPr>
            <w:r w:rsidRPr="00BF7A6D">
              <w:rPr>
                <w:rFonts w:ascii="Arial" w:hAnsi="Arial" w:cs="Arial"/>
                <w:b/>
              </w:rPr>
              <w:t>1 Year + 1 Year Extension</w:t>
            </w:r>
          </w:p>
        </w:tc>
      </w:tr>
    </w:tbl>
    <w:p w14:paraId="629D4FB0" w14:textId="77777777" w:rsidR="00E346DA" w:rsidRPr="00C50B7E" w:rsidRDefault="00E346DA" w:rsidP="00CE676E">
      <w:pPr>
        <w:jc w:val="both"/>
        <w:rPr>
          <w:b/>
          <w:sz w:val="24"/>
          <w:szCs w:val="24"/>
        </w:rPr>
      </w:pPr>
    </w:p>
    <w:p w14:paraId="4806FAB7" w14:textId="77777777" w:rsidR="00E346DA" w:rsidRPr="001878D7" w:rsidRDefault="00E346DA" w:rsidP="004A59CA">
      <w:pPr>
        <w:pStyle w:val="Heading1"/>
      </w:pPr>
      <w:bookmarkStart w:id="0" w:name="_Toc492544862"/>
      <w:r w:rsidRPr="001878D7">
        <w:t>Introduction &amp; Purpose</w:t>
      </w:r>
      <w:bookmarkEnd w:id="0"/>
    </w:p>
    <w:p w14:paraId="4ECD07E9" w14:textId="62AFAE97" w:rsidR="00197093" w:rsidRDefault="00BD1E42" w:rsidP="00CE676E">
      <w:pPr>
        <w:spacing w:after="240" w:line="240" w:lineRule="auto"/>
        <w:jc w:val="both"/>
        <w:rPr>
          <w:rFonts w:ascii="Arial" w:hAnsi="Arial" w:cs="Arial"/>
        </w:rPr>
      </w:pPr>
      <w:r w:rsidRPr="001878D7">
        <w:rPr>
          <w:rFonts w:ascii="Arial" w:hAnsi="Arial" w:cs="Arial"/>
        </w:rPr>
        <w:t>The purpose of this service specification is to identify and commission a suitable provider who would be able to meet and deliver the required standard of care for a cohort of glaucoma patients.</w:t>
      </w:r>
      <w:r w:rsidR="000717DD" w:rsidRPr="001878D7">
        <w:rPr>
          <w:rFonts w:ascii="Arial" w:hAnsi="Arial" w:cs="Arial"/>
        </w:rPr>
        <w:t xml:space="preserve"> The service is outpatient based and no day case activity will be required.</w:t>
      </w:r>
      <w:r w:rsidR="003922EE">
        <w:rPr>
          <w:rFonts w:ascii="Arial" w:hAnsi="Arial" w:cs="Arial"/>
        </w:rPr>
        <w:t xml:space="preserve"> </w:t>
      </w:r>
    </w:p>
    <w:p w14:paraId="3816EDDB" w14:textId="034C9A8A" w:rsidR="003922EE" w:rsidRDefault="003922EE" w:rsidP="00430CFB">
      <w:pPr>
        <w:spacing w:after="240" w:line="240" w:lineRule="auto"/>
        <w:jc w:val="both"/>
        <w:rPr>
          <w:rFonts w:ascii="Arial" w:hAnsi="Arial" w:cs="Arial"/>
        </w:rPr>
      </w:pPr>
      <w:r>
        <w:rPr>
          <w:rFonts w:ascii="Arial" w:hAnsi="Arial" w:cs="Arial"/>
        </w:rPr>
        <w:t xml:space="preserve">Demand for glaucoma is increasing nationally and the same is true for the service at University Birmingham NHS Foundation Trust (UHBFT). This is due to population growth, an aging population, new technologies and treatments, and changes in clinical standards. </w:t>
      </w:r>
      <w:r w:rsidR="00430CFB">
        <w:rPr>
          <w:rFonts w:ascii="Arial" w:hAnsi="Arial" w:cs="Arial"/>
        </w:rPr>
        <w:t xml:space="preserve">The Clinical Commissioning Groups (CCGs) in Birmingham have commenced a procurement process for the provision of a community based glaucoma service which is expected to launch in 2018. In the meantime however, demand is continuing to grow and a short term solution is required. This service set out in this specification </w:t>
      </w:r>
      <w:r>
        <w:rPr>
          <w:rFonts w:ascii="Arial" w:hAnsi="Arial" w:cs="Arial"/>
        </w:rPr>
        <w:t xml:space="preserve">is required to support the Ophthalmology department at UHBFT </w:t>
      </w:r>
      <w:r w:rsidR="00430CFB">
        <w:rPr>
          <w:rFonts w:ascii="Arial" w:hAnsi="Arial" w:cs="Arial"/>
        </w:rPr>
        <w:t xml:space="preserve">in order to </w:t>
      </w:r>
      <w:r>
        <w:rPr>
          <w:rFonts w:ascii="Arial" w:hAnsi="Arial" w:cs="Arial"/>
        </w:rPr>
        <w:t xml:space="preserve">bridge the capacity shortfall </w:t>
      </w:r>
      <w:r w:rsidR="00430CFB">
        <w:rPr>
          <w:rFonts w:ascii="Arial" w:hAnsi="Arial" w:cs="Arial"/>
        </w:rPr>
        <w:t>whilst the CCGs commissioning a community based model.</w:t>
      </w:r>
    </w:p>
    <w:p w14:paraId="74CF4F3A" w14:textId="3E4FD1F0" w:rsidR="00D91BD8" w:rsidRPr="001878D7" w:rsidRDefault="00D91BD8" w:rsidP="00430CFB">
      <w:pPr>
        <w:spacing w:after="240" w:line="240" w:lineRule="auto"/>
        <w:jc w:val="both"/>
        <w:rPr>
          <w:rFonts w:ascii="Arial" w:hAnsi="Arial" w:cs="Arial"/>
        </w:rPr>
      </w:pPr>
      <w:r>
        <w:rPr>
          <w:rFonts w:ascii="Arial" w:hAnsi="Arial" w:cs="Arial"/>
        </w:rPr>
        <w:t xml:space="preserve">It is important to note that it is expected that this service will be delivered within the Ophthalmology department at UHBFT, using the UHBFT equipment, IT systems and processes. It is expected that the clinics will run </w:t>
      </w:r>
      <w:r w:rsidR="00124E48">
        <w:rPr>
          <w:rFonts w:ascii="Arial" w:hAnsi="Arial" w:cs="Arial"/>
        </w:rPr>
        <w:t>twice per week every week and no further than three days apart (for example, if a clinic was run on a Sunday, the next clinic must take place on or by Thursday).</w:t>
      </w:r>
    </w:p>
    <w:p w14:paraId="74420344" w14:textId="4B78BFE8" w:rsidR="00DD3030" w:rsidRPr="001878D7" w:rsidRDefault="00E346DA" w:rsidP="004A59CA">
      <w:pPr>
        <w:pStyle w:val="Heading1"/>
      </w:pPr>
      <w:bookmarkStart w:id="1" w:name="_Toc492544863"/>
      <w:r w:rsidRPr="001878D7">
        <w:t>Scope</w:t>
      </w:r>
      <w:bookmarkEnd w:id="1"/>
    </w:p>
    <w:p w14:paraId="244D101D" w14:textId="2A462315" w:rsidR="003922EE" w:rsidRDefault="00A00AA9" w:rsidP="004A59CA">
      <w:pPr>
        <w:pStyle w:val="Heading2"/>
      </w:pPr>
      <w:bookmarkStart w:id="2" w:name="_Toc492544864"/>
      <w:r>
        <w:t xml:space="preserve">2.1 </w:t>
      </w:r>
      <w:r w:rsidR="00CE676E">
        <w:tab/>
      </w:r>
      <w:r w:rsidR="00E346DA" w:rsidRPr="003922EE">
        <w:t>Aims and Objectives of Service</w:t>
      </w:r>
      <w:bookmarkEnd w:id="2"/>
    </w:p>
    <w:p w14:paraId="2AC0F501" w14:textId="3B6FEA19" w:rsidR="003922EE" w:rsidRPr="00CE676E" w:rsidRDefault="003922EE" w:rsidP="00CE676E">
      <w:pPr>
        <w:spacing w:after="240" w:line="240" w:lineRule="auto"/>
        <w:ind w:left="709"/>
        <w:jc w:val="both"/>
        <w:rPr>
          <w:rFonts w:ascii="Arial" w:hAnsi="Arial" w:cs="Arial"/>
        </w:rPr>
      </w:pPr>
      <w:r w:rsidRPr="00CE676E">
        <w:rPr>
          <w:rFonts w:ascii="Arial" w:hAnsi="Arial" w:cs="Arial"/>
        </w:rPr>
        <w:t>University Hospitals Birmingham NHS Foundation Trust (UHBFT) is seeking commission a high quality and patient centred glaucoma service according to local and national standards.</w:t>
      </w:r>
    </w:p>
    <w:p w14:paraId="3235E9D6" w14:textId="77777777" w:rsidR="00C94A5F" w:rsidRPr="001878D7" w:rsidRDefault="00C94A5F" w:rsidP="00CE676E">
      <w:pPr>
        <w:pStyle w:val="Default"/>
        <w:spacing w:after="240"/>
        <w:ind w:left="709"/>
        <w:jc w:val="both"/>
        <w:rPr>
          <w:sz w:val="22"/>
          <w:szCs w:val="22"/>
        </w:rPr>
      </w:pPr>
      <w:r w:rsidRPr="001878D7">
        <w:rPr>
          <w:sz w:val="22"/>
          <w:szCs w:val="22"/>
        </w:rPr>
        <w:t xml:space="preserve">The service aims to: </w:t>
      </w:r>
    </w:p>
    <w:p w14:paraId="3F83197E"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Deliver a high quality and patient centred glaucoma outpatient based service according to local and national standards</w:t>
      </w:r>
    </w:p>
    <w:p w14:paraId="2375D05A"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 xml:space="preserve">Ensure early assessment, diagnosis and initiation of appropriate treatment </w:t>
      </w:r>
    </w:p>
    <w:p w14:paraId="79C6D91E"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Consider using innovative service delivery methods to help release limited secondary care resources</w:t>
      </w:r>
    </w:p>
    <w:p w14:paraId="5C845E97"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Ensure follow up care is managed effectively</w:t>
      </w:r>
    </w:p>
    <w:p w14:paraId="5D2DA916" w14:textId="77777777" w:rsidR="00BE61CE" w:rsidRPr="008B6BA7" w:rsidRDefault="00BE61CE" w:rsidP="00A01256">
      <w:pPr>
        <w:pStyle w:val="Default"/>
        <w:numPr>
          <w:ilvl w:val="0"/>
          <w:numId w:val="1"/>
        </w:numPr>
        <w:spacing w:after="240"/>
        <w:ind w:left="1276"/>
        <w:jc w:val="both"/>
        <w:rPr>
          <w:sz w:val="22"/>
          <w:szCs w:val="22"/>
        </w:rPr>
      </w:pPr>
      <w:r w:rsidRPr="008B6BA7">
        <w:rPr>
          <w:sz w:val="22"/>
          <w:szCs w:val="22"/>
        </w:rPr>
        <w:t>Achieve Referral To Treatment performance targets and mandatory national guidelines</w:t>
      </w:r>
    </w:p>
    <w:p w14:paraId="3BBC8FDA" w14:textId="77777777" w:rsidR="00BE61CE" w:rsidRDefault="00BE61CE" w:rsidP="00A01256">
      <w:pPr>
        <w:pStyle w:val="Default"/>
        <w:numPr>
          <w:ilvl w:val="0"/>
          <w:numId w:val="1"/>
        </w:numPr>
        <w:spacing w:after="240"/>
        <w:ind w:left="1276"/>
        <w:jc w:val="both"/>
        <w:rPr>
          <w:sz w:val="22"/>
          <w:szCs w:val="22"/>
        </w:rPr>
      </w:pPr>
      <w:r w:rsidRPr="008B6BA7">
        <w:rPr>
          <w:sz w:val="22"/>
          <w:szCs w:val="22"/>
        </w:rPr>
        <w:t>Collaborate with referrers and other local Sub-Contractors to ensure pathways are seamless</w:t>
      </w:r>
    </w:p>
    <w:p w14:paraId="2CD14D04" w14:textId="3D27D8F2" w:rsidR="00430CFB" w:rsidRPr="008B6BA7" w:rsidRDefault="00430CFB" w:rsidP="00A01256">
      <w:pPr>
        <w:pStyle w:val="Default"/>
        <w:numPr>
          <w:ilvl w:val="0"/>
          <w:numId w:val="1"/>
        </w:numPr>
        <w:spacing w:after="240"/>
        <w:ind w:left="1276"/>
        <w:jc w:val="both"/>
        <w:rPr>
          <w:sz w:val="22"/>
          <w:szCs w:val="22"/>
        </w:rPr>
      </w:pPr>
      <w:r>
        <w:rPr>
          <w:sz w:val="22"/>
          <w:szCs w:val="22"/>
        </w:rPr>
        <w:lastRenderedPageBreak/>
        <w:t xml:space="preserve">Ensure that there is </w:t>
      </w:r>
      <w:proofErr w:type="gramStart"/>
      <w:r>
        <w:rPr>
          <w:sz w:val="22"/>
          <w:szCs w:val="22"/>
        </w:rPr>
        <w:t>an</w:t>
      </w:r>
      <w:proofErr w:type="gramEnd"/>
      <w:r>
        <w:rPr>
          <w:sz w:val="22"/>
          <w:szCs w:val="22"/>
        </w:rPr>
        <w:t xml:space="preserve"> named Ophthalmology Glaucoma Consultant for each patient who takes responsibility for the patient’s entire care pathway</w:t>
      </w:r>
      <w:r w:rsidR="00BB2DA5">
        <w:rPr>
          <w:sz w:val="22"/>
          <w:szCs w:val="22"/>
        </w:rPr>
        <w:t>. All new appointments should be consultant delivered.</w:t>
      </w:r>
    </w:p>
    <w:p w14:paraId="0D378B27" w14:textId="0151B45F" w:rsidR="00E346DA" w:rsidRDefault="003723F0" w:rsidP="004A59CA">
      <w:pPr>
        <w:pStyle w:val="Heading2"/>
      </w:pPr>
      <w:bookmarkStart w:id="3" w:name="_Toc492544865"/>
      <w:r w:rsidRPr="004A59CA">
        <w:t xml:space="preserve">2.2 </w:t>
      </w:r>
      <w:r w:rsidR="001878D7" w:rsidRPr="004A59CA">
        <w:tab/>
      </w:r>
      <w:r w:rsidR="00E346DA" w:rsidRPr="004A59CA">
        <w:t>Service Description and Care Pathway</w:t>
      </w:r>
      <w:bookmarkEnd w:id="3"/>
    </w:p>
    <w:p w14:paraId="3BA74142" w14:textId="746F2E83" w:rsidR="008B6BA7" w:rsidRPr="0072736E" w:rsidRDefault="004A59CA" w:rsidP="00CE676E">
      <w:pPr>
        <w:pStyle w:val="Default"/>
        <w:spacing w:after="240"/>
        <w:ind w:left="709"/>
        <w:jc w:val="both"/>
        <w:rPr>
          <w:sz w:val="22"/>
          <w:szCs w:val="22"/>
        </w:rPr>
      </w:pPr>
      <w:r>
        <w:rPr>
          <w:sz w:val="22"/>
          <w:szCs w:val="22"/>
        </w:rPr>
        <w:br/>
      </w:r>
      <w:r w:rsidR="008B6BA7">
        <w:rPr>
          <w:sz w:val="22"/>
          <w:szCs w:val="22"/>
        </w:rPr>
        <w:t xml:space="preserve">The following care pathway is intended as a guide to some of the key stages along a typical glaucoma patient’s pathway. UHBFT is aware that there are a variety of models across the country for delivery glaucoma outpatient care, and would be willing to discuss any model of care which deliveries high quality and safe care </w:t>
      </w:r>
      <w:r w:rsidR="008B6BA7" w:rsidRPr="0072736E">
        <w:rPr>
          <w:sz w:val="22"/>
          <w:szCs w:val="22"/>
        </w:rPr>
        <w:t>according to NICE guidance</w:t>
      </w:r>
      <w:r w:rsidR="0072736E">
        <w:rPr>
          <w:rStyle w:val="FootnoteReference"/>
          <w:sz w:val="22"/>
          <w:szCs w:val="22"/>
        </w:rPr>
        <w:footnoteReference w:id="1"/>
      </w:r>
      <w:r w:rsidR="008B6BA7" w:rsidRPr="0072736E">
        <w:rPr>
          <w:sz w:val="22"/>
          <w:szCs w:val="22"/>
        </w:rPr>
        <w:t>.</w:t>
      </w:r>
    </w:p>
    <w:p w14:paraId="494087CB" w14:textId="77777777" w:rsidR="00047E83" w:rsidRPr="001878D7" w:rsidRDefault="00047E83" w:rsidP="00CE676E">
      <w:pPr>
        <w:pStyle w:val="Default"/>
        <w:spacing w:after="240"/>
        <w:ind w:left="1134" w:hanging="425"/>
        <w:jc w:val="both"/>
        <w:rPr>
          <w:sz w:val="22"/>
          <w:szCs w:val="22"/>
        </w:rPr>
      </w:pPr>
      <w:r w:rsidRPr="001878D7">
        <w:rPr>
          <w:sz w:val="22"/>
          <w:szCs w:val="22"/>
        </w:rPr>
        <w:t xml:space="preserve">The key stages along the pathway are: </w:t>
      </w:r>
    </w:p>
    <w:p w14:paraId="4BA65681" w14:textId="77777777" w:rsidR="00C50B7E" w:rsidRPr="001878D7" w:rsidRDefault="00047E83" w:rsidP="00A01256">
      <w:pPr>
        <w:pStyle w:val="Default"/>
        <w:numPr>
          <w:ilvl w:val="0"/>
          <w:numId w:val="12"/>
        </w:numPr>
        <w:ind w:left="1418"/>
        <w:jc w:val="both"/>
        <w:rPr>
          <w:sz w:val="22"/>
          <w:szCs w:val="22"/>
        </w:rPr>
      </w:pPr>
      <w:r w:rsidRPr="001878D7">
        <w:rPr>
          <w:sz w:val="22"/>
          <w:szCs w:val="22"/>
        </w:rPr>
        <w:t>Stage 1 – Ref</w:t>
      </w:r>
      <w:r w:rsidR="000717DD" w:rsidRPr="001878D7">
        <w:rPr>
          <w:sz w:val="22"/>
          <w:szCs w:val="22"/>
        </w:rPr>
        <w:t>erral</w:t>
      </w:r>
    </w:p>
    <w:p w14:paraId="475171F2"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2 – Triage</w:t>
      </w:r>
    </w:p>
    <w:p w14:paraId="1A8D3E03"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3 – Clinical Assessment</w:t>
      </w:r>
    </w:p>
    <w:p w14:paraId="3790BE8D"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4 – Diagnostics</w:t>
      </w:r>
    </w:p>
    <w:p w14:paraId="46EAE94F" w14:textId="77777777" w:rsidR="00C50B7E" w:rsidRPr="001878D7" w:rsidRDefault="00047E83" w:rsidP="00A01256">
      <w:pPr>
        <w:pStyle w:val="Default"/>
        <w:numPr>
          <w:ilvl w:val="0"/>
          <w:numId w:val="12"/>
        </w:numPr>
        <w:ind w:left="1418"/>
        <w:jc w:val="both"/>
        <w:rPr>
          <w:sz w:val="22"/>
          <w:szCs w:val="22"/>
        </w:rPr>
      </w:pPr>
      <w:r w:rsidRPr="001878D7">
        <w:rPr>
          <w:sz w:val="22"/>
          <w:szCs w:val="22"/>
        </w:rPr>
        <w:t xml:space="preserve">Stage 5 </w:t>
      </w:r>
      <w:r w:rsidR="000717DD" w:rsidRPr="001878D7">
        <w:rPr>
          <w:sz w:val="22"/>
          <w:szCs w:val="22"/>
        </w:rPr>
        <w:t>– Treatment/Ongoing management</w:t>
      </w:r>
    </w:p>
    <w:p w14:paraId="3D055D7B" w14:textId="77777777" w:rsidR="00C50B7E" w:rsidRPr="001878D7" w:rsidRDefault="000717DD" w:rsidP="00A01256">
      <w:pPr>
        <w:pStyle w:val="Default"/>
        <w:numPr>
          <w:ilvl w:val="0"/>
          <w:numId w:val="12"/>
        </w:numPr>
        <w:ind w:left="1418"/>
        <w:jc w:val="both"/>
        <w:rPr>
          <w:sz w:val="22"/>
          <w:szCs w:val="22"/>
        </w:rPr>
      </w:pPr>
      <w:r w:rsidRPr="001878D7">
        <w:rPr>
          <w:sz w:val="22"/>
          <w:szCs w:val="22"/>
        </w:rPr>
        <w:t>Stage 6 – Onward referral</w:t>
      </w:r>
    </w:p>
    <w:p w14:paraId="11E01319" w14:textId="77777777" w:rsidR="00047E83" w:rsidRDefault="000717DD" w:rsidP="00A01256">
      <w:pPr>
        <w:pStyle w:val="Default"/>
        <w:numPr>
          <w:ilvl w:val="0"/>
          <w:numId w:val="12"/>
        </w:numPr>
        <w:ind w:left="1418"/>
        <w:jc w:val="both"/>
        <w:rPr>
          <w:sz w:val="22"/>
          <w:szCs w:val="22"/>
        </w:rPr>
      </w:pPr>
      <w:r w:rsidRPr="001878D7">
        <w:rPr>
          <w:sz w:val="22"/>
          <w:szCs w:val="22"/>
        </w:rPr>
        <w:t>Stage 7 – Discharge</w:t>
      </w:r>
    </w:p>
    <w:p w14:paraId="3681649F" w14:textId="77777777" w:rsidR="00CE676E" w:rsidRDefault="00CE676E" w:rsidP="00CE676E">
      <w:pPr>
        <w:pStyle w:val="Default"/>
        <w:spacing w:after="240"/>
        <w:ind w:left="1134"/>
        <w:jc w:val="both"/>
        <w:rPr>
          <w:sz w:val="22"/>
          <w:szCs w:val="22"/>
        </w:rPr>
      </w:pPr>
    </w:p>
    <w:p w14:paraId="0872ECCB" w14:textId="19AE011F" w:rsidR="00047E83" w:rsidRPr="004A59CA" w:rsidRDefault="004A59CA" w:rsidP="004A59CA">
      <w:pPr>
        <w:pStyle w:val="Heading3"/>
      </w:pPr>
      <w:bookmarkStart w:id="4" w:name="_Toc492544866"/>
      <w:r>
        <w:t>Stage 1: Referral</w:t>
      </w:r>
      <w:bookmarkEnd w:id="4"/>
    </w:p>
    <w:p w14:paraId="763FF8FA" w14:textId="363429C5" w:rsidR="003A7EAF" w:rsidRPr="001878D7" w:rsidRDefault="00430CFB" w:rsidP="00D91BD8">
      <w:pPr>
        <w:pStyle w:val="Default"/>
        <w:spacing w:after="240"/>
        <w:ind w:left="709"/>
        <w:jc w:val="both"/>
        <w:rPr>
          <w:sz w:val="22"/>
          <w:szCs w:val="22"/>
        </w:rPr>
      </w:pPr>
      <w:r>
        <w:rPr>
          <w:sz w:val="22"/>
          <w:szCs w:val="22"/>
        </w:rPr>
        <w:t>All glaucoma r</w:t>
      </w:r>
      <w:r w:rsidR="008B6BA7">
        <w:rPr>
          <w:sz w:val="22"/>
          <w:szCs w:val="22"/>
        </w:rPr>
        <w:t xml:space="preserve">eferrals will </w:t>
      </w:r>
      <w:r w:rsidR="00D91BD8">
        <w:rPr>
          <w:sz w:val="22"/>
          <w:szCs w:val="22"/>
        </w:rPr>
        <w:t xml:space="preserve">continue to be received by UHBFT. </w:t>
      </w:r>
      <w:r>
        <w:rPr>
          <w:sz w:val="22"/>
          <w:szCs w:val="22"/>
        </w:rPr>
        <w:t xml:space="preserve">Referrals which the Trust receives on paper (i.e. fax or post) will be scanned onto the Trust’s Electronic Referrals Handling Application (ERHA) by UHBFT. </w:t>
      </w:r>
      <w:r w:rsidR="00D91BD8">
        <w:rPr>
          <w:sz w:val="22"/>
          <w:szCs w:val="22"/>
        </w:rPr>
        <w:t xml:space="preserve">The Trust will also continue to receive referrals electronically via </w:t>
      </w:r>
      <w:proofErr w:type="spellStart"/>
      <w:r w:rsidR="00D91BD8">
        <w:rPr>
          <w:sz w:val="22"/>
          <w:szCs w:val="22"/>
        </w:rPr>
        <w:t>eReferrals</w:t>
      </w:r>
      <w:proofErr w:type="spellEnd"/>
      <w:r w:rsidR="00D91BD8">
        <w:rPr>
          <w:sz w:val="22"/>
          <w:szCs w:val="22"/>
        </w:rPr>
        <w:t xml:space="preserve">. </w:t>
      </w:r>
    </w:p>
    <w:p w14:paraId="14E5C4ED" w14:textId="77777777" w:rsidR="00047E83" w:rsidRPr="001878D7" w:rsidRDefault="00047E83" w:rsidP="00CE676E">
      <w:pPr>
        <w:pStyle w:val="Default"/>
        <w:spacing w:after="240"/>
        <w:ind w:left="709"/>
        <w:jc w:val="both"/>
        <w:rPr>
          <w:sz w:val="22"/>
          <w:szCs w:val="22"/>
        </w:rPr>
      </w:pPr>
      <w:r w:rsidRPr="001878D7">
        <w:rPr>
          <w:sz w:val="22"/>
          <w:szCs w:val="22"/>
        </w:rPr>
        <w:t xml:space="preserve">The outcome of referral </w:t>
      </w:r>
      <w:r w:rsidR="000717DD" w:rsidRPr="001878D7">
        <w:rPr>
          <w:sz w:val="22"/>
          <w:szCs w:val="22"/>
        </w:rPr>
        <w:t xml:space="preserve">stage </w:t>
      </w:r>
      <w:r w:rsidRPr="001878D7">
        <w:rPr>
          <w:sz w:val="22"/>
          <w:szCs w:val="22"/>
        </w:rPr>
        <w:t xml:space="preserve">will be: </w:t>
      </w:r>
    </w:p>
    <w:p w14:paraId="6BA94407" w14:textId="658566F0" w:rsidR="00047E83" w:rsidRPr="001878D7" w:rsidRDefault="004A59CA" w:rsidP="004A59CA">
      <w:pPr>
        <w:pStyle w:val="Heading3"/>
      </w:pPr>
      <w:bookmarkStart w:id="5" w:name="_Toc492544867"/>
      <w:r>
        <w:t>Stage 2: Triage</w:t>
      </w:r>
      <w:bookmarkEnd w:id="5"/>
    </w:p>
    <w:p w14:paraId="0A6F0910" w14:textId="32F06F6B" w:rsidR="00D91BD8" w:rsidRDefault="00D91BD8" w:rsidP="00D91BD8">
      <w:pPr>
        <w:pStyle w:val="Default"/>
        <w:spacing w:after="240"/>
        <w:ind w:left="709"/>
        <w:jc w:val="both"/>
        <w:rPr>
          <w:sz w:val="22"/>
          <w:szCs w:val="22"/>
        </w:rPr>
      </w:pPr>
      <w:r>
        <w:rPr>
          <w:sz w:val="22"/>
          <w:szCs w:val="22"/>
        </w:rPr>
        <w:t xml:space="preserve">Once the referrals have been uploaded into ERHA or </w:t>
      </w:r>
      <w:proofErr w:type="spellStart"/>
      <w:r>
        <w:rPr>
          <w:sz w:val="22"/>
          <w:szCs w:val="22"/>
        </w:rPr>
        <w:t>eReferrals</w:t>
      </w:r>
      <w:proofErr w:type="spellEnd"/>
      <w:r>
        <w:rPr>
          <w:sz w:val="22"/>
          <w:szCs w:val="22"/>
        </w:rPr>
        <w:t xml:space="preserve">, the referrals will be triaged by an appropriately qualified glaucoma health care professional employed by the Sub-Contractor. The Sub-Contractor will use UHBFT’s IT systems to triage the referrals and provide booking instructions. </w:t>
      </w:r>
    </w:p>
    <w:p w14:paraId="60BB676E" w14:textId="77777777" w:rsidR="00D91BD8" w:rsidRPr="001878D7" w:rsidRDefault="00D91BD8" w:rsidP="00D91BD8">
      <w:pPr>
        <w:pStyle w:val="Default"/>
        <w:spacing w:after="240"/>
        <w:ind w:left="709"/>
        <w:jc w:val="both"/>
        <w:rPr>
          <w:sz w:val="22"/>
          <w:szCs w:val="22"/>
        </w:rPr>
      </w:pPr>
      <w:r w:rsidRPr="001878D7">
        <w:rPr>
          <w:sz w:val="22"/>
          <w:szCs w:val="22"/>
        </w:rPr>
        <w:t xml:space="preserve">The </w:t>
      </w:r>
      <w:r>
        <w:rPr>
          <w:sz w:val="22"/>
          <w:szCs w:val="22"/>
        </w:rPr>
        <w:t xml:space="preserve">Sub-Contractor </w:t>
      </w:r>
      <w:r w:rsidRPr="001878D7">
        <w:rPr>
          <w:sz w:val="22"/>
          <w:szCs w:val="22"/>
        </w:rPr>
        <w:t xml:space="preserve">will be expected to accept </w:t>
      </w:r>
      <w:r>
        <w:rPr>
          <w:sz w:val="22"/>
          <w:szCs w:val="22"/>
        </w:rPr>
        <w:t>and manage patients with</w:t>
      </w:r>
      <w:r w:rsidRPr="001878D7">
        <w:rPr>
          <w:sz w:val="22"/>
          <w:szCs w:val="22"/>
        </w:rPr>
        <w:t>:</w:t>
      </w:r>
    </w:p>
    <w:p w14:paraId="107BBEC8" w14:textId="77777777" w:rsidR="00D91BD8" w:rsidRPr="001878D7" w:rsidRDefault="00D91BD8" w:rsidP="00D91BD8">
      <w:pPr>
        <w:pStyle w:val="Default"/>
        <w:numPr>
          <w:ilvl w:val="0"/>
          <w:numId w:val="6"/>
        </w:numPr>
        <w:ind w:left="993" w:firstLine="0"/>
        <w:jc w:val="both"/>
        <w:rPr>
          <w:sz w:val="22"/>
          <w:szCs w:val="22"/>
        </w:rPr>
      </w:pPr>
      <w:r w:rsidRPr="001878D7">
        <w:rPr>
          <w:sz w:val="22"/>
          <w:szCs w:val="22"/>
        </w:rPr>
        <w:t>Glaucoma suspect</w:t>
      </w:r>
    </w:p>
    <w:p w14:paraId="7652ADA2" w14:textId="77777777" w:rsidR="00D91BD8" w:rsidRPr="001878D7" w:rsidRDefault="00D91BD8" w:rsidP="00D91BD8">
      <w:pPr>
        <w:pStyle w:val="Default"/>
        <w:numPr>
          <w:ilvl w:val="0"/>
          <w:numId w:val="6"/>
        </w:numPr>
        <w:ind w:left="993" w:firstLine="0"/>
        <w:jc w:val="both"/>
        <w:rPr>
          <w:sz w:val="22"/>
          <w:szCs w:val="22"/>
        </w:rPr>
      </w:pPr>
      <w:r w:rsidRPr="001878D7">
        <w:rPr>
          <w:sz w:val="22"/>
          <w:szCs w:val="22"/>
        </w:rPr>
        <w:t>Ocular hypertension</w:t>
      </w:r>
    </w:p>
    <w:p w14:paraId="5CDC1BC8" w14:textId="77777777" w:rsidR="00D91BD8" w:rsidRDefault="00D91BD8" w:rsidP="00D91BD8">
      <w:pPr>
        <w:pStyle w:val="Default"/>
        <w:numPr>
          <w:ilvl w:val="0"/>
          <w:numId w:val="6"/>
        </w:numPr>
        <w:ind w:left="993" w:firstLine="0"/>
        <w:jc w:val="both"/>
        <w:rPr>
          <w:sz w:val="22"/>
          <w:szCs w:val="22"/>
        </w:rPr>
      </w:pPr>
      <w:r w:rsidRPr="001878D7">
        <w:rPr>
          <w:sz w:val="22"/>
          <w:szCs w:val="22"/>
        </w:rPr>
        <w:t>Mild-moderate glaucoma</w:t>
      </w:r>
    </w:p>
    <w:p w14:paraId="6E44B56A" w14:textId="77777777" w:rsidR="00A20794" w:rsidRPr="001878D7" w:rsidRDefault="00A20794" w:rsidP="00A20794">
      <w:pPr>
        <w:pStyle w:val="Default"/>
        <w:numPr>
          <w:ilvl w:val="0"/>
          <w:numId w:val="6"/>
        </w:numPr>
        <w:ind w:left="993" w:firstLine="0"/>
        <w:jc w:val="both"/>
        <w:rPr>
          <w:sz w:val="22"/>
          <w:szCs w:val="22"/>
        </w:rPr>
      </w:pPr>
      <w:r w:rsidRPr="001878D7">
        <w:rPr>
          <w:sz w:val="22"/>
          <w:szCs w:val="22"/>
        </w:rPr>
        <w:t>Urgent patients (less tha</w:t>
      </w:r>
      <w:r>
        <w:rPr>
          <w:sz w:val="22"/>
          <w:szCs w:val="22"/>
        </w:rPr>
        <w:t>n</w:t>
      </w:r>
      <w:r w:rsidRPr="001878D7">
        <w:rPr>
          <w:sz w:val="22"/>
          <w:szCs w:val="22"/>
        </w:rPr>
        <w:t xml:space="preserve"> 4 weeks)</w:t>
      </w:r>
    </w:p>
    <w:p w14:paraId="5CF09B8B" w14:textId="77777777" w:rsidR="00A20794" w:rsidRPr="001878D7" w:rsidRDefault="00A20794" w:rsidP="00A20794">
      <w:pPr>
        <w:pStyle w:val="Default"/>
        <w:numPr>
          <w:ilvl w:val="0"/>
          <w:numId w:val="6"/>
        </w:numPr>
        <w:ind w:left="993" w:firstLine="0"/>
        <w:jc w:val="both"/>
        <w:rPr>
          <w:sz w:val="22"/>
          <w:szCs w:val="22"/>
        </w:rPr>
      </w:pPr>
      <w:r w:rsidRPr="001878D7">
        <w:rPr>
          <w:sz w:val="22"/>
          <w:szCs w:val="22"/>
        </w:rPr>
        <w:t xml:space="preserve">Out of control pressure </w:t>
      </w:r>
      <w:r>
        <w:rPr>
          <w:sz w:val="22"/>
          <w:szCs w:val="22"/>
        </w:rPr>
        <w:t>(</w:t>
      </w:r>
      <w:r w:rsidRPr="001878D7">
        <w:rPr>
          <w:sz w:val="22"/>
          <w:szCs w:val="22"/>
        </w:rPr>
        <w:t>over 32mmHg)</w:t>
      </w:r>
    </w:p>
    <w:p w14:paraId="0322B249" w14:textId="158BFCE3" w:rsidR="00D91BD8" w:rsidRPr="001878D7" w:rsidRDefault="00A20794" w:rsidP="00A20794">
      <w:pPr>
        <w:pStyle w:val="Default"/>
        <w:numPr>
          <w:ilvl w:val="0"/>
          <w:numId w:val="6"/>
        </w:numPr>
        <w:ind w:left="993" w:firstLine="0"/>
        <w:jc w:val="both"/>
        <w:rPr>
          <w:sz w:val="22"/>
          <w:szCs w:val="22"/>
        </w:rPr>
      </w:pPr>
      <w:r w:rsidRPr="001878D7">
        <w:rPr>
          <w:sz w:val="22"/>
          <w:szCs w:val="22"/>
        </w:rPr>
        <w:t>Advanced glaucoma</w:t>
      </w:r>
    </w:p>
    <w:p w14:paraId="36715EB1" w14:textId="77777777" w:rsidR="00A20794" w:rsidRDefault="00A20794" w:rsidP="00D91BD8">
      <w:pPr>
        <w:pStyle w:val="Default"/>
        <w:spacing w:after="240"/>
        <w:ind w:left="709"/>
        <w:jc w:val="both"/>
        <w:rPr>
          <w:sz w:val="22"/>
          <w:szCs w:val="22"/>
        </w:rPr>
      </w:pPr>
    </w:p>
    <w:p w14:paraId="651E39D6" w14:textId="77777777" w:rsidR="00D91BD8" w:rsidRPr="001878D7" w:rsidRDefault="00D91BD8" w:rsidP="00D91BD8">
      <w:pPr>
        <w:pStyle w:val="Default"/>
        <w:spacing w:after="240"/>
        <w:ind w:left="709"/>
        <w:jc w:val="both"/>
        <w:rPr>
          <w:sz w:val="22"/>
          <w:szCs w:val="22"/>
        </w:rPr>
      </w:pPr>
      <w:r w:rsidRPr="001878D7">
        <w:rPr>
          <w:sz w:val="22"/>
          <w:szCs w:val="22"/>
        </w:rPr>
        <w:t xml:space="preserve">The </w:t>
      </w:r>
      <w:r>
        <w:rPr>
          <w:sz w:val="22"/>
          <w:szCs w:val="22"/>
        </w:rPr>
        <w:t xml:space="preserve">Sub-Contractor </w:t>
      </w:r>
      <w:r w:rsidRPr="001878D7">
        <w:rPr>
          <w:sz w:val="22"/>
          <w:szCs w:val="22"/>
        </w:rPr>
        <w:t>would not be expected to see:</w:t>
      </w:r>
    </w:p>
    <w:p w14:paraId="4E42430E" w14:textId="4106FC83" w:rsidR="00D91BD8" w:rsidRPr="001878D7" w:rsidRDefault="00D91BD8" w:rsidP="00D91BD8">
      <w:pPr>
        <w:pStyle w:val="Default"/>
        <w:numPr>
          <w:ilvl w:val="0"/>
          <w:numId w:val="7"/>
        </w:numPr>
        <w:ind w:left="993" w:firstLine="0"/>
        <w:jc w:val="both"/>
        <w:rPr>
          <w:sz w:val="22"/>
          <w:szCs w:val="22"/>
        </w:rPr>
      </w:pPr>
      <w:r w:rsidRPr="001878D7">
        <w:rPr>
          <w:sz w:val="22"/>
          <w:szCs w:val="22"/>
        </w:rPr>
        <w:lastRenderedPageBreak/>
        <w:t xml:space="preserve">Patients under the age of 18 </w:t>
      </w:r>
    </w:p>
    <w:p w14:paraId="02B732E2" w14:textId="53F38A21" w:rsidR="00D91BD8" w:rsidRDefault="00D91BD8" w:rsidP="00D91BD8">
      <w:pPr>
        <w:pStyle w:val="Default"/>
        <w:numPr>
          <w:ilvl w:val="0"/>
          <w:numId w:val="7"/>
        </w:numPr>
        <w:ind w:left="993" w:firstLine="0"/>
        <w:jc w:val="both"/>
        <w:rPr>
          <w:sz w:val="22"/>
          <w:szCs w:val="22"/>
        </w:rPr>
      </w:pPr>
      <w:r w:rsidRPr="001878D7">
        <w:rPr>
          <w:sz w:val="22"/>
          <w:szCs w:val="22"/>
        </w:rPr>
        <w:t>Patients requiring surgical treatment</w:t>
      </w:r>
    </w:p>
    <w:p w14:paraId="7656FF35" w14:textId="59CA8E91" w:rsidR="00097FBE" w:rsidRDefault="00097FBE" w:rsidP="00376BB0">
      <w:pPr>
        <w:pStyle w:val="Default"/>
        <w:numPr>
          <w:ilvl w:val="0"/>
          <w:numId w:val="7"/>
        </w:numPr>
        <w:ind w:left="1418" w:hanging="425"/>
        <w:jc w:val="both"/>
        <w:rPr>
          <w:sz w:val="22"/>
          <w:szCs w:val="22"/>
        </w:rPr>
      </w:pPr>
      <w:r>
        <w:rPr>
          <w:sz w:val="22"/>
          <w:szCs w:val="22"/>
        </w:rPr>
        <w:t>Patients requiring input from other sub-specialities (e.g. Medical Retina or Neuro-Ophthalmology)</w:t>
      </w:r>
    </w:p>
    <w:p w14:paraId="4C003068" w14:textId="60445F75" w:rsidR="00D91BD8" w:rsidRDefault="00A20794" w:rsidP="00CE676E">
      <w:pPr>
        <w:pStyle w:val="Default"/>
        <w:spacing w:after="240"/>
        <w:ind w:left="709"/>
        <w:jc w:val="both"/>
        <w:rPr>
          <w:sz w:val="22"/>
          <w:szCs w:val="22"/>
        </w:rPr>
      </w:pPr>
      <w:r>
        <w:rPr>
          <w:sz w:val="22"/>
          <w:szCs w:val="22"/>
        </w:rPr>
        <w:br/>
      </w:r>
      <w:r w:rsidR="00047E83" w:rsidRPr="001878D7">
        <w:rPr>
          <w:sz w:val="22"/>
          <w:szCs w:val="22"/>
        </w:rPr>
        <w:t xml:space="preserve">On receipt of the referral the </w:t>
      </w:r>
      <w:r w:rsidR="008B6BA7">
        <w:rPr>
          <w:sz w:val="22"/>
          <w:szCs w:val="22"/>
        </w:rPr>
        <w:t>Sub-Contractor</w:t>
      </w:r>
      <w:r w:rsidR="00047E83" w:rsidRPr="001878D7">
        <w:rPr>
          <w:sz w:val="22"/>
          <w:szCs w:val="22"/>
        </w:rPr>
        <w:t xml:space="preserve"> will be expected to undertake triage to assess clinical appropriateness and to enable the referral to be shortlisted to the relevant </w:t>
      </w:r>
      <w:r w:rsidR="000717DD" w:rsidRPr="001878D7">
        <w:rPr>
          <w:sz w:val="22"/>
          <w:szCs w:val="22"/>
        </w:rPr>
        <w:t>clinician</w:t>
      </w:r>
      <w:r w:rsidR="00047E83" w:rsidRPr="001878D7">
        <w:rPr>
          <w:sz w:val="22"/>
          <w:szCs w:val="22"/>
        </w:rPr>
        <w:t xml:space="preserve">. The referral must undergo an initial triage by the receiving provider within </w:t>
      </w:r>
      <w:r>
        <w:rPr>
          <w:sz w:val="22"/>
          <w:szCs w:val="22"/>
        </w:rPr>
        <w:t>4</w:t>
      </w:r>
      <w:r w:rsidR="00047E83" w:rsidRPr="001878D7">
        <w:rPr>
          <w:sz w:val="22"/>
          <w:szCs w:val="22"/>
        </w:rPr>
        <w:t xml:space="preserve"> working day</w:t>
      </w:r>
      <w:r w:rsidR="00DD3030" w:rsidRPr="001878D7">
        <w:rPr>
          <w:sz w:val="22"/>
          <w:szCs w:val="22"/>
        </w:rPr>
        <w:t>s</w:t>
      </w:r>
      <w:r w:rsidR="00047E83" w:rsidRPr="001878D7">
        <w:rPr>
          <w:sz w:val="22"/>
          <w:szCs w:val="22"/>
        </w:rPr>
        <w:t xml:space="preserve"> from receipt of referral</w:t>
      </w:r>
      <w:r w:rsidR="00D91BD8">
        <w:rPr>
          <w:sz w:val="22"/>
          <w:szCs w:val="22"/>
        </w:rPr>
        <w:t>. The Sub-Contractor must ensure that there is enough clinical capacity for the patient to be booked an appointment at the point of triage within 6 weeks or sooner if clinically required.</w:t>
      </w:r>
      <w:r w:rsidR="003E2733">
        <w:rPr>
          <w:sz w:val="22"/>
          <w:szCs w:val="22"/>
        </w:rPr>
        <w:t xml:space="preserve"> UHBFT’s Booking Centre will book the </w:t>
      </w:r>
      <w:r>
        <w:rPr>
          <w:sz w:val="22"/>
          <w:szCs w:val="22"/>
        </w:rPr>
        <w:t xml:space="preserve">new patient </w:t>
      </w:r>
      <w:r w:rsidR="003E2733">
        <w:rPr>
          <w:sz w:val="22"/>
          <w:szCs w:val="22"/>
        </w:rPr>
        <w:t>appointment</w:t>
      </w:r>
      <w:r>
        <w:rPr>
          <w:sz w:val="22"/>
          <w:szCs w:val="22"/>
        </w:rPr>
        <w:t>s</w:t>
      </w:r>
      <w:r w:rsidR="003E2733">
        <w:rPr>
          <w:sz w:val="22"/>
          <w:szCs w:val="22"/>
        </w:rPr>
        <w:t xml:space="preserve"> according to the Sub-Contractor’s instructions</w:t>
      </w:r>
      <w:r>
        <w:rPr>
          <w:sz w:val="22"/>
          <w:szCs w:val="22"/>
        </w:rPr>
        <w:t xml:space="preserve"> if there is capacity available within PAS. It is expected that the </w:t>
      </w:r>
      <w:r w:rsidR="003E2733">
        <w:rPr>
          <w:sz w:val="22"/>
          <w:szCs w:val="22"/>
        </w:rPr>
        <w:t>Sub-Contractor</w:t>
      </w:r>
      <w:r>
        <w:rPr>
          <w:sz w:val="22"/>
          <w:szCs w:val="22"/>
        </w:rPr>
        <w:t xml:space="preserve"> will employ admin staff to create clinics in UHBFT’s PAS system. If UHBFT’s Booking Centre is unable to book the appointments because there is no capacity in UHBFT’s PAS system at the point triage, the Sub-Contractor will be responsible for booking the appointments.</w:t>
      </w:r>
    </w:p>
    <w:p w14:paraId="4ACC2652" w14:textId="4E939AD4" w:rsidR="00097FBE" w:rsidRDefault="00097FBE" w:rsidP="00CE676E">
      <w:pPr>
        <w:pStyle w:val="Default"/>
        <w:spacing w:after="240"/>
        <w:ind w:left="709"/>
        <w:jc w:val="both"/>
        <w:rPr>
          <w:sz w:val="22"/>
          <w:szCs w:val="22"/>
        </w:rPr>
      </w:pPr>
      <w:r>
        <w:rPr>
          <w:sz w:val="22"/>
          <w:szCs w:val="22"/>
        </w:rPr>
        <w:t>Clinicians who require frequent access to UHBFT’s IT systems to enable them to triage referrals without delay, can be provided with VPN access to enable them to access UHBFT’s IT system off site. VPN approval is to be provided on case by case basis based on clinical need. All staff employed by the Sub-Contractor working as part of the service must undertake training on UHBFT’s IT systems and processes.</w:t>
      </w:r>
    </w:p>
    <w:p w14:paraId="27F4518B" w14:textId="77777777" w:rsidR="00047E83" w:rsidRPr="001878D7" w:rsidRDefault="00EE1EAC" w:rsidP="00CE676E">
      <w:pPr>
        <w:pStyle w:val="Default"/>
        <w:spacing w:after="240"/>
        <w:ind w:left="709"/>
        <w:jc w:val="both"/>
        <w:rPr>
          <w:sz w:val="22"/>
          <w:szCs w:val="22"/>
        </w:rPr>
      </w:pPr>
      <w:r w:rsidRPr="001878D7">
        <w:rPr>
          <w:sz w:val="22"/>
          <w:szCs w:val="22"/>
        </w:rPr>
        <w:t>The main outcome</w:t>
      </w:r>
      <w:r w:rsidR="00047E83" w:rsidRPr="001878D7">
        <w:rPr>
          <w:sz w:val="22"/>
          <w:szCs w:val="22"/>
        </w:rPr>
        <w:t xml:space="preserve"> of triage will </w:t>
      </w:r>
      <w:r w:rsidRPr="001878D7">
        <w:rPr>
          <w:sz w:val="22"/>
          <w:szCs w:val="22"/>
        </w:rPr>
        <w:t>be</w:t>
      </w:r>
      <w:r w:rsidR="00047E83" w:rsidRPr="001878D7">
        <w:rPr>
          <w:sz w:val="22"/>
          <w:szCs w:val="22"/>
        </w:rPr>
        <w:t xml:space="preserve">: </w:t>
      </w:r>
    </w:p>
    <w:p w14:paraId="222C968A" w14:textId="0B220FF2" w:rsidR="00047E83" w:rsidRPr="001878D7" w:rsidRDefault="004A59CA" w:rsidP="004A59CA">
      <w:pPr>
        <w:pStyle w:val="Heading3"/>
      </w:pPr>
      <w:bookmarkStart w:id="6" w:name="_Toc492544868"/>
      <w:r>
        <w:t>Stage 3: Clinical Assessment</w:t>
      </w:r>
      <w:bookmarkEnd w:id="6"/>
    </w:p>
    <w:p w14:paraId="170AD716" w14:textId="11C2B9E2" w:rsidR="00EE1EAC" w:rsidRPr="001878D7" w:rsidRDefault="00047E83" w:rsidP="00CE676E">
      <w:pPr>
        <w:pStyle w:val="Default"/>
        <w:spacing w:after="240"/>
        <w:ind w:left="709"/>
        <w:jc w:val="both"/>
        <w:rPr>
          <w:sz w:val="22"/>
          <w:szCs w:val="22"/>
        </w:rPr>
      </w:pPr>
      <w:r w:rsidRPr="001878D7">
        <w:rPr>
          <w:sz w:val="22"/>
          <w:szCs w:val="22"/>
        </w:rPr>
        <w:t xml:space="preserve">Clinical assessment requires a face-to-face meeting between the patient and an appropriately accredited healthcare professional at which an assessment of the patient’s condition is undertaken. </w:t>
      </w:r>
      <w:r w:rsidR="003E2733">
        <w:rPr>
          <w:sz w:val="22"/>
          <w:szCs w:val="22"/>
        </w:rPr>
        <w:t>All patients must be under a named con</w:t>
      </w:r>
      <w:r w:rsidR="00A20794">
        <w:rPr>
          <w:sz w:val="22"/>
          <w:szCs w:val="22"/>
        </w:rPr>
        <w:t xml:space="preserve">sultant who will </w:t>
      </w:r>
      <w:r w:rsidR="003E2733">
        <w:rPr>
          <w:sz w:val="22"/>
          <w:szCs w:val="22"/>
        </w:rPr>
        <w:t xml:space="preserve">take responsibility for each patient’s care throughout the contract period. This named consultant will be registered on the IT system and patients will be booked under this consultant’s name. </w:t>
      </w:r>
      <w:r w:rsidR="00A20794">
        <w:rPr>
          <w:sz w:val="22"/>
          <w:szCs w:val="22"/>
        </w:rPr>
        <w:t>Clinical Assessment</w:t>
      </w:r>
      <w:r w:rsidRPr="001878D7">
        <w:rPr>
          <w:sz w:val="22"/>
          <w:szCs w:val="22"/>
        </w:rPr>
        <w:t xml:space="preserve"> should occur as soon </w:t>
      </w:r>
      <w:r w:rsidR="0012276D" w:rsidRPr="001878D7">
        <w:rPr>
          <w:sz w:val="22"/>
          <w:szCs w:val="22"/>
        </w:rPr>
        <w:t>as practicable following triage</w:t>
      </w:r>
      <w:r w:rsidR="005B2FE6" w:rsidRPr="001878D7">
        <w:rPr>
          <w:sz w:val="22"/>
          <w:szCs w:val="22"/>
        </w:rPr>
        <w:t>. The first appoin</w:t>
      </w:r>
      <w:r w:rsidR="00A00AA9">
        <w:rPr>
          <w:sz w:val="22"/>
          <w:szCs w:val="22"/>
        </w:rPr>
        <w:t>tment should take place within 6</w:t>
      </w:r>
      <w:r w:rsidR="004614FE">
        <w:rPr>
          <w:sz w:val="22"/>
          <w:szCs w:val="22"/>
        </w:rPr>
        <w:t xml:space="preserve"> weeks </w:t>
      </w:r>
      <w:r w:rsidR="00A20794">
        <w:rPr>
          <w:sz w:val="22"/>
          <w:szCs w:val="22"/>
        </w:rPr>
        <w:t>of the referral date from UHBFT or sooner if clinically indicated.</w:t>
      </w:r>
    </w:p>
    <w:p w14:paraId="502BC918" w14:textId="77777777" w:rsidR="00047E83" w:rsidRPr="001878D7" w:rsidRDefault="00047E83" w:rsidP="00CE676E">
      <w:pPr>
        <w:pStyle w:val="Default"/>
        <w:spacing w:after="240"/>
        <w:ind w:left="709"/>
        <w:jc w:val="both"/>
        <w:rPr>
          <w:sz w:val="22"/>
          <w:szCs w:val="22"/>
        </w:rPr>
      </w:pPr>
      <w:r w:rsidRPr="001878D7">
        <w:rPr>
          <w:sz w:val="22"/>
          <w:szCs w:val="22"/>
        </w:rPr>
        <w:t>Clinical assessment in this context may also include</w:t>
      </w:r>
      <w:r w:rsidR="00EE1EAC" w:rsidRPr="001878D7">
        <w:rPr>
          <w:sz w:val="22"/>
          <w:szCs w:val="22"/>
        </w:rPr>
        <w:t>:</w:t>
      </w:r>
      <w:r w:rsidRPr="001878D7">
        <w:rPr>
          <w:sz w:val="22"/>
          <w:szCs w:val="22"/>
        </w:rPr>
        <w:t xml:space="preserve"> </w:t>
      </w:r>
    </w:p>
    <w:p w14:paraId="3ACE7D67"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Appropriate diagnostic tests </w:t>
      </w:r>
    </w:p>
    <w:p w14:paraId="1EADB089"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Patient counselling </w:t>
      </w:r>
    </w:p>
    <w:p w14:paraId="09BAB936" w14:textId="77777777" w:rsidR="00EE1EAC" w:rsidRPr="001878D7" w:rsidRDefault="00047E83" w:rsidP="00A01256">
      <w:pPr>
        <w:pStyle w:val="Default"/>
        <w:numPr>
          <w:ilvl w:val="0"/>
          <w:numId w:val="13"/>
        </w:numPr>
        <w:ind w:left="1418"/>
        <w:jc w:val="both"/>
        <w:rPr>
          <w:sz w:val="22"/>
          <w:szCs w:val="22"/>
        </w:rPr>
      </w:pPr>
      <w:r w:rsidRPr="001878D7">
        <w:rPr>
          <w:sz w:val="22"/>
          <w:szCs w:val="22"/>
        </w:rPr>
        <w:t xml:space="preserve">Treatments and therapies </w:t>
      </w:r>
    </w:p>
    <w:p w14:paraId="5B601239" w14:textId="77777777" w:rsidR="00047E83" w:rsidRDefault="00047E83" w:rsidP="00A01256">
      <w:pPr>
        <w:pStyle w:val="Default"/>
        <w:numPr>
          <w:ilvl w:val="0"/>
          <w:numId w:val="13"/>
        </w:numPr>
        <w:ind w:left="1418"/>
        <w:jc w:val="both"/>
        <w:rPr>
          <w:sz w:val="22"/>
          <w:szCs w:val="22"/>
        </w:rPr>
      </w:pPr>
      <w:r w:rsidRPr="001878D7">
        <w:rPr>
          <w:sz w:val="22"/>
          <w:szCs w:val="22"/>
        </w:rPr>
        <w:t xml:space="preserve">Re-assessment following service treatment </w:t>
      </w:r>
    </w:p>
    <w:p w14:paraId="49D51CF5" w14:textId="77777777" w:rsidR="00CE676E" w:rsidRDefault="00CE676E" w:rsidP="00CE676E">
      <w:pPr>
        <w:pStyle w:val="Default"/>
        <w:ind w:left="709"/>
        <w:jc w:val="both"/>
        <w:rPr>
          <w:sz w:val="22"/>
          <w:szCs w:val="22"/>
        </w:rPr>
      </w:pPr>
    </w:p>
    <w:p w14:paraId="7C2AFC05" w14:textId="7FA26B7B" w:rsidR="003E2733" w:rsidRDefault="003E2733" w:rsidP="00CE676E">
      <w:pPr>
        <w:pStyle w:val="Default"/>
        <w:ind w:left="709"/>
        <w:jc w:val="both"/>
        <w:rPr>
          <w:sz w:val="22"/>
          <w:szCs w:val="22"/>
        </w:rPr>
      </w:pPr>
      <w:r>
        <w:rPr>
          <w:sz w:val="22"/>
          <w:szCs w:val="22"/>
        </w:rPr>
        <w:t xml:space="preserve">The Sub-Contractor will be expected to undertake Clinical Assessments at UHBFT’s premises within the Ophthalmology department. These clinics must take place out of core hours which are evenings and Sundays. The Sub-Contractor must use its own staff, including medical, optometry, nursing, technicians and receptionists. The Sub-Contractor must use UHBFT’s IT systems and processes in order to ensure that the patient activity and Clinical Assessments are recorded </w:t>
      </w:r>
      <w:r w:rsidR="00DD27EF">
        <w:rPr>
          <w:sz w:val="22"/>
          <w:szCs w:val="22"/>
        </w:rPr>
        <w:t xml:space="preserve">and </w:t>
      </w:r>
      <w:proofErr w:type="spellStart"/>
      <w:r w:rsidR="00DD27EF">
        <w:rPr>
          <w:sz w:val="22"/>
          <w:szCs w:val="22"/>
        </w:rPr>
        <w:t>outcomed</w:t>
      </w:r>
      <w:proofErr w:type="spellEnd"/>
      <w:r w:rsidR="00DD27EF">
        <w:rPr>
          <w:sz w:val="22"/>
          <w:szCs w:val="22"/>
        </w:rPr>
        <w:t xml:space="preserve"> </w:t>
      </w:r>
      <w:r>
        <w:rPr>
          <w:sz w:val="22"/>
          <w:szCs w:val="22"/>
        </w:rPr>
        <w:t xml:space="preserve">appropriately. </w:t>
      </w:r>
      <w:r w:rsidR="00DD27EF">
        <w:rPr>
          <w:sz w:val="22"/>
          <w:szCs w:val="22"/>
        </w:rPr>
        <w:t xml:space="preserve">Where clinical information is missing, it will be the Sub-Contractor’s responsibility to rectify the missing data within 5 working days. </w:t>
      </w:r>
      <w:r w:rsidR="00601EC3">
        <w:rPr>
          <w:sz w:val="22"/>
          <w:szCs w:val="22"/>
        </w:rPr>
        <w:t>All staff employed by the Sub-Contractor working as part of the service must undertake training on UHBFT’s IT systems and processes.</w:t>
      </w:r>
    </w:p>
    <w:p w14:paraId="3526AF87" w14:textId="77777777" w:rsidR="00601EC3" w:rsidRDefault="00601EC3" w:rsidP="00CE676E">
      <w:pPr>
        <w:pStyle w:val="Default"/>
        <w:ind w:left="709"/>
        <w:jc w:val="both"/>
        <w:rPr>
          <w:sz w:val="22"/>
          <w:szCs w:val="22"/>
        </w:rPr>
      </w:pPr>
    </w:p>
    <w:p w14:paraId="37AC9E15" w14:textId="2ECD39D9" w:rsidR="00601EC3" w:rsidRDefault="00601EC3" w:rsidP="00CE676E">
      <w:pPr>
        <w:pStyle w:val="Default"/>
        <w:ind w:left="709"/>
        <w:jc w:val="both"/>
        <w:rPr>
          <w:sz w:val="22"/>
          <w:szCs w:val="22"/>
        </w:rPr>
      </w:pPr>
      <w:r>
        <w:rPr>
          <w:sz w:val="22"/>
          <w:szCs w:val="22"/>
        </w:rPr>
        <w:lastRenderedPageBreak/>
        <w:t>The Sub-Contractor is expected to deal with al</w:t>
      </w:r>
      <w:r w:rsidR="00FF0DED">
        <w:rPr>
          <w:sz w:val="22"/>
          <w:szCs w:val="22"/>
        </w:rPr>
        <w:t>l levels of glaucoma complexity and therefore</w:t>
      </w:r>
      <w:r>
        <w:rPr>
          <w:sz w:val="22"/>
          <w:szCs w:val="22"/>
        </w:rPr>
        <w:t xml:space="preserve"> </w:t>
      </w:r>
      <w:r w:rsidR="00FF0DED">
        <w:rPr>
          <w:sz w:val="22"/>
          <w:szCs w:val="22"/>
        </w:rPr>
        <w:t>s</w:t>
      </w:r>
      <w:r>
        <w:rPr>
          <w:sz w:val="22"/>
          <w:szCs w:val="22"/>
        </w:rPr>
        <w:t>ome patients may require follow up at short notice. It is therefore expected that the Sub-Contractor has at least two</w:t>
      </w:r>
      <w:r w:rsidR="00FF0DED">
        <w:rPr>
          <w:sz w:val="22"/>
          <w:szCs w:val="22"/>
        </w:rPr>
        <w:t xml:space="preserve"> clinics spread out throughout the</w:t>
      </w:r>
      <w:r>
        <w:rPr>
          <w:sz w:val="22"/>
          <w:szCs w:val="22"/>
        </w:rPr>
        <w:t xml:space="preserve"> week every week (</w:t>
      </w:r>
      <w:r w:rsidR="00FF0DED">
        <w:rPr>
          <w:sz w:val="22"/>
          <w:szCs w:val="22"/>
        </w:rPr>
        <w:t>for example,</w:t>
      </w:r>
      <w:r>
        <w:rPr>
          <w:sz w:val="22"/>
          <w:szCs w:val="22"/>
        </w:rPr>
        <w:t xml:space="preserve"> </w:t>
      </w:r>
      <w:r w:rsidR="00FF0DED">
        <w:rPr>
          <w:sz w:val="22"/>
          <w:szCs w:val="22"/>
        </w:rPr>
        <w:t xml:space="preserve">clinics running every </w:t>
      </w:r>
      <w:r>
        <w:rPr>
          <w:sz w:val="22"/>
          <w:szCs w:val="22"/>
        </w:rPr>
        <w:t xml:space="preserve">Wednesday evening and Sundays) in order to accommodate patients who may need to be followed up within a few days. Glaucoma patients should not be referred back into UHBFT’s glaucoma service unless they require surgical treatment or if there are exceptional circumstances which would </w:t>
      </w:r>
      <w:r w:rsidR="00FF0DED">
        <w:rPr>
          <w:sz w:val="22"/>
          <w:szCs w:val="22"/>
        </w:rPr>
        <w:t>require approval</w:t>
      </w:r>
      <w:r>
        <w:rPr>
          <w:sz w:val="22"/>
          <w:szCs w:val="22"/>
        </w:rPr>
        <w:t xml:space="preserve"> by UHBFT’s Clinical Service Lead or Group Manager for Ophthalmology. </w:t>
      </w:r>
    </w:p>
    <w:p w14:paraId="74394B2A" w14:textId="77777777" w:rsidR="00601EC3" w:rsidRPr="001878D7" w:rsidRDefault="00601EC3" w:rsidP="00CE676E">
      <w:pPr>
        <w:pStyle w:val="Default"/>
        <w:ind w:left="709"/>
        <w:jc w:val="both"/>
        <w:rPr>
          <w:sz w:val="22"/>
          <w:szCs w:val="22"/>
        </w:rPr>
      </w:pPr>
    </w:p>
    <w:p w14:paraId="6CC9A196" w14:textId="500E7586" w:rsidR="00642C6D" w:rsidRDefault="000E574C" w:rsidP="00CE676E">
      <w:pPr>
        <w:pStyle w:val="Default"/>
        <w:spacing w:after="240"/>
        <w:ind w:left="709"/>
        <w:jc w:val="both"/>
        <w:rPr>
          <w:sz w:val="22"/>
          <w:szCs w:val="22"/>
        </w:rPr>
      </w:pPr>
      <w:r w:rsidRPr="001878D7">
        <w:rPr>
          <w:sz w:val="22"/>
          <w:szCs w:val="22"/>
        </w:rPr>
        <w:t xml:space="preserve">It is expected that the </w:t>
      </w:r>
      <w:r w:rsidR="003A0522">
        <w:rPr>
          <w:sz w:val="22"/>
          <w:szCs w:val="22"/>
        </w:rPr>
        <w:t xml:space="preserve">Sub-Contractor </w:t>
      </w:r>
      <w:r w:rsidR="00642C6D" w:rsidRPr="001878D7">
        <w:rPr>
          <w:sz w:val="22"/>
          <w:szCs w:val="22"/>
        </w:rPr>
        <w:t>communicate</w:t>
      </w:r>
      <w:r w:rsidRPr="001878D7">
        <w:rPr>
          <w:sz w:val="22"/>
          <w:szCs w:val="22"/>
        </w:rPr>
        <w:t xml:space="preserve"> with the patient’s </w:t>
      </w:r>
      <w:r w:rsidR="00453D5A" w:rsidRPr="001878D7">
        <w:rPr>
          <w:sz w:val="22"/>
          <w:szCs w:val="22"/>
        </w:rPr>
        <w:t>referrer</w:t>
      </w:r>
      <w:r w:rsidRPr="001878D7">
        <w:rPr>
          <w:sz w:val="22"/>
          <w:szCs w:val="22"/>
        </w:rPr>
        <w:t xml:space="preserve"> directly </w:t>
      </w:r>
      <w:r w:rsidR="00642C6D" w:rsidRPr="001878D7">
        <w:rPr>
          <w:sz w:val="22"/>
          <w:szCs w:val="22"/>
        </w:rPr>
        <w:t xml:space="preserve">via letter </w:t>
      </w:r>
      <w:r w:rsidRPr="001878D7">
        <w:rPr>
          <w:sz w:val="22"/>
          <w:szCs w:val="22"/>
        </w:rPr>
        <w:t xml:space="preserve">regarding the patient’s care after each </w:t>
      </w:r>
      <w:r w:rsidR="00642C6D" w:rsidRPr="001878D7">
        <w:rPr>
          <w:sz w:val="22"/>
          <w:szCs w:val="22"/>
        </w:rPr>
        <w:t>visit</w:t>
      </w:r>
      <w:r w:rsidR="003E2733">
        <w:rPr>
          <w:sz w:val="22"/>
          <w:szCs w:val="22"/>
        </w:rPr>
        <w:t xml:space="preserve"> using the Trust’s digital dictation system</w:t>
      </w:r>
      <w:r w:rsidR="00642C6D" w:rsidRPr="001878D7">
        <w:rPr>
          <w:sz w:val="22"/>
          <w:szCs w:val="22"/>
        </w:rPr>
        <w:t>.</w:t>
      </w:r>
      <w:r w:rsidR="00601EC3">
        <w:rPr>
          <w:sz w:val="22"/>
          <w:szCs w:val="22"/>
        </w:rPr>
        <w:t xml:space="preserve"> </w:t>
      </w:r>
      <w:r w:rsidR="00642C6D" w:rsidRPr="001878D7">
        <w:rPr>
          <w:sz w:val="22"/>
          <w:szCs w:val="22"/>
        </w:rPr>
        <w:t xml:space="preserve">It is expected that the communication contains an account of any clinical assessments, diagnostic tests, treatment plan, treatments carried out and outcomes from the service. </w:t>
      </w:r>
      <w:r w:rsidR="00DD27EF">
        <w:rPr>
          <w:sz w:val="22"/>
          <w:szCs w:val="22"/>
        </w:rPr>
        <w:t>T</w:t>
      </w:r>
      <w:r w:rsidR="00642C6D" w:rsidRPr="001878D7">
        <w:rPr>
          <w:sz w:val="22"/>
          <w:szCs w:val="22"/>
        </w:rPr>
        <w:t xml:space="preserve">his information should be received by the referring clinician no later than 10 working days from the patient’s visit. </w:t>
      </w:r>
      <w:r w:rsidR="00A00AA9">
        <w:rPr>
          <w:sz w:val="22"/>
          <w:szCs w:val="22"/>
        </w:rPr>
        <w:t xml:space="preserve">The Sub-Contractor must comply with Clinical Documentation and Generic Record Standards as set out by the </w:t>
      </w:r>
      <w:r w:rsidR="00A00AA9" w:rsidRPr="00A00AA9">
        <w:rPr>
          <w:sz w:val="22"/>
          <w:szCs w:val="22"/>
        </w:rPr>
        <w:t>Health and Social Care Information Centre (HSCIC).</w:t>
      </w:r>
      <w:r w:rsidR="00A00AA9">
        <w:rPr>
          <w:sz w:val="22"/>
          <w:szCs w:val="22"/>
        </w:rPr>
        <w:t xml:space="preserve"> </w:t>
      </w:r>
    </w:p>
    <w:p w14:paraId="3C0AE6A4" w14:textId="77777777" w:rsidR="00124E48" w:rsidRDefault="00097FBE" w:rsidP="00097FBE">
      <w:pPr>
        <w:pStyle w:val="Default"/>
        <w:spacing w:after="240"/>
        <w:ind w:left="709"/>
        <w:jc w:val="both"/>
        <w:rPr>
          <w:sz w:val="22"/>
          <w:szCs w:val="22"/>
        </w:rPr>
      </w:pPr>
      <w:r>
        <w:rPr>
          <w:sz w:val="22"/>
          <w:szCs w:val="22"/>
        </w:rPr>
        <w:t>Although staff employed by the Sub-Contractor will be provided with a UHBFT IT account and email address, email should not be used to record clinic outcomes</w:t>
      </w:r>
      <w:r w:rsidR="003D39EB">
        <w:rPr>
          <w:sz w:val="22"/>
          <w:szCs w:val="22"/>
        </w:rPr>
        <w:t>, make referrals</w:t>
      </w:r>
      <w:r>
        <w:rPr>
          <w:sz w:val="22"/>
          <w:szCs w:val="22"/>
        </w:rPr>
        <w:t xml:space="preserve"> or </w:t>
      </w:r>
      <w:r w:rsidR="003D39EB">
        <w:rPr>
          <w:sz w:val="22"/>
          <w:szCs w:val="22"/>
        </w:rPr>
        <w:t>communicate with patients or the patient’s referrer. The Sub-Contractor is required to use the UHBFT’s IT systems and processes for these activities</w:t>
      </w:r>
    </w:p>
    <w:p w14:paraId="603BF206" w14:textId="7D1BF6EE" w:rsidR="00097FBE" w:rsidRPr="00124E48" w:rsidRDefault="00124E48" w:rsidP="00097FBE">
      <w:pPr>
        <w:pStyle w:val="Default"/>
        <w:spacing w:after="240"/>
        <w:ind w:left="709"/>
        <w:jc w:val="both"/>
        <w:rPr>
          <w:sz w:val="22"/>
          <w:szCs w:val="22"/>
        </w:rPr>
      </w:pPr>
      <w:r>
        <w:rPr>
          <w:sz w:val="22"/>
          <w:szCs w:val="22"/>
        </w:rPr>
        <w:t>All patient equerries related to patients who are due to be seen in the service or who have been seen in the service need to be managed by the Sub-Contractor. For example, patients calling afte</w:t>
      </w:r>
      <w:r w:rsidR="00B83872">
        <w:rPr>
          <w:sz w:val="22"/>
          <w:szCs w:val="22"/>
        </w:rPr>
        <w:t>r their appointment and request</w:t>
      </w:r>
      <w:r>
        <w:rPr>
          <w:sz w:val="22"/>
          <w:szCs w:val="22"/>
        </w:rPr>
        <w:t xml:space="preserve"> medical advice would need to be dealt with by the Sub-Contractor. The Sub-Contractor must have a dedicated phone line for all patient queries and be able to deal with booking and medical queries such as adverse drug reactions. The Sub-Contract must have a robust clinical framework and procedure for such enquires and the ability to see patients at short notice back i</w:t>
      </w:r>
      <w:r w:rsidR="00B83872">
        <w:rPr>
          <w:sz w:val="22"/>
          <w:szCs w:val="22"/>
        </w:rPr>
        <w:t xml:space="preserve">n the Sub-Contractor’s clinics should it </w:t>
      </w:r>
      <w:proofErr w:type="gramStart"/>
      <w:r w:rsidR="00B83872">
        <w:rPr>
          <w:sz w:val="22"/>
          <w:szCs w:val="22"/>
        </w:rPr>
        <w:t>be</w:t>
      </w:r>
      <w:proofErr w:type="gramEnd"/>
      <w:r w:rsidR="00B83872">
        <w:rPr>
          <w:sz w:val="22"/>
          <w:szCs w:val="22"/>
        </w:rPr>
        <w:t xml:space="preserve"> clinically required.</w:t>
      </w:r>
    </w:p>
    <w:p w14:paraId="3FF25887" w14:textId="77777777" w:rsidR="00047E83" w:rsidRPr="001878D7" w:rsidRDefault="00047E83" w:rsidP="00CE676E">
      <w:pPr>
        <w:pStyle w:val="Default"/>
        <w:spacing w:after="240"/>
        <w:ind w:left="709"/>
        <w:jc w:val="both"/>
        <w:rPr>
          <w:sz w:val="22"/>
          <w:szCs w:val="22"/>
        </w:rPr>
      </w:pPr>
      <w:r w:rsidRPr="001878D7">
        <w:rPr>
          <w:sz w:val="22"/>
          <w:szCs w:val="22"/>
        </w:rPr>
        <w:t xml:space="preserve">The main outcomes of clinical assessment will be any or all of these activities: </w:t>
      </w:r>
    </w:p>
    <w:p w14:paraId="3D27A307" w14:textId="77777777" w:rsidR="00526CCC" w:rsidRDefault="00047E83" w:rsidP="00A01256">
      <w:pPr>
        <w:pStyle w:val="Default"/>
        <w:numPr>
          <w:ilvl w:val="0"/>
          <w:numId w:val="14"/>
        </w:numPr>
        <w:jc w:val="both"/>
        <w:rPr>
          <w:sz w:val="22"/>
          <w:szCs w:val="22"/>
        </w:rPr>
      </w:pPr>
      <w:r w:rsidRPr="00526CCC">
        <w:rPr>
          <w:sz w:val="22"/>
          <w:szCs w:val="22"/>
        </w:rPr>
        <w:t xml:space="preserve">Stage 4 – Diagnostics </w:t>
      </w:r>
    </w:p>
    <w:p w14:paraId="26C91304" w14:textId="34A6143E" w:rsidR="00EE1EAC" w:rsidRPr="00526CCC" w:rsidRDefault="00EE1EAC" w:rsidP="00A01256">
      <w:pPr>
        <w:pStyle w:val="Default"/>
        <w:numPr>
          <w:ilvl w:val="0"/>
          <w:numId w:val="14"/>
        </w:numPr>
        <w:jc w:val="both"/>
        <w:rPr>
          <w:sz w:val="22"/>
          <w:szCs w:val="22"/>
        </w:rPr>
      </w:pPr>
      <w:r w:rsidRPr="00526CCC">
        <w:rPr>
          <w:sz w:val="22"/>
          <w:szCs w:val="22"/>
        </w:rPr>
        <w:t xml:space="preserve">Stage 5 – </w:t>
      </w:r>
      <w:r w:rsidR="005B2FE6" w:rsidRPr="00526CCC">
        <w:rPr>
          <w:sz w:val="22"/>
          <w:szCs w:val="22"/>
        </w:rPr>
        <w:t>S</w:t>
      </w:r>
      <w:r w:rsidRPr="00526CCC">
        <w:rPr>
          <w:sz w:val="22"/>
          <w:szCs w:val="22"/>
        </w:rPr>
        <w:t xml:space="preserve">ervice treatment </w:t>
      </w:r>
    </w:p>
    <w:p w14:paraId="0AEB5A72" w14:textId="77777777" w:rsidR="00EE1EAC" w:rsidRPr="00CE676E" w:rsidRDefault="00047E83" w:rsidP="00A01256">
      <w:pPr>
        <w:pStyle w:val="ListParagraph"/>
        <w:numPr>
          <w:ilvl w:val="0"/>
          <w:numId w:val="14"/>
        </w:numPr>
        <w:spacing w:after="0" w:line="240" w:lineRule="auto"/>
        <w:jc w:val="both"/>
        <w:rPr>
          <w:rFonts w:ascii="Arial" w:hAnsi="Arial" w:cs="Arial"/>
        </w:rPr>
      </w:pPr>
      <w:r w:rsidRPr="00CE676E">
        <w:rPr>
          <w:rFonts w:ascii="Arial" w:hAnsi="Arial" w:cs="Arial"/>
          <w:color w:val="000000"/>
        </w:rPr>
        <w:t xml:space="preserve">Stage 6 – Onward referral </w:t>
      </w:r>
    </w:p>
    <w:p w14:paraId="01F980AA" w14:textId="77777777" w:rsidR="00047E83" w:rsidRPr="00CE676E" w:rsidRDefault="00047E83" w:rsidP="00A01256">
      <w:pPr>
        <w:pStyle w:val="ListParagraph"/>
        <w:numPr>
          <w:ilvl w:val="0"/>
          <w:numId w:val="14"/>
        </w:numPr>
        <w:spacing w:after="0" w:line="240" w:lineRule="auto"/>
        <w:jc w:val="both"/>
        <w:rPr>
          <w:rFonts w:ascii="Arial" w:hAnsi="Arial" w:cs="Arial"/>
        </w:rPr>
      </w:pPr>
      <w:r w:rsidRPr="00CE676E">
        <w:rPr>
          <w:rFonts w:ascii="Arial" w:hAnsi="Arial" w:cs="Arial"/>
          <w:color w:val="000000"/>
        </w:rPr>
        <w:t xml:space="preserve">Stage 7 – Discharge to referring clinician </w:t>
      </w:r>
    </w:p>
    <w:p w14:paraId="62635A0D" w14:textId="77777777" w:rsidR="00526CCC" w:rsidRPr="001878D7" w:rsidRDefault="00526CCC" w:rsidP="00CE676E">
      <w:pPr>
        <w:autoSpaceDE w:val="0"/>
        <w:autoSpaceDN w:val="0"/>
        <w:adjustRightInd w:val="0"/>
        <w:spacing w:after="240" w:line="240" w:lineRule="auto"/>
        <w:ind w:left="709"/>
        <w:jc w:val="both"/>
        <w:rPr>
          <w:rFonts w:ascii="Arial" w:hAnsi="Arial" w:cs="Arial"/>
          <w:b/>
          <w:bCs/>
          <w:color w:val="000000"/>
        </w:rPr>
      </w:pPr>
    </w:p>
    <w:p w14:paraId="61BA3779" w14:textId="54B96BFD" w:rsidR="00047E83" w:rsidRPr="001878D7" w:rsidRDefault="004A59CA" w:rsidP="004A59CA">
      <w:pPr>
        <w:pStyle w:val="Heading3"/>
      </w:pPr>
      <w:bookmarkStart w:id="7" w:name="_Toc492544869"/>
      <w:r>
        <w:t>Stage 4: Diagnostics</w:t>
      </w:r>
      <w:bookmarkEnd w:id="7"/>
    </w:p>
    <w:p w14:paraId="4DC69E8C" w14:textId="1086F184"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The term ‘diagnostics’ refers to any investigative tests carried out to aid and support the identification and extent of the patient’s condition. All first line diagnostics in this</w:t>
      </w:r>
      <w:r w:rsidR="00EE1EAC" w:rsidRPr="001878D7">
        <w:rPr>
          <w:rFonts w:ascii="Arial" w:hAnsi="Arial" w:cs="Arial"/>
          <w:color w:val="000000"/>
        </w:rPr>
        <w:t xml:space="preserve"> service must be delivered by </w:t>
      </w:r>
      <w:r w:rsidR="003A0522" w:rsidRPr="001878D7">
        <w:rPr>
          <w:rFonts w:ascii="Arial" w:hAnsi="Arial" w:cs="Arial"/>
          <w:color w:val="000000"/>
        </w:rPr>
        <w:t>the Sub</w:t>
      </w:r>
      <w:r w:rsidR="003A0522">
        <w:rPr>
          <w:rFonts w:ascii="Arial" w:hAnsi="Arial" w:cs="Arial"/>
          <w:color w:val="000000"/>
        </w:rPr>
        <w:t>-Contractor</w:t>
      </w:r>
      <w:r w:rsidRPr="001878D7">
        <w:rPr>
          <w:rFonts w:ascii="Arial" w:hAnsi="Arial" w:cs="Arial"/>
          <w:color w:val="000000"/>
        </w:rPr>
        <w:t xml:space="preserve">. First line diagnostics should be carried out at the </w:t>
      </w:r>
      <w:r w:rsidR="00A00AA9">
        <w:rPr>
          <w:rFonts w:ascii="Arial" w:hAnsi="Arial" w:cs="Arial"/>
          <w:color w:val="000000"/>
        </w:rPr>
        <w:t xml:space="preserve">time of the clinical assessment. Patient’s requiring </w:t>
      </w:r>
      <w:r w:rsidR="00EE1EAC" w:rsidRPr="001878D7">
        <w:rPr>
          <w:rFonts w:ascii="Arial" w:hAnsi="Arial" w:cs="Arial"/>
          <w:color w:val="000000"/>
        </w:rPr>
        <w:t>s</w:t>
      </w:r>
      <w:r w:rsidRPr="001878D7">
        <w:rPr>
          <w:rFonts w:ascii="Arial" w:hAnsi="Arial" w:cs="Arial"/>
          <w:color w:val="000000"/>
        </w:rPr>
        <w:t>econd line diagnostics</w:t>
      </w:r>
      <w:r w:rsidR="00A00AA9">
        <w:rPr>
          <w:rFonts w:ascii="Arial" w:hAnsi="Arial" w:cs="Arial"/>
          <w:color w:val="000000"/>
        </w:rPr>
        <w:t xml:space="preserve"> (for example CT or MRI) should be referred on to the patient’s closest suitable provider of their choice for further assessment.</w:t>
      </w:r>
    </w:p>
    <w:p w14:paraId="133F42A8" w14:textId="65D68AE8" w:rsidR="00047E83"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A range of diagnostic tests of varying complexity and availability will be required to support clinical assessment and its outcome. It is expected that these tests will be available at the time of clinical assessment to achieve the aims of a ‘one stop shop’ </w:t>
      </w:r>
      <w:r w:rsidRPr="001878D7">
        <w:rPr>
          <w:rFonts w:ascii="Arial" w:hAnsi="Arial" w:cs="Arial"/>
          <w:color w:val="000000"/>
        </w:rPr>
        <w:lastRenderedPageBreak/>
        <w:t xml:space="preserve">approach. Such tests are described as first line diagnostics as defined in the individual care pathways. </w:t>
      </w:r>
    </w:p>
    <w:p w14:paraId="2AC18B05" w14:textId="4F5AAC68" w:rsidR="00CE676E" w:rsidRPr="001878D7" w:rsidRDefault="00CE676E"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 xml:space="preserve">All equipment </w:t>
      </w:r>
      <w:r w:rsidR="0029714B">
        <w:rPr>
          <w:rFonts w:ascii="Arial" w:hAnsi="Arial" w:cs="Arial"/>
          <w:color w:val="000000"/>
        </w:rPr>
        <w:t xml:space="preserve">must be clean, secure, suitable, properly used and </w:t>
      </w:r>
      <w:r>
        <w:rPr>
          <w:rFonts w:ascii="Arial" w:hAnsi="Arial" w:cs="Arial"/>
          <w:color w:val="000000"/>
        </w:rPr>
        <w:t>should be maintained in accordance with the manufacture</w:t>
      </w:r>
      <w:r w:rsidR="00727686">
        <w:rPr>
          <w:rFonts w:ascii="Arial" w:hAnsi="Arial" w:cs="Arial"/>
          <w:color w:val="000000"/>
        </w:rPr>
        <w:t>r</w:t>
      </w:r>
      <w:r>
        <w:rPr>
          <w:rFonts w:ascii="Arial" w:hAnsi="Arial" w:cs="Arial"/>
          <w:color w:val="000000"/>
        </w:rPr>
        <w:t>’s requirements.</w:t>
      </w:r>
      <w:r w:rsidR="0029714B">
        <w:rPr>
          <w:rFonts w:ascii="Arial" w:hAnsi="Arial" w:cs="Arial"/>
          <w:color w:val="000000"/>
        </w:rPr>
        <w:t xml:space="preserve"> All Sub-Contractor staff must have received appropriate and adequate training in use of the equipment.</w:t>
      </w:r>
    </w:p>
    <w:p w14:paraId="2778C887" w14:textId="00BA9177" w:rsidR="00047E83" w:rsidRPr="001878D7" w:rsidRDefault="0073643D"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An example of the d</w:t>
      </w:r>
      <w:r w:rsidR="00047E83" w:rsidRPr="001878D7">
        <w:rPr>
          <w:rFonts w:ascii="Arial" w:hAnsi="Arial" w:cs="Arial"/>
          <w:color w:val="000000"/>
        </w:rPr>
        <w:t xml:space="preserve">iagnostics to support the service </w:t>
      </w:r>
      <w:r>
        <w:rPr>
          <w:rFonts w:ascii="Arial" w:hAnsi="Arial" w:cs="Arial"/>
          <w:color w:val="000000"/>
        </w:rPr>
        <w:t>is</w:t>
      </w:r>
      <w:r w:rsidRPr="001878D7">
        <w:rPr>
          <w:rFonts w:ascii="Arial" w:hAnsi="Arial" w:cs="Arial"/>
          <w:color w:val="000000"/>
        </w:rPr>
        <w:t xml:space="preserve"> </w:t>
      </w:r>
      <w:r w:rsidR="00047E83" w:rsidRPr="001878D7">
        <w:rPr>
          <w:rFonts w:ascii="Arial" w:hAnsi="Arial" w:cs="Arial"/>
          <w:color w:val="000000"/>
        </w:rPr>
        <w:t xml:space="preserve">shown </w:t>
      </w:r>
      <w:r w:rsidR="00CD37D3">
        <w:rPr>
          <w:rFonts w:ascii="Arial" w:hAnsi="Arial" w:cs="Arial"/>
          <w:color w:val="000000"/>
        </w:rPr>
        <w:t>below</w:t>
      </w:r>
      <w:r w:rsidR="00047E83" w:rsidRPr="001878D7">
        <w:rPr>
          <w:rFonts w:ascii="Arial" w:hAnsi="Arial" w:cs="Arial"/>
          <w:color w:val="000000"/>
        </w:rPr>
        <w:t xml:space="preserve">. This is not an exhaustive list and is intended as a guide to inform the modelling of the service. </w:t>
      </w:r>
    </w:p>
    <w:p w14:paraId="60083457" w14:textId="35CCE74A"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Slit lamp</w:t>
      </w:r>
    </w:p>
    <w:p w14:paraId="7F13BEA3" w14:textId="3B5DAB95" w:rsidR="00BE61CE"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Slit lamp</w:t>
      </w:r>
      <w:r w:rsidR="00CD37D3">
        <w:rPr>
          <w:rFonts w:ascii="Arial" w:hAnsi="Arial" w:cs="Arial"/>
          <w:color w:val="000000"/>
        </w:rPr>
        <w:t xml:space="preserve"> with dilated </w:t>
      </w:r>
      <w:proofErr w:type="spellStart"/>
      <w:r w:rsidR="00CD37D3" w:rsidRPr="00CD37D3">
        <w:rPr>
          <w:rFonts w:ascii="Arial" w:hAnsi="Arial" w:cs="Arial"/>
          <w:color w:val="222222"/>
          <w:shd w:val="clear" w:color="auto" w:fill="FFFFFF"/>
        </w:rPr>
        <w:t>fundoscopy</w:t>
      </w:r>
      <w:proofErr w:type="spellEnd"/>
    </w:p>
    <w:p w14:paraId="1E5005F7" w14:textId="793AA644"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Colour Vision</w:t>
      </w:r>
    </w:p>
    <w:p w14:paraId="7F018AE6" w14:textId="5A0983B3"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RAPD</w:t>
      </w:r>
    </w:p>
    <w:p w14:paraId="0767808C" w14:textId="67706FE1" w:rsidR="00CD37D3" w:rsidRDefault="00CD37D3" w:rsidP="00A01256">
      <w:pPr>
        <w:numPr>
          <w:ilvl w:val="1"/>
          <w:numId w:val="15"/>
        </w:numPr>
        <w:autoSpaceDE w:val="0"/>
        <w:autoSpaceDN w:val="0"/>
        <w:adjustRightInd w:val="0"/>
        <w:spacing w:after="0" w:line="240" w:lineRule="auto"/>
        <w:jc w:val="both"/>
        <w:rPr>
          <w:rFonts w:ascii="Arial" w:hAnsi="Arial" w:cs="Arial"/>
          <w:color w:val="000000"/>
        </w:rPr>
      </w:pPr>
      <w:proofErr w:type="spellStart"/>
      <w:r>
        <w:rPr>
          <w:rFonts w:ascii="Arial" w:hAnsi="Arial" w:cs="Arial"/>
          <w:color w:val="000000"/>
        </w:rPr>
        <w:t>G</w:t>
      </w:r>
      <w:r w:rsidRPr="00CD37D3">
        <w:rPr>
          <w:rFonts w:ascii="Arial" w:hAnsi="Arial" w:cs="Arial"/>
          <w:color w:val="000000"/>
        </w:rPr>
        <w:t>onioscopy</w:t>
      </w:r>
      <w:proofErr w:type="spellEnd"/>
    </w:p>
    <w:p w14:paraId="5F810851" w14:textId="483A4669" w:rsidR="00CD37D3" w:rsidRPr="00A00AA9" w:rsidRDefault="00CD37D3" w:rsidP="00A01256">
      <w:pPr>
        <w:numPr>
          <w:ilvl w:val="1"/>
          <w:numId w:val="15"/>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Corneal </w:t>
      </w:r>
      <w:proofErr w:type="spellStart"/>
      <w:r>
        <w:rPr>
          <w:rFonts w:ascii="Arial" w:hAnsi="Arial" w:cs="Arial"/>
          <w:color w:val="000000"/>
        </w:rPr>
        <w:t>P</w:t>
      </w:r>
      <w:r w:rsidRPr="00CD37D3">
        <w:rPr>
          <w:rFonts w:ascii="Arial" w:hAnsi="Arial" w:cs="Arial"/>
          <w:color w:val="000000"/>
        </w:rPr>
        <w:t>achymetry</w:t>
      </w:r>
      <w:proofErr w:type="spellEnd"/>
    </w:p>
    <w:p w14:paraId="338573F1" w14:textId="02952C9B"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Visual Field Analysis </w:t>
      </w:r>
      <w:r w:rsidR="00D31450">
        <w:rPr>
          <w:rFonts w:ascii="Arial" w:hAnsi="Arial" w:cs="Arial"/>
          <w:color w:val="000000"/>
        </w:rPr>
        <w:t>(</w:t>
      </w:r>
      <w:r w:rsidR="00D31450" w:rsidRPr="00D31450">
        <w:rPr>
          <w:rFonts w:ascii="Arial" w:hAnsi="Arial" w:cs="Arial"/>
          <w:color w:val="000000"/>
        </w:rPr>
        <w:t>24-2 SITA standard only)</w:t>
      </w:r>
    </w:p>
    <w:p w14:paraId="21BDC0CA"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Autorefraction</w:t>
      </w:r>
      <w:proofErr w:type="spellEnd"/>
      <w:r w:rsidRPr="00A00AA9">
        <w:rPr>
          <w:rFonts w:ascii="Arial" w:hAnsi="Arial" w:cs="Arial"/>
          <w:color w:val="000000"/>
        </w:rPr>
        <w:t xml:space="preserve"> </w:t>
      </w:r>
    </w:p>
    <w:p w14:paraId="0799CFDE"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Applanation</w:t>
      </w:r>
      <w:proofErr w:type="spellEnd"/>
      <w:r w:rsidRPr="00A00AA9">
        <w:rPr>
          <w:rFonts w:ascii="Arial" w:hAnsi="Arial" w:cs="Arial"/>
          <w:color w:val="000000"/>
        </w:rPr>
        <w:t xml:space="preserve"> Tonometry </w:t>
      </w:r>
    </w:p>
    <w:p w14:paraId="32C819E4"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r w:rsidRPr="00A00AA9">
        <w:rPr>
          <w:rFonts w:ascii="Arial" w:hAnsi="Arial" w:cs="Arial"/>
          <w:color w:val="000000"/>
        </w:rPr>
        <w:t xml:space="preserve">Visual acuity testing </w:t>
      </w:r>
    </w:p>
    <w:p w14:paraId="3671E626" w14:textId="77777777" w:rsidR="00BE61CE" w:rsidRPr="00A00AA9" w:rsidRDefault="00BE61CE" w:rsidP="00A01256">
      <w:pPr>
        <w:numPr>
          <w:ilvl w:val="1"/>
          <w:numId w:val="15"/>
        </w:numPr>
        <w:autoSpaceDE w:val="0"/>
        <w:autoSpaceDN w:val="0"/>
        <w:adjustRightInd w:val="0"/>
        <w:spacing w:after="0" w:line="240" w:lineRule="auto"/>
        <w:jc w:val="both"/>
        <w:rPr>
          <w:rFonts w:ascii="Arial" w:hAnsi="Arial" w:cs="Arial"/>
          <w:color w:val="000000"/>
        </w:rPr>
      </w:pPr>
      <w:proofErr w:type="spellStart"/>
      <w:r w:rsidRPr="00A00AA9">
        <w:rPr>
          <w:rFonts w:ascii="Arial" w:hAnsi="Arial" w:cs="Arial"/>
          <w:color w:val="000000"/>
        </w:rPr>
        <w:t>Fundoscopy</w:t>
      </w:r>
      <w:proofErr w:type="spellEnd"/>
      <w:r w:rsidRPr="00A00AA9">
        <w:rPr>
          <w:rFonts w:ascii="Arial" w:hAnsi="Arial" w:cs="Arial"/>
          <w:color w:val="000000"/>
        </w:rPr>
        <w:t xml:space="preserve"> </w:t>
      </w:r>
    </w:p>
    <w:p w14:paraId="1E97E4F5" w14:textId="053A73D5" w:rsidR="00BE61CE" w:rsidRPr="00D31450" w:rsidRDefault="00BE61CE" w:rsidP="00D31450">
      <w:pPr>
        <w:pStyle w:val="ListParagraph"/>
        <w:numPr>
          <w:ilvl w:val="1"/>
          <w:numId w:val="15"/>
        </w:numPr>
        <w:rPr>
          <w:rFonts w:ascii="Arial" w:hAnsi="Arial" w:cs="Arial"/>
          <w:color w:val="000000"/>
        </w:rPr>
      </w:pPr>
      <w:r w:rsidRPr="00D31450">
        <w:rPr>
          <w:rFonts w:ascii="Arial" w:hAnsi="Arial" w:cs="Arial"/>
          <w:color w:val="000000"/>
        </w:rPr>
        <w:t xml:space="preserve">OCT </w:t>
      </w:r>
      <w:r w:rsidR="00D31450" w:rsidRPr="00D31450">
        <w:rPr>
          <w:rFonts w:ascii="Arial" w:hAnsi="Arial" w:cs="Arial"/>
          <w:color w:val="000000"/>
        </w:rPr>
        <w:t>(RNFL and posterior pole required. All new scans to have reference markers set and all follow-up scans are taken using the follow-up function to ensure progression can be tracked).</w:t>
      </w:r>
    </w:p>
    <w:p w14:paraId="729BE129" w14:textId="65AAAEFE" w:rsidR="00A00AA9" w:rsidRPr="00CE676E" w:rsidRDefault="00CD37D3" w:rsidP="00A01256">
      <w:pPr>
        <w:pStyle w:val="ListParagraph"/>
        <w:numPr>
          <w:ilvl w:val="1"/>
          <w:numId w:val="15"/>
        </w:numPr>
        <w:autoSpaceDE w:val="0"/>
        <w:autoSpaceDN w:val="0"/>
        <w:adjustRightInd w:val="0"/>
        <w:spacing w:after="240" w:line="240" w:lineRule="auto"/>
        <w:jc w:val="both"/>
        <w:rPr>
          <w:rFonts w:ascii="Arial" w:hAnsi="Arial" w:cs="Arial"/>
          <w:color w:val="000000"/>
        </w:rPr>
      </w:pPr>
      <w:r w:rsidRPr="00CE676E">
        <w:rPr>
          <w:rFonts w:ascii="Arial" w:hAnsi="Arial" w:cs="Arial"/>
          <w:color w:val="000000"/>
        </w:rPr>
        <w:t>Disc Photograph</w:t>
      </w:r>
    </w:p>
    <w:p w14:paraId="43B6F47C" w14:textId="5CCE1D86" w:rsidR="00DD27EF" w:rsidRDefault="00DD27EF" w:rsidP="00CE676E">
      <w:pPr>
        <w:autoSpaceDE w:val="0"/>
        <w:autoSpaceDN w:val="0"/>
        <w:adjustRightInd w:val="0"/>
        <w:spacing w:after="240" w:line="240" w:lineRule="auto"/>
        <w:ind w:left="709"/>
        <w:jc w:val="both"/>
        <w:rPr>
          <w:rFonts w:ascii="Arial" w:hAnsi="Arial" w:cs="Arial"/>
          <w:color w:val="000000"/>
        </w:rPr>
      </w:pPr>
      <w:r>
        <w:rPr>
          <w:rFonts w:ascii="Arial" w:hAnsi="Arial" w:cs="Arial"/>
          <w:color w:val="000000"/>
        </w:rPr>
        <w:t>It is expected that all new patients receive a visual field and OCT.</w:t>
      </w:r>
    </w:p>
    <w:p w14:paraId="107B0EC7" w14:textId="75FB902D" w:rsidR="00047E83"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Reporting of diagnostic tests must be </w:t>
      </w:r>
      <w:r w:rsidR="003D39EB">
        <w:rPr>
          <w:rFonts w:ascii="Arial" w:hAnsi="Arial" w:cs="Arial"/>
          <w:color w:val="000000"/>
        </w:rPr>
        <w:t>done of the same day as the diagnostic test and uploaded by the Sub-Contractor to UHBFT’s clinical systems according to UHBFT’s processes.</w:t>
      </w:r>
      <w:r w:rsidRPr="001878D7">
        <w:rPr>
          <w:rFonts w:ascii="Arial" w:hAnsi="Arial" w:cs="Arial"/>
          <w:color w:val="000000"/>
        </w:rPr>
        <w:t xml:space="preserve"> </w:t>
      </w:r>
    </w:p>
    <w:p w14:paraId="08AFDF51" w14:textId="77777777" w:rsidR="00047E83" w:rsidRPr="001878D7" w:rsidRDefault="00047E83" w:rsidP="00CE676E">
      <w:pPr>
        <w:autoSpaceDE w:val="0"/>
        <w:autoSpaceDN w:val="0"/>
        <w:adjustRightInd w:val="0"/>
        <w:spacing w:after="240" w:line="240" w:lineRule="auto"/>
        <w:ind w:left="709"/>
        <w:jc w:val="both"/>
        <w:rPr>
          <w:rFonts w:ascii="Arial" w:hAnsi="Arial" w:cs="Arial"/>
          <w:color w:val="000000"/>
        </w:rPr>
      </w:pPr>
      <w:r w:rsidRPr="001878D7">
        <w:rPr>
          <w:rFonts w:ascii="Arial" w:hAnsi="Arial" w:cs="Arial"/>
          <w:color w:val="000000"/>
        </w:rPr>
        <w:t xml:space="preserve">The main outcomes of diagnostics will be any or all of these activities: </w:t>
      </w:r>
    </w:p>
    <w:p w14:paraId="5E16CCA3" w14:textId="77777777" w:rsidR="00047E83" w:rsidRPr="001878D7" w:rsidRDefault="005B2FE6" w:rsidP="00A01256">
      <w:pPr>
        <w:pStyle w:val="Default"/>
        <w:numPr>
          <w:ilvl w:val="0"/>
          <w:numId w:val="16"/>
        </w:numPr>
        <w:ind w:left="1418"/>
        <w:jc w:val="both"/>
        <w:rPr>
          <w:sz w:val="22"/>
          <w:szCs w:val="22"/>
        </w:rPr>
      </w:pPr>
      <w:r w:rsidRPr="001878D7">
        <w:rPr>
          <w:sz w:val="22"/>
          <w:szCs w:val="22"/>
        </w:rPr>
        <w:t>Stage 5 – S</w:t>
      </w:r>
      <w:r w:rsidR="00047E83" w:rsidRPr="001878D7">
        <w:rPr>
          <w:sz w:val="22"/>
          <w:szCs w:val="22"/>
        </w:rPr>
        <w:t xml:space="preserve">ervice treatment </w:t>
      </w:r>
    </w:p>
    <w:p w14:paraId="2BB57B7B" w14:textId="77777777" w:rsidR="00CE6C00" w:rsidRPr="001878D7" w:rsidRDefault="00047E83" w:rsidP="00A01256">
      <w:pPr>
        <w:pStyle w:val="Default"/>
        <w:numPr>
          <w:ilvl w:val="0"/>
          <w:numId w:val="16"/>
        </w:numPr>
        <w:ind w:left="1418"/>
        <w:jc w:val="both"/>
        <w:rPr>
          <w:sz w:val="22"/>
          <w:szCs w:val="22"/>
        </w:rPr>
      </w:pPr>
      <w:r w:rsidRPr="001878D7">
        <w:rPr>
          <w:sz w:val="22"/>
          <w:szCs w:val="22"/>
        </w:rPr>
        <w:t xml:space="preserve">Stage 6 – Onward referral </w:t>
      </w:r>
    </w:p>
    <w:p w14:paraId="6C4EF798" w14:textId="77777777" w:rsidR="00047E83" w:rsidRDefault="00047E83" w:rsidP="00A01256">
      <w:pPr>
        <w:pStyle w:val="Default"/>
        <w:numPr>
          <w:ilvl w:val="0"/>
          <w:numId w:val="16"/>
        </w:numPr>
        <w:ind w:left="1418"/>
        <w:jc w:val="both"/>
        <w:rPr>
          <w:sz w:val="22"/>
          <w:szCs w:val="22"/>
        </w:rPr>
      </w:pPr>
      <w:r w:rsidRPr="001878D7">
        <w:rPr>
          <w:sz w:val="22"/>
          <w:szCs w:val="22"/>
        </w:rPr>
        <w:t xml:space="preserve">Stage 7 – Discharge to referring clinician </w:t>
      </w:r>
    </w:p>
    <w:p w14:paraId="77C875B5" w14:textId="77777777" w:rsidR="00CE676E" w:rsidRPr="001878D7" w:rsidRDefault="00CE676E" w:rsidP="00CE676E">
      <w:pPr>
        <w:pStyle w:val="Default"/>
        <w:ind w:left="1418"/>
        <w:jc w:val="both"/>
        <w:rPr>
          <w:sz w:val="22"/>
          <w:szCs w:val="22"/>
        </w:rPr>
      </w:pPr>
    </w:p>
    <w:p w14:paraId="65D33D0C" w14:textId="47E925D7" w:rsidR="00047E83" w:rsidRPr="001878D7" w:rsidRDefault="004A59CA" w:rsidP="004A59CA">
      <w:pPr>
        <w:pStyle w:val="Heading3"/>
      </w:pPr>
      <w:bookmarkStart w:id="8" w:name="_Toc492544870"/>
      <w:r>
        <w:t>Stage 5: Treatment</w:t>
      </w:r>
      <w:bookmarkEnd w:id="8"/>
    </w:p>
    <w:p w14:paraId="0B0A8E5C" w14:textId="4E56BB60" w:rsidR="00047E83" w:rsidRPr="001878D7" w:rsidRDefault="00047E83" w:rsidP="00CE676E">
      <w:pPr>
        <w:pStyle w:val="Default"/>
        <w:spacing w:after="240"/>
        <w:ind w:left="709"/>
        <w:jc w:val="both"/>
        <w:rPr>
          <w:sz w:val="22"/>
          <w:szCs w:val="22"/>
        </w:rPr>
      </w:pPr>
      <w:r w:rsidRPr="001878D7">
        <w:rPr>
          <w:sz w:val="22"/>
          <w:szCs w:val="22"/>
        </w:rPr>
        <w:t>There must be an evidence base for all treatments offered within the service</w:t>
      </w:r>
      <w:r w:rsidR="00F22CFB">
        <w:rPr>
          <w:sz w:val="22"/>
          <w:szCs w:val="22"/>
        </w:rPr>
        <w:t xml:space="preserve"> and the Trust’s Policies and Procedures must be followed</w:t>
      </w:r>
      <w:r w:rsidRPr="001878D7">
        <w:rPr>
          <w:sz w:val="22"/>
          <w:szCs w:val="22"/>
        </w:rPr>
        <w:t xml:space="preserve">. The commencement of treatment </w:t>
      </w:r>
      <w:r w:rsidR="000E574C" w:rsidRPr="001878D7">
        <w:rPr>
          <w:sz w:val="22"/>
          <w:szCs w:val="22"/>
        </w:rPr>
        <w:t xml:space="preserve">must occur within clinically acceptable timescales and within the 18 weeks national </w:t>
      </w:r>
      <w:r w:rsidR="00E9177D">
        <w:rPr>
          <w:sz w:val="22"/>
          <w:szCs w:val="22"/>
        </w:rPr>
        <w:t xml:space="preserve">RTT </w:t>
      </w:r>
      <w:r w:rsidR="000E574C" w:rsidRPr="001878D7">
        <w:rPr>
          <w:sz w:val="22"/>
          <w:szCs w:val="22"/>
        </w:rPr>
        <w:t>target.</w:t>
      </w:r>
      <w:r w:rsidRPr="001878D7">
        <w:rPr>
          <w:sz w:val="22"/>
          <w:szCs w:val="22"/>
        </w:rPr>
        <w:t xml:space="preserve"> </w:t>
      </w:r>
    </w:p>
    <w:p w14:paraId="4AFC8BBA" w14:textId="23BFB529" w:rsidR="000E574C" w:rsidRPr="001878D7" w:rsidRDefault="000E574C" w:rsidP="00CE676E">
      <w:pPr>
        <w:pStyle w:val="Default"/>
        <w:spacing w:after="240"/>
        <w:ind w:left="709"/>
        <w:jc w:val="both"/>
        <w:rPr>
          <w:sz w:val="22"/>
          <w:szCs w:val="22"/>
        </w:rPr>
      </w:pPr>
      <w:r w:rsidRPr="001878D7">
        <w:rPr>
          <w:sz w:val="22"/>
          <w:szCs w:val="22"/>
        </w:rPr>
        <w:t xml:space="preserve">The </w:t>
      </w:r>
      <w:r w:rsidR="00CD37D3">
        <w:rPr>
          <w:sz w:val="22"/>
          <w:szCs w:val="22"/>
        </w:rPr>
        <w:t>Sub-Contractor</w:t>
      </w:r>
      <w:r w:rsidRPr="001878D7">
        <w:rPr>
          <w:sz w:val="22"/>
          <w:szCs w:val="22"/>
        </w:rPr>
        <w:t xml:space="preserve"> will be expected to gain patient consent prior to undertaking </w:t>
      </w:r>
      <w:r w:rsidR="00F22CFB">
        <w:rPr>
          <w:sz w:val="22"/>
          <w:szCs w:val="22"/>
        </w:rPr>
        <w:t>any</w:t>
      </w:r>
      <w:r w:rsidRPr="001878D7">
        <w:rPr>
          <w:sz w:val="22"/>
          <w:szCs w:val="22"/>
        </w:rPr>
        <w:t xml:space="preserve"> procedure utilising the DoH Patient Consent Form. </w:t>
      </w:r>
    </w:p>
    <w:p w14:paraId="0AE175DB" w14:textId="798670D2" w:rsidR="000E574C" w:rsidRPr="001878D7" w:rsidRDefault="000E574C" w:rsidP="00CE676E">
      <w:pPr>
        <w:pStyle w:val="Default"/>
        <w:spacing w:after="240"/>
        <w:ind w:left="709"/>
        <w:jc w:val="both"/>
        <w:rPr>
          <w:sz w:val="22"/>
          <w:szCs w:val="22"/>
        </w:rPr>
      </w:pPr>
      <w:r w:rsidRPr="001878D7">
        <w:rPr>
          <w:sz w:val="22"/>
          <w:szCs w:val="22"/>
        </w:rPr>
        <w:t xml:space="preserve">The </w:t>
      </w:r>
      <w:r w:rsidR="00CD37D3">
        <w:rPr>
          <w:sz w:val="22"/>
          <w:szCs w:val="22"/>
        </w:rPr>
        <w:t>Sub-Contractor</w:t>
      </w:r>
      <w:r w:rsidR="00CD37D3" w:rsidRPr="001878D7">
        <w:rPr>
          <w:sz w:val="22"/>
          <w:szCs w:val="22"/>
        </w:rPr>
        <w:t xml:space="preserve"> </w:t>
      </w:r>
      <w:r w:rsidRPr="001878D7">
        <w:rPr>
          <w:sz w:val="22"/>
          <w:szCs w:val="22"/>
        </w:rPr>
        <w:t>would be expected to undertake the following treatment</w:t>
      </w:r>
      <w:r w:rsidR="00CD37D3">
        <w:rPr>
          <w:sz w:val="22"/>
          <w:szCs w:val="22"/>
        </w:rPr>
        <w:t>/management for their condition</w:t>
      </w:r>
      <w:r w:rsidRPr="001878D7">
        <w:rPr>
          <w:sz w:val="22"/>
          <w:szCs w:val="22"/>
        </w:rPr>
        <w:t>:</w:t>
      </w:r>
    </w:p>
    <w:p w14:paraId="067311E0" w14:textId="77777777" w:rsidR="000E574C" w:rsidRPr="001878D7" w:rsidRDefault="000E574C" w:rsidP="00A01256">
      <w:pPr>
        <w:pStyle w:val="Default"/>
        <w:numPr>
          <w:ilvl w:val="0"/>
          <w:numId w:val="8"/>
        </w:numPr>
        <w:ind w:left="1134" w:firstLine="0"/>
        <w:jc w:val="both"/>
        <w:rPr>
          <w:sz w:val="22"/>
          <w:szCs w:val="22"/>
        </w:rPr>
      </w:pPr>
      <w:r w:rsidRPr="001878D7">
        <w:rPr>
          <w:sz w:val="22"/>
          <w:szCs w:val="22"/>
        </w:rPr>
        <w:t>Glaucoma drops</w:t>
      </w:r>
    </w:p>
    <w:p w14:paraId="0EC549AB" w14:textId="77777777" w:rsidR="000E574C" w:rsidRPr="001878D7" w:rsidRDefault="000E574C" w:rsidP="00A01256">
      <w:pPr>
        <w:pStyle w:val="Default"/>
        <w:numPr>
          <w:ilvl w:val="0"/>
          <w:numId w:val="8"/>
        </w:numPr>
        <w:ind w:left="1134" w:firstLine="0"/>
        <w:jc w:val="both"/>
        <w:rPr>
          <w:sz w:val="22"/>
          <w:szCs w:val="22"/>
        </w:rPr>
      </w:pPr>
      <w:r w:rsidRPr="001878D7">
        <w:rPr>
          <w:sz w:val="22"/>
          <w:szCs w:val="22"/>
        </w:rPr>
        <w:t xml:space="preserve">Laser </w:t>
      </w:r>
      <w:proofErr w:type="spellStart"/>
      <w:r w:rsidRPr="001878D7">
        <w:rPr>
          <w:sz w:val="22"/>
          <w:szCs w:val="22"/>
        </w:rPr>
        <w:t>iridotomy</w:t>
      </w:r>
      <w:proofErr w:type="spellEnd"/>
    </w:p>
    <w:p w14:paraId="41A7E1D0" w14:textId="35A33023" w:rsidR="000E574C" w:rsidRPr="001878D7" w:rsidRDefault="000E574C" w:rsidP="00A01256">
      <w:pPr>
        <w:pStyle w:val="Default"/>
        <w:numPr>
          <w:ilvl w:val="0"/>
          <w:numId w:val="8"/>
        </w:numPr>
        <w:ind w:left="1134" w:firstLine="0"/>
        <w:jc w:val="both"/>
        <w:rPr>
          <w:sz w:val="22"/>
          <w:szCs w:val="22"/>
        </w:rPr>
      </w:pPr>
      <w:r w:rsidRPr="001878D7">
        <w:rPr>
          <w:sz w:val="22"/>
          <w:szCs w:val="22"/>
        </w:rPr>
        <w:t xml:space="preserve">Ongoing monitoring </w:t>
      </w:r>
      <w:r w:rsidR="00CD37D3">
        <w:rPr>
          <w:sz w:val="22"/>
          <w:szCs w:val="22"/>
        </w:rPr>
        <w:t>and follow up according to NICE guidance</w:t>
      </w:r>
    </w:p>
    <w:p w14:paraId="6082728D" w14:textId="26049D01" w:rsidR="000E574C" w:rsidRPr="001878D7" w:rsidRDefault="00F22CFB" w:rsidP="00CE676E">
      <w:pPr>
        <w:pStyle w:val="Default"/>
        <w:spacing w:after="240"/>
        <w:ind w:left="709"/>
        <w:jc w:val="both"/>
        <w:rPr>
          <w:sz w:val="22"/>
          <w:szCs w:val="22"/>
        </w:rPr>
      </w:pPr>
      <w:r>
        <w:rPr>
          <w:sz w:val="22"/>
          <w:szCs w:val="22"/>
        </w:rPr>
        <w:lastRenderedPageBreak/>
        <w:br/>
      </w:r>
      <w:r w:rsidR="000E574C" w:rsidRPr="001878D7">
        <w:rPr>
          <w:sz w:val="22"/>
          <w:szCs w:val="22"/>
        </w:rPr>
        <w:t xml:space="preserve">The </w:t>
      </w:r>
      <w:r w:rsidR="00CD37D3">
        <w:rPr>
          <w:sz w:val="22"/>
          <w:szCs w:val="22"/>
        </w:rPr>
        <w:t>Sub-Contractor</w:t>
      </w:r>
      <w:r w:rsidR="000E574C" w:rsidRPr="001878D7">
        <w:rPr>
          <w:sz w:val="22"/>
          <w:szCs w:val="22"/>
        </w:rPr>
        <w:t xml:space="preserve"> would not be expected to undertake any surgical intervention (e.g. surgical glaucoma or cataract)</w:t>
      </w:r>
      <w:r w:rsidR="00642C6D" w:rsidRPr="001878D7">
        <w:rPr>
          <w:sz w:val="22"/>
          <w:szCs w:val="22"/>
        </w:rPr>
        <w:t xml:space="preserve">. Where this type of treatment is required, it would be expected that the </w:t>
      </w:r>
      <w:r w:rsidR="00CD37D3">
        <w:rPr>
          <w:sz w:val="22"/>
          <w:szCs w:val="22"/>
        </w:rPr>
        <w:t>Sub-Contractor refer</w:t>
      </w:r>
      <w:r w:rsidR="00642C6D" w:rsidRPr="001878D7">
        <w:rPr>
          <w:sz w:val="22"/>
          <w:szCs w:val="22"/>
        </w:rPr>
        <w:t xml:space="preserve">s the patient to </w:t>
      </w:r>
      <w:r w:rsidR="00CD37D3">
        <w:rPr>
          <w:sz w:val="22"/>
          <w:szCs w:val="22"/>
        </w:rPr>
        <w:t>the</w:t>
      </w:r>
      <w:r w:rsidR="00642C6D" w:rsidRPr="001878D7">
        <w:rPr>
          <w:sz w:val="22"/>
          <w:szCs w:val="22"/>
        </w:rPr>
        <w:t xml:space="preserve"> closest suitable </w:t>
      </w:r>
      <w:r w:rsidR="00CD37D3">
        <w:rPr>
          <w:sz w:val="22"/>
          <w:szCs w:val="22"/>
        </w:rPr>
        <w:t>provider</w:t>
      </w:r>
      <w:r w:rsidR="00642C6D" w:rsidRPr="001878D7">
        <w:rPr>
          <w:sz w:val="22"/>
          <w:szCs w:val="22"/>
        </w:rPr>
        <w:t xml:space="preserve"> of their choice.</w:t>
      </w:r>
      <w:r>
        <w:rPr>
          <w:sz w:val="22"/>
          <w:szCs w:val="22"/>
        </w:rPr>
        <w:t xml:space="preserve"> </w:t>
      </w:r>
    </w:p>
    <w:p w14:paraId="29692CFF" w14:textId="3F32C188" w:rsidR="00047E83" w:rsidRPr="001878D7" w:rsidRDefault="00F22CFB" w:rsidP="00CE676E">
      <w:pPr>
        <w:pStyle w:val="Default"/>
        <w:spacing w:after="240"/>
        <w:ind w:left="709"/>
        <w:jc w:val="both"/>
        <w:rPr>
          <w:sz w:val="22"/>
          <w:szCs w:val="22"/>
        </w:rPr>
      </w:pPr>
      <w:r>
        <w:rPr>
          <w:sz w:val="22"/>
          <w:szCs w:val="22"/>
        </w:rPr>
        <w:t>Where possible, t</w:t>
      </w:r>
      <w:r w:rsidR="00047E83" w:rsidRPr="001878D7">
        <w:rPr>
          <w:sz w:val="22"/>
          <w:szCs w:val="22"/>
        </w:rPr>
        <w:t xml:space="preserve">reatments undertaken within the service will be delivered via a ‘One Stop Shop’ with no review appointment unless this is clinically indicated. However, it is recognised that patients with long-term ophthalmic conditions such as stable glaucoma will require routine appointments. </w:t>
      </w:r>
    </w:p>
    <w:p w14:paraId="602E7DC7" w14:textId="19374391" w:rsidR="00047E83" w:rsidRPr="001878D7" w:rsidRDefault="00047E83" w:rsidP="00CE676E">
      <w:pPr>
        <w:pStyle w:val="Default"/>
        <w:spacing w:after="240"/>
        <w:ind w:left="709"/>
        <w:jc w:val="both"/>
        <w:rPr>
          <w:sz w:val="22"/>
          <w:szCs w:val="22"/>
        </w:rPr>
      </w:pPr>
      <w:r w:rsidRPr="001878D7">
        <w:rPr>
          <w:sz w:val="22"/>
          <w:szCs w:val="22"/>
        </w:rPr>
        <w:t xml:space="preserve">The </w:t>
      </w:r>
      <w:r w:rsidR="00BA5085">
        <w:rPr>
          <w:sz w:val="22"/>
          <w:szCs w:val="22"/>
        </w:rPr>
        <w:t>Sub-Contractor</w:t>
      </w:r>
      <w:r w:rsidRPr="001878D7">
        <w:rPr>
          <w:sz w:val="22"/>
          <w:szCs w:val="22"/>
        </w:rPr>
        <w:t xml:space="preserve"> will be responsible for ensuring that any patients who do not attend their appointment are followed up </w:t>
      </w:r>
      <w:r w:rsidR="00F22CFB">
        <w:rPr>
          <w:sz w:val="22"/>
          <w:szCs w:val="22"/>
        </w:rPr>
        <w:t xml:space="preserve">or discharged </w:t>
      </w:r>
      <w:r w:rsidRPr="001878D7">
        <w:rPr>
          <w:sz w:val="22"/>
          <w:szCs w:val="22"/>
        </w:rPr>
        <w:t xml:space="preserve">in accordance with an agreed access and waiting list policy that must be in line with national RTT guidance. </w:t>
      </w:r>
    </w:p>
    <w:p w14:paraId="6C982058" w14:textId="77777777" w:rsidR="00047E83" w:rsidRPr="001878D7" w:rsidRDefault="00047E83" w:rsidP="00CE676E">
      <w:pPr>
        <w:pStyle w:val="Default"/>
        <w:spacing w:after="240"/>
        <w:ind w:left="709"/>
        <w:jc w:val="both"/>
        <w:rPr>
          <w:sz w:val="22"/>
          <w:szCs w:val="22"/>
        </w:rPr>
      </w:pPr>
      <w:r w:rsidRPr="001878D7">
        <w:rPr>
          <w:sz w:val="22"/>
          <w:szCs w:val="22"/>
        </w:rPr>
        <w:t xml:space="preserve">The main outcomes of treatment will be: </w:t>
      </w:r>
    </w:p>
    <w:p w14:paraId="47219840" w14:textId="57455A88" w:rsidR="00047E83" w:rsidRPr="001878D7" w:rsidRDefault="00047E83" w:rsidP="00A01256">
      <w:pPr>
        <w:pStyle w:val="Default"/>
        <w:numPr>
          <w:ilvl w:val="0"/>
          <w:numId w:val="9"/>
        </w:numPr>
        <w:ind w:left="1418" w:hanging="284"/>
        <w:jc w:val="both"/>
        <w:rPr>
          <w:sz w:val="22"/>
          <w:szCs w:val="22"/>
        </w:rPr>
      </w:pPr>
      <w:r w:rsidRPr="001878D7">
        <w:rPr>
          <w:sz w:val="22"/>
          <w:szCs w:val="22"/>
        </w:rPr>
        <w:t xml:space="preserve">Stage 7 – Discharge; </w:t>
      </w:r>
    </w:p>
    <w:p w14:paraId="6EDABD18" w14:textId="7C6B1AB1" w:rsidR="00047E83" w:rsidRPr="001878D7" w:rsidRDefault="00047E83" w:rsidP="00A01256">
      <w:pPr>
        <w:pStyle w:val="Default"/>
        <w:numPr>
          <w:ilvl w:val="0"/>
          <w:numId w:val="9"/>
        </w:numPr>
        <w:ind w:left="1418" w:hanging="284"/>
        <w:jc w:val="both"/>
        <w:rPr>
          <w:sz w:val="22"/>
          <w:szCs w:val="22"/>
        </w:rPr>
      </w:pPr>
      <w:r w:rsidRPr="001878D7">
        <w:rPr>
          <w:sz w:val="22"/>
          <w:szCs w:val="22"/>
        </w:rPr>
        <w:t xml:space="preserve">Stage 3 – Clinical Assessment (for follow-up for long term conditions); </w:t>
      </w:r>
    </w:p>
    <w:p w14:paraId="5895267F" w14:textId="5532120A" w:rsidR="00047E83" w:rsidRDefault="00047E83" w:rsidP="00A01256">
      <w:pPr>
        <w:pStyle w:val="Default"/>
        <w:numPr>
          <w:ilvl w:val="0"/>
          <w:numId w:val="9"/>
        </w:numPr>
        <w:ind w:left="1418" w:hanging="284"/>
        <w:jc w:val="both"/>
        <w:rPr>
          <w:sz w:val="22"/>
          <w:szCs w:val="22"/>
        </w:rPr>
      </w:pPr>
      <w:r w:rsidRPr="001878D7">
        <w:rPr>
          <w:sz w:val="22"/>
          <w:szCs w:val="22"/>
        </w:rPr>
        <w:t xml:space="preserve">Stage 6 – Onward referral </w:t>
      </w:r>
    </w:p>
    <w:p w14:paraId="649F647F" w14:textId="77777777" w:rsidR="00CE676E" w:rsidRPr="001878D7" w:rsidRDefault="00CE676E" w:rsidP="00CE676E">
      <w:pPr>
        <w:pStyle w:val="Default"/>
        <w:ind w:left="709"/>
        <w:jc w:val="both"/>
        <w:rPr>
          <w:sz w:val="22"/>
          <w:szCs w:val="22"/>
        </w:rPr>
      </w:pPr>
    </w:p>
    <w:p w14:paraId="371C070F" w14:textId="771FE10B" w:rsidR="00C50B7E" w:rsidRPr="001878D7" w:rsidRDefault="004A59CA" w:rsidP="004A59CA">
      <w:pPr>
        <w:pStyle w:val="Heading3"/>
      </w:pPr>
      <w:bookmarkStart w:id="9" w:name="_Toc492544871"/>
      <w:r>
        <w:t>Stage 6: Onward Referral</w:t>
      </w:r>
      <w:bookmarkEnd w:id="9"/>
    </w:p>
    <w:p w14:paraId="5C8D7B85" w14:textId="0FDEF70D" w:rsidR="00047E83" w:rsidRPr="001878D7" w:rsidRDefault="00047E83" w:rsidP="00CE676E">
      <w:pPr>
        <w:pStyle w:val="Default"/>
        <w:spacing w:after="240"/>
        <w:ind w:left="709"/>
        <w:jc w:val="both"/>
        <w:rPr>
          <w:sz w:val="22"/>
          <w:szCs w:val="22"/>
        </w:rPr>
      </w:pPr>
      <w:r w:rsidRPr="001878D7">
        <w:rPr>
          <w:sz w:val="22"/>
          <w:szCs w:val="22"/>
        </w:rPr>
        <w:t xml:space="preserve">Onward referral requires the patient to be directed to </w:t>
      </w:r>
      <w:r w:rsidR="00CE6C00" w:rsidRPr="001878D7">
        <w:rPr>
          <w:sz w:val="22"/>
          <w:szCs w:val="22"/>
        </w:rPr>
        <w:t>their closest provider</w:t>
      </w:r>
      <w:r w:rsidRPr="001878D7">
        <w:rPr>
          <w:sz w:val="22"/>
          <w:szCs w:val="22"/>
        </w:rPr>
        <w:t xml:space="preserve"> for investigations or interventions that are not available to them within the service. If at any </w:t>
      </w:r>
      <w:r w:rsidR="00F22CFB">
        <w:rPr>
          <w:sz w:val="22"/>
          <w:szCs w:val="22"/>
        </w:rPr>
        <w:t>stage within the patient’s pathway</w:t>
      </w:r>
      <w:r w:rsidRPr="001878D7">
        <w:rPr>
          <w:sz w:val="22"/>
          <w:szCs w:val="22"/>
        </w:rPr>
        <w:t xml:space="preserve"> this becomes necessary, the onward referral must be made within one working day of that decision being taken. A full treatment plan must be made available to the receiving provider, including the results of tests and recommended procedures. The </w:t>
      </w:r>
      <w:r w:rsidR="00BA5085">
        <w:rPr>
          <w:sz w:val="22"/>
          <w:szCs w:val="22"/>
        </w:rPr>
        <w:t>Sub-Contractor</w:t>
      </w:r>
      <w:r w:rsidRPr="001878D7">
        <w:rPr>
          <w:sz w:val="22"/>
          <w:szCs w:val="22"/>
        </w:rPr>
        <w:t xml:space="preserve"> will be responsible for all Medical Secretary </w:t>
      </w:r>
      <w:proofErr w:type="gramStart"/>
      <w:r w:rsidRPr="001878D7">
        <w:rPr>
          <w:sz w:val="22"/>
          <w:szCs w:val="22"/>
        </w:rPr>
        <w:t>requirements</w:t>
      </w:r>
      <w:proofErr w:type="gramEnd"/>
      <w:r w:rsidRPr="001878D7">
        <w:rPr>
          <w:sz w:val="22"/>
          <w:szCs w:val="22"/>
        </w:rPr>
        <w:t xml:space="preserve"> for the service</w:t>
      </w:r>
      <w:r w:rsidR="005D7834">
        <w:rPr>
          <w:sz w:val="22"/>
          <w:szCs w:val="22"/>
        </w:rPr>
        <w:t xml:space="preserve"> using the Trust’s digital dictation system</w:t>
      </w:r>
      <w:r w:rsidRPr="001878D7">
        <w:rPr>
          <w:sz w:val="22"/>
          <w:szCs w:val="22"/>
        </w:rPr>
        <w:t xml:space="preserve">. Patients must be referred with all the work-up details that have </w:t>
      </w:r>
      <w:r w:rsidR="002D6671">
        <w:rPr>
          <w:sz w:val="22"/>
          <w:szCs w:val="22"/>
        </w:rPr>
        <w:t xml:space="preserve">taken place within the service. </w:t>
      </w:r>
      <w:r w:rsidR="0012649C">
        <w:rPr>
          <w:sz w:val="22"/>
          <w:szCs w:val="22"/>
        </w:rPr>
        <w:t>In addition, f</w:t>
      </w:r>
      <w:r w:rsidR="002D6671">
        <w:rPr>
          <w:sz w:val="22"/>
          <w:szCs w:val="22"/>
        </w:rPr>
        <w:t>or referrals into any part of UHBFT’s Ophthalmology services, the Sub-Contract must complete the required referral template.</w:t>
      </w:r>
    </w:p>
    <w:p w14:paraId="384DC2AB" w14:textId="329941EE" w:rsidR="003A7EAF" w:rsidRDefault="00DD3030" w:rsidP="00CE676E">
      <w:pPr>
        <w:pStyle w:val="Default"/>
        <w:spacing w:after="240"/>
        <w:ind w:left="709"/>
        <w:jc w:val="both"/>
        <w:rPr>
          <w:sz w:val="22"/>
          <w:szCs w:val="22"/>
        </w:rPr>
      </w:pPr>
      <w:r w:rsidRPr="001878D7">
        <w:rPr>
          <w:sz w:val="22"/>
          <w:szCs w:val="22"/>
        </w:rPr>
        <w:t xml:space="preserve">The </w:t>
      </w:r>
      <w:r w:rsidR="00BA5085">
        <w:rPr>
          <w:sz w:val="22"/>
          <w:szCs w:val="22"/>
        </w:rPr>
        <w:t>Sub-Contractor</w:t>
      </w:r>
      <w:r w:rsidRPr="001878D7">
        <w:rPr>
          <w:sz w:val="22"/>
          <w:szCs w:val="22"/>
        </w:rPr>
        <w:t xml:space="preserve"> needs to develop their relationships with other </w:t>
      </w:r>
      <w:r w:rsidR="00BA5085">
        <w:rPr>
          <w:sz w:val="22"/>
          <w:szCs w:val="22"/>
        </w:rPr>
        <w:t>p</w:t>
      </w:r>
      <w:r w:rsidRPr="001878D7">
        <w:rPr>
          <w:sz w:val="22"/>
          <w:szCs w:val="22"/>
        </w:rPr>
        <w:t xml:space="preserve">roviders to become an integral member of the health and social care community. </w:t>
      </w:r>
      <w:r w:rsidR="003A7EAF" w:rsidRPr="001878D7">
        <w:rPr>
          <w:sz w:val="22"/>
          <w:szCs w:val="22"/>
        </w:rPr>
        <w:t xml:space="preserve">The </w:t>
      </w:r>
      <w:r w:rsidR="00BA5085">
        <w:rPr>
          <w:sz w:val="22"/>
          <w:szCs w:val="22"/>
        </w:rPr>
        <w:t>Sub-Contractor</w:t>
      </w:r>
      <w:r w:rsidR="00BA5085" w:rsidRPr="001878D7">
        <w:rPr>
          <w:sz w:val="22"/>
          <w:szCs w:val="22"/>
        </w:rPr>
        <w:t xml:space="preserve"> </w:t>
      </w:r>
      <w:r w:rsidR="003A7EAF" w:rsidRPr="001878D7">
        <w:rPr>
          <w:sz w:val="22"/>
          <w:szCs w:val="22"/>
        </w:rPr>
        <w:t xml:space="preserve">will be required to be involved in local care pathway work and discussions, ensuring the best and most efficient means of treating patients are adopted, including the transfer of the relevant clinical information (i.e. images and clinical output report). </w:t>
      </w:r>
    </w:p>
    <w:p w14:paraId="08D37CC5" w14:textId="0D4360DD" w:rsidR="00047E83" w:rsidRPr="001878D7" w:rsidRDefault="004A59CA" w:rsidP="004A59CA">
      <w:pPr>
        <w:pStyle w:val="Heading3"/>
      </w:pPr>
      <w:bookmarkStart w:id="10" w:name="_Toc492544872"/>
      <w:r>
        <w:t>Stage 7: Discharge</w:t>
      </w:r>
      <w:bookmarkEnd w:id="10"/>
    </w:p>
    <w:p w14:paraId="5000E4DC" w14:textId="016304A3" w:rsidR="00047E83" w:rsidRPr="001878D7" w:rsidRDefault="00047E83" w:rsidP="00CE676E">
      <w:pPr>
        <w:pStyle w:val="Default"/>
        <w:spacing w:after="240"/>
        <w:ind w:left="709"/>
        <w:jc w:val="both"/>
        <w:rPr>
          <w:sz w:val="22"/>
          <w:szCs w:val="22"/>
        </w:rPr>
      </w:pPr>
      <w:r w:rsidRPr="001878D7">
        <w:rPr>
          <w:sz w:val="22"/>
          <w:szCs w:val="22"/>
        </w:rPr>
        <w:t>Discharge occurs when the service clinician reaches a stage where no further action will take pl</w:t>
      </w:r>
      <w:r w:rsidR="00BA5085">
        <w:rPr>
          <w:sz w:val="22"/>
          <w:szCs w:val="22"/>
        </w:rPr>
        <w:t>ace with the patient’s referral. T</w:t>
      </w:r>
      <w:r w:rsidRPr="001878D7">
        <w:rPr>
          <w:sz w:val="22"/>
          <w:szCs w:val="22"/>
        </w:rPr>
        <w:t xml:space="preserve">his may be indicated by completion of a glaucoma pathway in line with NICE guidance. The patient </w:t>
      </w:r>
      <w:r w:rsidR="00772515">
        <w:rPr>
          <w:sz w:val="22"/>
          <w:szCs w:val="22"/>
        </w:rPr>
        <w:t>should be</w:t>
      </w:r>
      <w:r w:rsidRPr="001878D7">
        <w:rPr>
          <w:sz w:val="22"/>
          <w:szCs w:val="22"/>
        </w:rPr>
        <w:t xml:space="preserve"> directed back to </w:t>
      </w:r>
      <w:r w:rsidR="00772515">
        <w:rPr>
          <w:sz w:val="22"/>
          <w:szCs w:val="22"/>
        </w:rPr>
        <w:t>their</w:t>
      </w:r>
      <w:r w:rsidRPr="001878D7">
        <w:rPr>
          <w:sz w:val="22"/>
          <w:szCs w:val="22"/>
        </w:rPr>
        <w:t xml:space="preserve"> referring GP or healthcare professional. </w:t>
      </w:r>
    </w:p>
    <w:p w14:paraId="5F31E09C" w14:textId="3D2F7A1C" w:rsidR="00047E83" w:rsidRPr="001878D7" w:rsidRDefault="00047E83" w:rsidP="00CE676E">
      <w:pPr>
        <w:pStyle w:val="Default"/>
        <w:spacing w:after="240"/>
        <w:ind w:left="709"/>
        <w:jc w:val="both"/>
        <w:rPr>
          <w:sz w:val="22"/>
          <w:szCs w:val="22"/>
        </w:rPr>
      </w:pPr>
      <w:r w:rsidRPr="001878D7">
        <w:rPr>
          <w:sz w:val="22"/>
          <w:szCs w:val="22"/>
        </w:rPr>
        <w:t xml:space="preserve">At the point of discharge from the service, the </w:t>
      </w:r>
      <w:r w:rsidR="00BA5085">
        <w:rPr>
          <w:sz w:val="22"/>
          <w:szCs w:val="22"/>
        </w:rPr>
        <w:t>Sub-Contractor</w:t>
      </w:r>
      <w:r w:rsidRPr="001878D7">
        <w:rPr>
          <w:sz w:val="22"/>
          <w:szCs w:val="22"/>
        </w:rPr>
        <w:t xml:space="preserve"> will be required to produce a discharge document which will contain an account of the assessment, diagnostic tests, treatment plan, treatments carried out and outcomes from the service. The aim is that this information should be received by the ref</w:t>
      </w:r>
      <w:r w:rsidR="00642C6D" w:rsidRPr="001878D7">
        <w:rPr>
          <w:sz w:val="22"/>
          <w:szCs w:val="22"/>
        </w:rPr>
        <w:t>erring clinician no later than 10</w:t>
      </w:r>
      <w:r w:rsidRPr="001878D7">
        <w:rPr>
          <w:sz w:val="22"/>
          <w:szCs w:val="22"/>
        </w:rPr>
        <w:t xml:space="preserve"> working days of the patient being discharged from the service. </w:t>
      </w:r>
    </w:p>
    <w:p w14:paraId="0C22FA96" w14:textId="5065A5B5" w:rsidR="00047E83" w:rsidRDefault="00047E83" w:rsidP="00CE676E">
      <w:pPr>
        <w:pStyle w:val="Default"/>
        <w:spacing w:after="240"/>
        <w:ind w:left="709"/>
        <w:jc w:val="both"/>
        <w:rPr>
          <w:sz w:val="22"/>
          <w:szCs w:val="22"/>
        </w:rPr>
      </w:pPr>
      <w:r w:rsidRPr="001878D7">
        <w:rPr>
          <w:sz w:val="22"/>
          <w:szCs w:val="22"/>
        </w:rPr>
        <w:t xml:space="preserve">A copy of this documentation should normally be given to the patient as they progress through the service if they have indicated a wish to receive this information. </w:t>
      </w:r>
      <w:r w:rsidRPr="001878D7">
        <w:rPr>
          <w:sz w:val="22"/>
          <w:szCs w:val="22"/>
        </w:rPr>
        <w:lastRenderedPageBreak/>
        <w:t xml:space="preserve">The discharge documents should conform to an agreed minimum data set. The </w:t>
      </w:r>
      <w:r w:rsidR="00772515">
        <w:rPr>
          <w:sz w:val="22"/>
          <w:szCs w:val="22"/>
        </w:rPr>
        <w:t>Sub-Contractor</w:t>
      </w:r>
      <w:r w:rsidRPr="001878D7">
        <w:rPr>
          <w:sz w:val="22"/>
          <w:szCs w:val="22"/>
        </w:rPr>
        <w:t xml:space="preserve"> will be responsible for the production and distribut</w:t>
      </w:r>
      <w:r w:rsidR="005D7834">
        <w:rPr>
          <w:sz w:val="22"/>
          <w:szCs w:val="22"/>
        </w:rPr>
        <w:t>ion of all discharge documents via UHBFT’s digital dictation system.</w:t>
      </w:r>
    </w:p>
    <w:p w14:paraId="4354C86A" w14:textId="77777777" w:rsidR="00642C6D" w:rsidRPr="001878D7" w:rsidRDefault="00642C6D" w:rsidP="004A59CA">
      <w:pPr>
        <w:pStyle w:val="Heading1"/>
      </w:pPr>
      <w:bookmarkStart w:id="11" w:name="_Toc492544873"/>
      <w:r w:rsidRPr="001878D7">
        <w:t>Key Service Outcomes</w:t>
      </w:r>
      <w:bookmarkEnd w:id="11"/>
    </w:p>
    <w:p w14:paraId="64FC99AD" w14:textId="77777777" w:rsidR="00772515" w:rsidRPr="00772515" w:rsidRDefault="00772515" w:rsidP="00CE676E">
      <w:pPr>
        <w:spacing w:after="240" w:line="240" w:lineRule="auto"/>
        <w:jc w:val="both"/>
        <w:rPr>
          <w:rFonts w:ascii="Arial" w:hAnsi="Arial" w:cs="Arial"/>
        </w:rPr>
      </w:pPr>
      <w:r w:rsidRPr="00772515">
        <w:rPr>
          <w:rFonts w:ascii="Arial" w:hAnsi="Arial" w:cs="Arial"/>
        </w:rPr>
        <w:t>A balanced, well-planned system will enable professionals to provide high quality services to patients more easily and will:</w:t>
      </w:r>
    </w:p>
    <w:p w14:paraId="49A07C81"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Ensure that help, care and support are available as early as possible to prevent illness and conditions becoming more serious; </w:t>
      </w:r>
    </w:p>
    <w:p w14:paraId="2CD547F7"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Ensure individuals/patients can move smoothly through the help, care and support pathways as their needs increase or decrease; </w:t>
      </w:r>
    </w:p>
    <w:p w14:paraId="0D36A62D"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high quality patient outcomes</w:t>
      </w:r>
    </w:p>
    <w:p w14:paraId="0491BEDA"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Reduce demand for limited secondary care services and help to shorten waiting times</w:t>
      </w:r>
    </w:p>
    <w:p w14:paraId="66537501"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Manage flows through primary and secondary care seamlessly; </w:t>
      </w:r>
    </w:p>
    <w:p w14:paraId="2ABC8FF7"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appropriate and timely referrals;</w:t>
      </w:r>
    </w:p>
    <w:p w14:paraId="1EEBC016" w14:textId="77777777" w:rsidR="00BE61CE" w:rsidRPr="00772515"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 xml:space="preserve">Provide self-help information for patients to manage their conditions more effectively; </w:t>
      </w:r>
    </w:p>
    <w:p w14:paraId="5534DF29" w14:textId="77777777" w:rsidR="00BE61CE" w:rsidRDefault="00BE61CE" w:rsidP="00A01256">
      <w:pPr>
        <w:numPr>
          <w:ilvl w:val="1"/>
          <w:numId w:val="17"/>
        </w:numPr>
        <w:tabs>
          <w:tab w:val="clear" w:pos="1440"/>
        </w:tabs>
        <w:spacing w:after="240" w:line="240" w:lineRule="auto"/>
        <w:ind w:left="851"/>
        <w:jc w:val="both"/>
        <w:rPr>
          <w:rFonts w:ascii="Arial" w:hAnsi="Arial" w:cs="Arial"/>
        </w:rPr>
      </w:pPr>
      <w:r w:rsidRPr="00772515">
        <w:rPr>
          <w:rFonts w:ascii="Arial" w:hAnsi="Arial" w:cs="Arial"/>
        </w:rPr>
        <w:t>Ensure health promotion and well-being;</w:t>
      </w:r>
    </w:p>
    <w:p w14:paraId="2B6FCFB7" w14:textId="77777777" w:rsidR="005D7834" w:rsidRPr="00772515" w:rsidRDefault="005D7834" w:rsidP="005D7834">
      <w:pPr>
        <w:spacing w:after="240" w:line="240" w:lineRule="auto"/>
        <w:ind w:left="851"/>
        <w:jc w:val="both"/>
        <w:rPr>
          <w:rFonts w:ascii="Arial" w:hAnsi="Arial" w:cs="Arial"/>
        </w:rPr>
      </w:pPr>
    </w:p>
    <w:p w14:paraId="05AF57DC" w14:textId="7B805DD1" w:rsidR="003A7EAF" w:rsidRPr="001878D7" w:rsidRDefault="003A7EAF" w:rsidP="004A59CA">
      <w:pPr>
        <w:pStyle w:val="Heading1"/>
      </w:pPr>
      <w:bookmarkStart w:id="12" w:name="_Toc492544874"/>
      <w:r w:rsidRPr="001878D7">
        <w:t>Premises</w:t>
      </w:r>
      <w:bookmarkEnd w:id="12"/>
    </w:p>
    <w:p w14:paraId="7B50CB89" w14:textId="51FAB772" w:rsidR="00772515" w:rsidRDefault="00772515" w:rsidP="00CE676E">
      <w:pPr>
        <w:pStyle w:val="Default"/>
        <w:spacing w:after="240"/>
        <w:jc w:val="both"/>
        <w:rPr>
          <w:sz w:val="22"/>
          <w:szCs w:val="22"/>
        </w:rPr>
      </w:pPr>
      <w:r>
        <w:rPr>
          <w:sz w:val="22"/>
          <w:szCs w:val="22"/>
        </w:rPr>
        <w:t xml:space="preserve">The Sub-Contractor must ensure that </w:t>
      </w:r>
      <w:r w:rsidR="005D7834">
        <w:rPr>
          <w:sz w:val="22"/>
          <w:szCs w:val="22"/>
        </w:rPr>
        <w:t>UHBFT’s</w:t>
      </w:r>
      <w:r>
        <w:rPr>
          <w:sz w:val="22"/>
          <w:szCs w:val="22"/>
        </w:rPr>
        <w:t xml:space="preserve"> premises are </w:t>
      </w:r>
      <w:r w:rsidR="005D7834">
        <w:rPr>
          <w:sz w:val="22"/>
          <w:szCs w:val="22"/>
        </w:rPr>
        <w:t xml:space="preserve">kept in an </w:t>
      </w:r>
      <w:r>
        <w:rPr>
          <w:sz w:val="22"/>
          <w:szCs w:val="22"/>
        </w:rPr>
        <w:t xml:space="preserve">appropriate, safe and well maintained </w:t>
      </w:r>
      <w:r w:rsidR="005D7834">
        <w:rPr>
          <w:sz w:val="22"/>
          <w:szCs w:val="22"/>
        </w:rPr>
        <w:t xml:space="preserve">condition </w:t>
      </w:r>
      <w:r>
        <w:rPr>
          <w:sz w:val="22"/>
          <w:szCs w:val="22"/>
        </w:rPr>
        <w:t>for the delivery of an Ophthalmology service. The Sub-Contract</w:t>
      </w:r>
      <w:r w:rsidR="00727686">
        <w:rPr>
          <w:sz w:val="22"/>
          <w:szCs w:val="22"/>
        </w:rPr>
        <w:t>or</w:t>
      </w:r>
      <w:r>
        <w:rPr>
          <w:sz w:val="22"/>
          <w:szCs w:val="22"/>
        </w:rPr>
        <w:t xml:space="preserve"> must comply wi</w:t>
      </w:r>
      <w:r w:rsidR="00376BB0">
        <w:rPr>
          <w:sz w:val="22"/>
          <w:szCs w:val="22"/>
        </w:rPr>
        <w:t>th</w:t>
      </w:r>
      <w:r>
        <w:rPr>
          <w:sz w:val="22"/>
          <w:szCs w:val="22"/>
        </w:rPr>
        <w:t xml:space="preserve"> all CQC regulations. </w:t>
      </w:r>
      <w:r w:rsidR="005D7834">
        <w:rPr>
          <w:sz w:val="22"/>
          <w:szCs w:val="22"/>
        </w:rPr>
        <w:t xml:space="preserve">The Sub-Contractor will be liable for the replacement cost for any equipment, IT systems or premises which are damaged whilst the Sub-Contractor is using the facilities. </w:t>
      </w:r>
      <w:r w:rsidR="002D6671">
        <w:rPr>
          <w:sz w:val="22"/>
          <w:szCs w:val="22"/>
        </w:rPr>
        <w:t>If the damaged equipment impacts on UHBFT’s core clinical working hours, the Sub-Contractor will be liable to pay compensation to UHBFT in line with the costs of cancelling the clinical activity and setting up additional sessions at premium rates.</w:t>
      </w:r>
    </w:p>
    <w:p w14:paraId="7A2C2B43" w14:textId="0154F136" w:rsidR="002D6671" w:rsidRDefault="002D6671" w:rsidP="00CE676E">
      <w:pPr>
        <w:pStyle w:val="Default"/>
        <w:spacing w:after="240"/>
        <w:jc w:val="both"/>
        <w:rPr>
          <w:sz w:val="22"/>
          <w:szCs w:val="22"/>
        </w:rPr>
      </w:pPr>
      <w:r>
        <w:rPr>
          <w:sz w:val="22"/>
          <w:szCs w:val="22"/>
        </w:rPr>
        <w:t>The Sub-Contractor will be able to use the following rooms within UHBFT’s Ophthalmology department:</w:t>
      </w:r>
    </w:p>
    <w:p w14:paraId="10D719E5" w14:textId="264C82B7" w:rsidR="002D6671" w:rsidRDefault="002D6671" w:rsidP="002D6671">
      <w:pPr>
        <w:pStyle w:val="Default"/>
        <w:numPr>
          <w:ilvl w:val="0"/>
          <w:numId w:val="23"/>
        </w:numPr>
        <w:spacing w:after="240"/>
        <w:ind w:left="851"/>
        <w:rPr>
          <w:sz w:val="22"/>
          <w:szCs w:val="22"/>
        </w:rPr>
      </w:pPr>
      <w:r>
        <w:rPr>
          <w:sz w:val="22"/>
          <w:szCs w:val="22"/>
        </w:rPr>
        <w:t>1x Visual Field Room (4x Humphry Visual Field Machines)</w:t>
      </w:r>
    </w:p>
    <w:p w14:paraId="3FC036B5" w14:textId="4BFF8CBA" w:rsidR="002D6671" w:rsidRDefault="002D6671" w:rsidP="002D6671">
      <w:pPr>
        <w:pStyle w:val="Default"/>
        <w:numPr>
          <w:ilvl w:val="0"/>
          <w:numId w:val="23"/>
        </w:numPr>
        <w:spacing w:after="240"/>
        <w:ind w:left="851"/>
        <w:rPr>
          <w:sz w:val="22"/>
          <w:szCs w:val="22"/>
        </w:rPr>
      </w:pPr>
      <w:r>
        <w:rPr>
          <w:sz w:val="22"/>
          <w:szCs w:val="22"/>
        </w:rPr>
        <w:t>2 x OCT Rooms</w:t>
      </w:r>
    </w:p>
    <w:p w14:paraId="603F5AA1" w14:textId="77777777" w:rsidR="002D6671" w:rsidRDefault="002D6671" w:rsidP="002D6671">
      <w:pPr>
        <w:pStyle w:val="Default"/>
        <w:numPr>
          <w:ilvl w:val="0"/>
          <w:numId w:val="23"/>
        </w:numPr>
        <w:spacing w:after="240"/>
        <w:ind w:left="851"/>
        <w:rPr>
          <w:sz w:val="22"/>
          <w:szCs w:val="22"/>
        </w:rPr>
      </w:pPr>
      <w:r>
        <w:rPr>
          <w:sz w:val="22"/>
          <w:szCs w:val="22"/>
        </w:rPr>
        <w:t>14 x Consulting Rooms</w:t>
      </w:r>
    </w:p>
    <w:p w14:paraId="50F3D112" w14:textId="77777777" w:rsidR="002D6671" w:rsidRDefault="002D6671" w:rsidP="002D6671">
      <w:pPr>
        <w:pStyle w:val="Default"/>
        <w:numPr>
          <w:ilvl w:val="0"/>
          <w:numId w:val="23"/>
        </w:numPr>
        <w:spacing w:after="240"/>
        <w:ind w:left="851"/>
        <w:rPr>
          <w:sz w:val="22"/>
          <w:szCs w:val="22"/>
        </w:rPr>
      </w:pPr>
      <w:r>
        <w:rPr>
          <w:sz w:val="22"/>
          <w:szCs w:val="22"/>
        </w:rPr>
        <w:t>8 x Nursing Visual Acuity Rooms</w:t>
      </w:r>
    </w:p>
    <w:p w14:paraId="29DE2F0F" w14:textId="6C9AEB1E" w:rsidR="002D6671" w:rsidRDefault="00124E48" w:rsidP="002D6671">
      <w:pPr>
        <w:pStyle w:val="Default"/>
        <w:numPr>
          <w:ilvl w:val="0"/>
          <w:numId w:val="23"/>
        </w:numPr>
        <w:spacing w:after="240"/>
        <w:ind w:left="851"/>
        <w:rPr>
          <w:sz w:val="22"/>
          <w:szCs w:val="22"/>
        </w:rPr>
      </w:pPr>
      <w:r>
        <w:rPr>
          <w:sz w:val="22"/>
          <w:szCs w:val="22"/>
        </w:rPr>
        <w:t>1 x Laser Room</w:t>
      </w:r>
    </w:p>
    <w:p w14:paraId="0000644F" w14:textId="11B085D5" w:rsidR="00124E48" w:rsidRPr="002D6671" w:rsidRDefault="00124E48" w:rsidP="00124E48">
      <w:pPr>
        <w:pStyle w:val="Default"/>
        <w:spacing w:after="240"/>
        <w:rPr>
          <w:sz w:val="22"/>
          <w:szCs w:val="22"/>
        </w:rPr>
      </w:pPr>
      <w:r>
        <w:rPr>
          <w:sz w:val="22"/>
          <w:szCs w:val="22"/>
        </w:rPr>
        <w:lastRenderedPageBreak/>
        <w:t xml:space="preserve">The clinics must take place outside of UHBFT core hours. The Sub-Contract may use the facilities between Monday and Friday from 17:30 and 23:00 and on Sundays from 08:00 until 23:00. </w:t>
      </w:r>
    </w:p>
    <w:p w14:paraId="66569923" w14:textId="7E22945B" w:rsidR="00642C6D" w:rsidRPr="004A59CA" w:rsidRDefault="00642C6D" w:rsidP="004A59CA">
      <w:pPr>
        <w:pStyle w:val="Heading1"/>
      </w:pPr>
      <w:bookmarkStart w:id="13" w:name="_Toc492544875"/>
      <w:r w:rsidRPr="004A59CA">
        <w:t>Quality and Governance</w:t>
      </w:r>
      <w:bookmarkEnd w:id="13"/>
    </w:p>
    <w:p w14:paraId="233DB220" w14:textId="4785E0A5" w:rsidR="00642C6D" w:rsidRPr="001878D7" w:rsidRDefault="00642C6D" w:rsidP="00CE676E">
      <w:pPr>
        <w:spacing w:after="240" w:line="240" w:lineRule="auto"/>
        <w:jc w:val="both"/>
        <w:rPr>
          <w:rFonts w:ascii="Arial" w:hAnsi="Arial" w:cs="Arial"/>
        </w:rPr>
      </w:pPr>
      <w:r w:rsidRPr="001878D7">
        <w:rPr>
          <w:rFonts w:ascii="Arial" w:hAnsi="Arial" w:cs="Arial"/>
        </w:rPr>
        <w:t xml:space="preserve">The </w:t>
      </w:r>
      <w:r w:rsidR="00BE61CE">
        <w:rPr>
          <w:rFonts w:ascii="Arial" w:hAnsi="Arial" w:cs="Arial"/>
        </w:rPr>
        <w:t>Sub-Contractor</w:t>
      </w:r>
      <w:r w:rsidRPr="001878D7">
        <w:rPr>
          <w:rFonts w:ascii="Arial" w:hAnsi="Arial" w:cs="Arial"/>
        </w:rPr>
        <w:t xml:space="preserve"> must have a robust clinical governance framework in place with strong clinical leadership and clear lines of accountability which operates across organisational and/or professional boundaries. The </w:t>
      </w:r>
      <w:r w:rsidR="00BE61CE">
        <w:rPr>
          <w:rFonts w:ascii="Arial" w:hAnsi="Arial" w:cs="Arial"/>
        </w:rPr>
        <w:t>Sub-Contractor</w:t>
      </w:r>
      <w:r w:rsidR="00BE61CE" w:rsidRPr="001878D7">
        <w:rPr>
          <w:rFonts w:ascii="Arial" w:hAnsi="Arial" w:cs="Arial"/>
        </w:rPr>
        <w:t xml:space="preserve"> </w:t>
      </w:r>
      <w:r w:rsidRPr="001878D7">
        <w:rPr>
          <w:rFonts w:ascii="Arial" w:hAnsi="Arial" w:cs="Arial"/>
        </w:rPr>
        <w:t xml:space="preserve">must have effective systems and processes in operation, which ensure that high standards of clinical care are maintained and the quality of the services provided are continually improved. </w:t>
      </w:r>
    </w:p>
    <w:p w14:paraId="10E74A5F" w14:textId="63D913A7" w:rsidR="00642C6D" w:rsidRPr="001878D7" w:rsidRDefault="00BE61CE" w:rsidP="00CE676E">
      <w:pPr>
        <w:spacing w:after="240" w:line="240" w:lineRule="auto"/>
        <w:jc w:val="both"/>
        <w:rPr>
          <w:rFonts w:ascii="Arial" w:hAnsi="Arial" w:cs="Arial"/>
        </w:rPr>
      </w:pPr>
      <w:r>
        <w:rPr>
          <w:rFonts w:ascii="Arial" w:hAnsi="Arial" w:cs="Arial"/>
        </w:rPr>
        <w:t xml:space="preserve">Some of the </w:t>
      </w:r>
      <w:r w:rsidR="00642C6D" w:rsidRPr="001878D7">
        <w:rPr>
          <w:rFonts w:ascii="Arial" w:hAnsi="Arial" w:cs="Arial"/>
        </w:rPr>
        <w:t>key components of any effective clinical governance framework can be grouped under the following headings:</w:t>
      </w:r>
    </w:p>
    <w:p w14:paraId="141CE2B3" w14:textId="77777777" w:rsidR="00B65F28" w:rsidRPr="001878D7" w:rsidRDefault="00B65F28"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Applicable Service Standards</w:t>
      </w:r>
    </w:p>
    <w:p w14:paraId="3331ABBE"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Staffing &amp; Staff Management</w:t>
      </w:r>
    </w:p>
    <w:p w14:paraId="13967324"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Clinical Effectiveness &amp; Clinical Audit</w:t>
      </w:r>
    </w:p>
    <w:p w14:paraId="0DCBDAC3" w14:textId="38A0D7AB"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Risk </w:t>
      </w:r>
      <w:r w:rsidR="004A59CA">
        <w:rPr>
          <w:rFonts w:ascii="Arial" w:hAnsi="Arial" w:cs="Arial"/>
          <w:bCs/>
        </w:rPr>
        <w:t xml:space="preserve">and Incident </w:t>
      </w:r>
      <w:r w:rsidRPr="001878D7">
        <w:rPr>
          <w:rFonts w:ascii="Arial" w:hAnsi="Arial" w:cs="Arial"/>
          <w:bCs/>
        </w:rPr>
        <w:t>Management</w:t>
      </w:r>
    </w:p>
    <w:p w14:paraId="48EF5807" w14:textId="1D86BA6B" w:rsidR="004A59CA" w:rsidRPr="001878D7" w:rsidRDefault="004A59CA"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Patient </w:t>
      </w:r>
      <w:r>
        <w:rPr>
          <w:rFonts w:ascii="Arial" w:hAnsi="Arial" w:cs="Arial"/>
          <w:bCs/>
        </w:rPr>
        <w:t>&amp;</w:t>
      </w:r>
      <w:r w:rsidRPr="001878D7">
        <w:rPr>
          <w:rFonts w:ascii="Arial" w:hAnsi="Arial" w:cs="Arial"/>
          <w:bCs/>
        </w:rPr>
        <w:t xml:space="preserve"> Public Involvement</w:t>
      </w:r>
    </w:p>
    <w:p w14:paraId="4B421C03" w14:textId="77777777"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Information Governance</w:t>
      </w:r>
    </w:p>
    <w:p w14:paraId="42397987" w14:textId="23E5C582" w:rsidR="00642C6D" w:rsidRPr="001878D7" w:rsidRDefault="00642C6D" w:rsidP="004A59CA">
      <w:pPr>
        <w:pStyle w:val="ListParagraph"/>
        <w:numPr>
          <w:ilvl w:val="0"/>
          <w:numId w:val="2"/>
        </w:numPr>
        <w:spacing w:after="240" w:line="240" w:lineRule="auto"/>
        <w:ind w:left="851" w:hanging="425"/>
        <w:jc w:val="both"/>
        <w:rPr>
          <w:rFonts w:ascii="Arial" w:hAnsi="Arial" w:cs="Arial"/>
          <w:bCs/>
        </w:rPr>
      </w:pPr>
      <w:r w:rsidRPr="001878D7">
        <w:rPr>
          <w:rFonts w:ascii="Arial" w:hAnsi="Arial" w:cs="Arial"/>
          <w:bCs/>
        </w:rPr>
        <w:t xml:space="preserve">Health </w:t>
      </w:r>
      <w:r w:rsidR="004A59CA">
        <w:rPr>
          <w:rFonts w:ascii="Arial" w:hAnsi="Arial" w:cs="Arial"/>
          <w:bCs/>
        </w:rPr>
        <w:t>&amp;</w:t>
      </w:r>
      <w:r w:rsidRPr="001878D7">
        <w:rPr>
          <w:rFonts w:ascii="Arial" w:hAnsi="Arial" w:cs="Arial"/>
          <w:bCs/>
        </w:rPr>
        <w:t xml:space="preserve"> Safety</w:t>
      </w:r>
    </w:p>
    <w:p w14:paraId="765309DE" w14:textId="13BC2D1F" w:rsidR="00B65F28" w:rsidRPr="004A59CA" w:rsidRDefault="00BF7A6D" w:rsidP="004A59CA">
      <w:pPr>
        <w:pStyle w:val="Heading2"/>
      </w:pPr>
      <w:bookmarkStart w:id="14" w:name="_Toc492544876"/>
      <w:r w:rsidRPr="004A59CA">
        <w:t>5</w:t>
      </w:r>
      <w:r w:rsidR="00B65F28" w:rsidRPr="004A59CA">
        <w:t xml:space="preserve">.1  </w:t>
      </w:r>
      <w:r w:rsidRPr="004A59CA">
        <w:tab/>
      </w:r>
      <w:r w:rsidR="00B65F28" w:rsidRPr="004A59CA">
        <w:t>Applicable Service Standards</w:t>
      </w:r>
      <w:bookmarkEnd w:id="14"/>
    </w:p>
    <w:p w14:paraId="737AF424" w14:textId="3B1D45FF" w:rsidR="00BF7A6D" w:rsidRPr="00D36CDA" w:rsidRDefault="00D36CDA" w:rsidP="00D75E7E">
      <w:pPr>
        <w:autoSpaceDE w:val="0"/>
        <w:autoSpaceDN w:val="0"/>
        <w:adjustRightInd w:val="0"/>
        <w:spacing w:after="240" w:line="240" w:lineRule="auto"/>
        <w:ind w:left="851"/>
        <w:jc w:val="both"/>
        <w:rPr>
          <w:rFonts w:ascii="Arial" w:hAnsi="Arial" w:cs="Arial"/>
        </w:rPr>
      </w:pPr>
      <w:r w:rsidRPr="00D36CDA">
        <w:rPr>
          <w:rFonts w:ascii="Arial" w:hAnsi="Arial" w:cs="Arial"/>
        </w:rPr>
        <w:t>Applicable National Standards include:</w:t>
      </w:r>
    </w:p>
    <w:p w14:paraId="14BAB444"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NICE Quality Standards for glaucoma in Adults (NICE, 2011)</w:t>
      </w:r>
    </w:p>
    <w:p w14:paraId="59A25C7C"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lang w:val="en-US"/>
        </w:rPr>
        <w:t>Glaucoma Commissioning Guide Recommendations (</w:t>
      </w:r>
      <w:proofErr w:type="spellStart"/>
      <w:r w:rsidRPr="00D36CDA">
        <w:rPr>
          <w:rFonts w:ascii="Arial" w:hAnsi="Arial" w:cs="Arial"/>
          <w:lang w:val="en-US"/>
        </w:rPr>
        <w:t>RCOphth</w:t>
      </w:r>
      <w:proofErr w:type="spellEnd"/>
      <w:r w:rsidRPr="00D36CDA">
        <w:rPr>
          <w:rFonts w:ascii="Arial" w:hAnsi="Arial" w:cs="Arial"/>
          <w:lang w:val="en-US"/>
        </w:rPr>
        <w:t>, 2016)</w:t>
      </w:r>
    </w:p>
    <w:p w14:paraId="44C2DB56"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White Paper </w:t>
      </w:r>
      <w:r w:rsidRPr="00D36CDA">
        <w:rPr>
          <w:rFonts w:ascii="Arial" w:hAnsi="Arial" w:cs="Arial"/>
          <w:i/>
          <w:iCs/>
        </w:rPr>
        <w:t xml:space="preserve">‘Our Health, Our Care, Our Say’ </w:t>
      </w:r>
      <w:r w:rsidRPr="00D36CDA">
        <w:rPr>
          <w:rFonts w:ascii="Arial" w:hAnsi="Arial" w:cs="Arial"/>
        </w:rPr>
        <w:t>(DOH, 2005)</w:t>
      </w:r>
      <w:r w:rsidRPr="00D36CDA">
        <w:rPr>
          <w:rFonts w:ascii="Arial" w:hAnsi="Arial" w:cs="Arial"/>
          <w:i/>
          <w:iCs/>
        </w:rPr>
        <w:t xml:space="preserve"> </w:t>
      </w:r>
    </w:p>
    <w:p w14:paraId="0265475D"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General Ophthalmic Services Review (DOH, 2006)</w:t>
      </w:r>
    </w:p>
    <w:p w14:paraId="026F7B74"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Safeguarding Patients (Gov,2007) </w:t>
      </w:r>
    </w:p>
    <w:p w14:paraId="09DFBB42"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 xml:space="preserve">Tackling Hospital Waiting: The 18 week Patient Pathway (May 2006) </w:t>
      </w:r>
    </w:p>
    <w:p w14:paraId="671F7A3B"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Five Year Forward View (NHS England, 2014)</w:t>
      </w:r>
    </w:p>
    <w:p w14:paraId="3DA128E8" w14:textId="77777777" w:rsidR="00D36CDA" w:rsidRPr="00D36CDA"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rPr>
        <w:t>Francis Report (Francis, 2013)</w:t>
      </w:r>
    </w:p>
    <w:p w14:paraId="6AAB1D20" w14:textId="77777777" w:rsidR="00D36CDA" w:rsidRPr="000D2469" w:rsidRDefault="00D36CDA"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sidRPr="00D36CDA">
        <w:rPr>
          <w:rFonts w:ascii="Arial" w:hAnsi="Arial" w:cs="Arial"/>
          <w:lang w:val="en-US"/>
        </w:rPr>
        <w:t>Safety and quality Sub-Contractor regulations: Health and Social Care Act 2008 (Regulated Activities) Reg. 2014 and Care Quality Commission (Registration) Reg. 2009</w:t>
      </w:r>
    </w:p>
    <w:p w14:paraId="62BBEF48" w14:textId="5ED78C33" w:rsidR="000D2469" w:rsidRPr="004614FE" w:rsidRDefault="000D2469" w:rsidP="004A59CA">
      <w:pPr>
        <w:pStyle w:val="ListParagraph"/>
        <w:numPr>
          <w:ilvl w:val="0"/>
          <w:numId w:val="18"/>
        </w:numPr>
        <w:tabs>
          <w:tab w:val="clear" w:pos="720"/>
          <w:tab w:val="num" w:pos="1985"/>
        </w:tabs>
        <w:spacing w:after="240" w:line="240" w:lineRule="auto"/>
        <w:ind w:left="1701" w:hanging="425"/>
        <w:jc w:val="both"/>
        <w:rPr>
          <w:rFonts w:ascii="Arial" w:hAnsi="Arial" w:cs="Arial"/>
        </w:rPr>
      </w:pPr>
      <w:r>
        <w:rPr>
          <w:rFonts w:ascii="Arial" w:hAnsi="Arial" w:cs="Arial"/>
          <w:lang w:val="en-US"/>
        </w:rPr>
        <w:t>Equality Act 2010</w:t>
      </w:r>
    </w:p>
    <w:p w14:paraId="31B1DF74" w14:textId="06119217" w:rsidR="00962410" w:rsidRPr="00962410" w:rsidRDefault="00962410" w:rsidP="004614FE">
      <w:pPr>
        <w:pStyle w:val="ListParagraph"/>
        <w:numPr>
          <w:ilvl w:val="0"/>
          <w:numId w:val="18"/>
        </w:numPr>
        <w:ind w:firstLine="556"/>
        <w:rPr>
          <w:rFonts w:ascii="Arial" w:hAnsi="Arial" w:cs="Arial"/>
        </w:rPr>
      </w:pPr>
      <w:r>
        <w:rPr>
          <w:rFonts w:ascii="Arial" w:hAnsi="Arial" w:cs="Arial"/>
        </w:rPr>
        <w:t xml:space="preserve">     </w:t>
      </w:r>
      <w:r w:rsidRPr="00962410">
        <w:rPr>
          <w:rFonts w:ascii="Arial" w:hAnsi="Arial" w:cs="Arial"/>
        </w:rPr>
        <w:t>Referral to Treatment (RTT) 18 Weeks compliance</w:t>
      </w:r>
    </w:p>
    <w:p w14:paraId="7651137F" w14:textId="77777777" w:rsidR="00962410" w:rsidRPr="00D36CDA" w:rsidRDefault="00962410" w:rsidP="004614FE">
      <w:pPr>
        <w:pStyle w:val="ListParagraph"/>
        <w:spacing w:after="240" w:line="240" w:lineRule="auto"/>
        <w:ind w:left="1701"/>
        <w:jc w:val="both"/>
        <w:rPr>
          <w:rFonts w:ascii="Arial" w:hAnsi="Arial" w:cs="Arial"/>
        </w:rPr>
      </w:pPr>
    </w:p>
    <w:p w14:paraId="09B16272" w14:textId="25799754" w:rsidR="00B65F28" w:rsidRPr="00D36CDA" w:rsidRDefault="00D36CDA" w:rsidP="00D75E7E">
      <w:pPr>
        <w:spacing w:after="240" w:line="240" w:lineRule="auto"/>
        <w:ind w:left="851"/>
        <w:jc w:val="both"/>
        <w:rPr>
          <w:rFonts w:ascii="Arial" w:hAnsi="Arial" w:cs="Arial"/>
        </w:rPr>
      </w:pPr>
      <w:r w:rsidRPr="00D36CDA">
        <w:rPr>
          <w:rFonts w:ascii="Arial" w:hAnsi="Arial" w:cs="Arial"/>
        </w:rPr>
        <w:t>Applicable L</w:t>
      </w:r>
      <w:r w:rsidR="00B65F28" w:rsidRPr="00D36CDA">
        <w:rPr>
          <w:rFonts w:ascii="Arial" w:hAnsi="Arial" w:cs="Arial"/>
        </w:rPr>
        <w:t xml:space="preserve">ocal </w:t>
      </w:r>
      <w:r w:rsidRPr="00D36CDA">
        <w:rPr>
          <w:rFonts w:ascii="Arial" w:hAnsi="Arial" w:cs="Arial"/>
        </w:rPr>
        <w:t>S</w:t>
      </w:r>
      <w:r w:rsidR="00B65F28" w:rsidRPr="00D36CDA">
        <w:rPr>
          <w:rFonts w:ascii="Arial" w:hAnsi="Arial" w:cs="Arial"/>
        </w:rPr>
        <w:t>tandards</w:t>
      </w:r>
      <w:r w:rsidRPr="00D36CDA">
        <w:rPr>
          <w:rFonts w:ascii="Arial" w:hAnsi="Arial" w:cs="Arial"/>
        </w:rPr>
        <w:t xml:space="preserve"> include:</w:t>
      </w:r>
    </w:p>
    <w:p w14:paraId="35C7E11A" w14:textId="0F83F824" w:rsidR="00D36CDA" w:rsidRPr="00D75E7E" w:rsidRDefault="00FF0DED" w:rsidP="004A59CA">
      <w:pPr>
        <w:pStyle w:val="ListParagraph"/>
        <w:numPr>
          <w:ilvl w:val="0"/>
          <w:numId w:val="19"/>
        </w:numPr>
        <w:spacing w:after="240" w:line="240" w:lineRule="auto"/>
        <w:ind w:left="1701"/>
        <w:jc w:val="both"/>
        <w:rPr>
          <w:rFonts w:ascii="Arial" w:hAnsi="Arial" w:cs="Arial"/>
        </w:rPr>
      </w:pPr>
      <w:r>
        <w:rPr>
          <w:rFonts w:ascii="Arial" w:hAnsi="Arial" w:cs="Arial"/>
        </w:rPr>
        <w:t>First appointment within 6</w:t>
      </w:r>
      <w:r w:rsidR="00D36CDA" w:rsidRPr="00D75E7E">
        <w:rPr>
          <w:rFonts w:ascii="Arial" w:hAnsi="Arial" w:cs="Arial"/>
        </w:rPr>
        <w:t xml:space="preserve"> weeks</w:t>
      </w:r>
      <w:r>
        <w:rPr>
          <w:rFonts w:ascii="Arial" w:hAnsi="Arial" w:cs="Arial"/>
        </w:rPr>
        <w:t xml:space="preserve"> or sooner if clinically required</w:t>
      </w:r>
    </w:p>
    <w:p w14:paraId="50136EDF"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Letter turnaround within 10 days</w:t>
      </w:r>
    </w:p>
    <w:p w14:paraId="14914558"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First line diagnostics on the same day as clinical assessments</w:t>
      </w:r>
    </w:p>
    <w:p w14:paraId="241DFCC3" w14:textId="70915DAA"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 xml:space="preserve">New to follow up ratio below </w:t>
      </w:r>
      <w:r w:rsidR="00FF0DED">
        <w:rPr>
          <w:rFonts w:ascii="Arial" w:hAnsi="Arial" w:cs="Arial"/>
        </w:rPr>
        <w:t xml:space="preserve">West Midland </w:t>
      </w:r>
      <w:r w:rsidRPr="00D75E7E">
        <w:rPr>
          <w:rFonts w:ascii="Arial" w:hAnsi="Arial" w:cs="Arial"/>
        </w:rPr>
        <w:t>average</w:t>
      </w:r>
    </w:p>
    <w:p w14:paraId="2D769CBB" w14:textId="77777777" w:rsidR="00D36CDA" w:rsidRPr="00D75E7E" w:rsidRDefault="00D36CDA" w:rsidP="004A59CA">
      <w:pPr>
        <w:pStyle w:val="ListParagraph"/>
        <w:numPr>
          <w:ilvl w:val="0"/>
          <w:numId w:val="19"/>
        </w:numPr>
        <w:spacing w:after="240" w:line="240" w:lineRule="auto"/>
        <w:ind w:left="1701"/>
        <w:jc w:val="both"/>
        <w:rPr>
          <w:rFonts w:ascii="Arial" w:hAnsi="Arial" w:cs="Arial"/>
        </w:rPr>
      </w:pPr>
      <w:r w:rsidRPr="00D75E7E">
        <w:rPr>
          <w:rFonts w:ascii="Arial" w:hAnsi="Arial" w:cs="Arial"/>
        </w:rPr>
        <w:t>Onward referral rate to be monitored</w:t>
      </w:r>
    </w:p>
    <w:p w14:paraId="3A678E3F" w14:textId="2CAC5A6C" w:rsidR="00D36CDA" w:rsidRDefault="00FF0DED" w:rsidP="004A59CA">
      <w:pPr>
        <w:pStyle w:val="ListParagraph"/>
        <w:numPr>
          <w:ilvl w:val="0"/>
          <w:numId w:val="19"/>
        </w:numPr>
        <w:spacing w:after="240" w:line="240" w:lineRule="auto"/>
        <w:ind w:left="1701"/>
        <w:jc w:val="both"/>
        <w:rPr>
          <w:rFonts w:ascii="Arial" w:hAnsi="Arial" w:cs="Arial"/>
        </w:rPr>
      </w:pPr>
      <w:r>
        <w:rPr>
          <w:rFonts w:ascii="Arial" w:hAnsi="Arial" w:cs="Arial"/>
        </w:rPr>
        <w:t>Robust c</w:t>
      </w:r>
      <w:r w:rsidR="00D36CDA" w:rsidRPr="00D75E7E">
        <w:rPr>
          <w:rFonts w:ascii="Arial" w:hAnsi="Arial" w:cs="Arial"/>
        </w:rPr>
        <w:t>linical governance and audit</w:t>
      </w:r>
    </w:p>
    <w:p w14:paraId="6B15B47A" w14:textId="77777777" w:rsidR="00FF0DED" w:rsidRPr="00D75E7E" w:rsidRDefault="00FF0DED" w:rsidP="00FF0DED">
      <w:pPr>
        <w:pStyle w:val="ListParagraph"/>
        <w:spacing w:after="240" w:line="240" w:lineRule="auto"/>
        <w:ind w:left="1701"/>
        <w:jc w:val="both"/>
        <w:rPr>
          <w:rFonts w:ascii="Arial" w:hAnsi="Arial" w:cs="Arial"/>
        </w:rPr>
      </w:pPr>
    </w:p>
    <w:p w14:paraId="4C59A603" w14:textId="0469FB39" w:rsidR="00642C6D" w:rsidRPr="001878D7" w:rsidRDefault="00BF7A6D" w:rsidP="004A59CA">
      <w:pPr>
        <w:pStyle w:val="Heading2"/>
      </w:pPr>
      <w:bookmarkStart w:id="15" w:name="_Toc492544877"/>
      <w:r>
        <w:t>5</w:t>
      </w:r>
      <w:r w:rsidR="00B65F28" w:rsidRPr="001878D7">
        <w:t xml:space="preserve">.2 </w:t>
      </w:r>
      <w:r>
        <w:tab/>
      </w:r>
      <w:r w:rsidR="00B65F28" w:rsidRPr="001878D7">
        <w:t>Staff and Staff Management</w:t>
      </w:r>
      <w:bookmarkEnd w:id="15"/>
    </w:p>
    <w:p w14:paraId="05EE9D08" w14:textId="3E59454E" w:rsidR="000250C2" w:rsidRDefault="00B65F28" w:rsidP="00D75E7E">
      <w:pPr>
        <w:spacing w:after="240" w:line="240" w:lineRule="auto"/>
        <w:ind w:left="851"/>
        <w:jc w:val="both"/>
        <w:rPr>
          <w:rFonts w:ascii="Arial" w:hAnsi="Arial" w:cs="Arial"/>
        </w:rPr>
      </w:pPr>
      <w:r w:rsidRPr="001878D7">
        <w:rPr>
          <w:rFonts w:ascii="Arial" w:hAnsi="Arial" w:cs="Arial"/>
        </w:rPr>
        <w:lastRenderedPageBreak/>
        <w:t xml:space="preserve">The </w:t>
      </w:r>
      <w:r w:rsidR="00D36CDA">
        <w:rPr>
          <w:rFonts w:ascii="Arial" w:hAnsi="Arial" w:cs="Arial"/>
        </w:rPr>
        <w:t>Sub-Contractor</w:t>
      </w:r>
      <w:r w:rsidRPr="001878D7">
        <w:rPr>
          <w:rFonts w:ascii="Arial" w:hAnsi="Arial" w:cs="Arial"/>
        </w:rPr>
        <w:t xml:space="preserve"> must ensure that </w:t>
      </w:r>
      <w:r w:rsidR="000250C2">
        <w:rPr>
          <w:rFonts w:ascii="Arial" w:hAnsi="Arial" w:cs="Arial"/>
        </w:rPr>
        <w:t xml:space="preserve">there are sufficient appropriately registered, qualified and experienced medical, nursing and other clinical and non-clinical staff to enable the services to be delivered at all times in accordance with the Sub-Contract. </w:t>
      </w:r>
    </w:p>
    <w:p w14:paraId="2642A07A" w14:textId="069E98A7" w:rsidR="00B65F28" w:rsidRPr="001878D7" w:rsidRDefault="000250C2" w:rsidP="00D75E7E">
      <w:pPr>
        <w:spacing w:after="240" w:line="240" w:lineRule="auto"/>
        <w:ind w:left="851"/>
        <w:jc w:val="both"/>
        <w:rPr>
          <w:rFonts w:ascii="Arial" w:hAnsi="Arial" w:cs="Arial"/>
        </w:rPr>
      </w:pPr>
      <w:r>
        <w:rPr>
          <w:rFonts w:ascii="Arial" w:hAnsi="Arial" w:cs="Arial"/>
          <w:color w:val="222222"/>
          <w:shd w:val="clear" w:color="auto" w:fill="FFFFFF"/>
        </w:rPr>
        <w:t xml:space="preserve">Before the Sub-Contractor engages or employs any person in the provision of the Services, the Sub-Contractor must at its own costs comply with </w:t>
      </w:r>
      <w:hyperlink r:id="rId10" w:history="1">
        <w:r w:rsidRPr="000E6EBD">
          <w:rPr>
            <w:rStyle w:val="Hyperlink"/>
            <w:rFonts w:ascii="Arial" w:hAnsi="Arial" w:cs="Arial"/>
            <w:shd w:val="clear" w:color="auto" w:fill="FFFFFF"/>
          </w:rPr>
          <w:t>NHS Employment Check Standards</w:t>
        </w:r>
      </w:hyperlink>
      <w:r>
        <w:rPr>
          <w:rFonts w:ascii="Arial" w:hAnsi="Arial" w:cs="Arial"/>
          <w:color w:val="222222"/>
          <w:shd w:val="clear" w:color="auto" w:fill="FFFFFF"/>
        </w:rPr>
        <w:t xml:space="preserve">; and other checks as required by the DBS or which are to be undertaken in accordance with current and </w:t>
      </w:r>
      <w:r w:rsidR="004614FE">
        <w:rPr>
          <w:rFonts w:ascii="Arial" w:hAnsi="Arial" w:cs="Arial"/>
          <w:color w:val="222222"/>
          <w:shd w:val="clear" w:color="auto" w:fill="FFFFFF"/>
        </w:rPr>
        <w:t>future</w:t>
      </w:r>
      <w:r>
        <w:rPr>
          <w:rFonts w:ascii="Arial" w:hAnsi="Arial" w:cs="Arial"/>
          <w:color w:val="222222"/>
          <w:shd w:val="clear" w:color="auto" w:fill="FFFFFF"/>
        </w:rPr>
        <w:t xml:space="preserve"> national guidelines and policies.</w:t>
      </w:r>
    </w:p>
    <w:p w14:paraId="65132490" w14:textId="541EFA79"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00D36CDA" w:rsidRPr="001878D7">
        <w:rPr>
          <w:rFonts w:ascii="Arial" w:hAnsi="Arial" w:cs="Arial"/>
        </w:rPr>
        <w:t xml:space="preserve"> </w:t>
      </w:r>
      <w:r w:rsidRPr="001878D7">
        <w:rPr>
          <w:rFonts w:ascii="Arial" w:hAnsi="Arial" w:cs="Arial"/>
        </w:rPr>
        <w:t xml:space="preserve">is expected to demonstrate that employees’ competencies and skill levels are in line with any national guidance and that these are clearly laid out in a locally agreed competency framework which is assessed on a regular basis.  </w:t>
      </w:r>
    </w:p>
    <w:p w14:paraId="2A6E83A7" w14:textId="273A09EA"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D36CDA">
        <w:rPr>
          <w:rFonts w:ascii="Arial" w:hAnsi="Arial" w:cs="Arial"/>
        </w:rPr>
        <w:t>Sub-Contractor</w:t>
      </w:r>
      <w:r w:rsidR="00D36CDA" w:rsidRPr="001878D7">
        <w:rPr>
          <w:rFonts w:ascii="Arial" w:hAnsi="Arial" w:cs="Arial"/>
        </w:rPr>
        <w:t xml:space="preserve"> </w:t>
      </w:r>
      <w:r w:rsidRPr="001878D7">
        <w:rPr>
          <w:rFonts w:ascii="Arial" w:hAnsi="Arial" w:cs="Arial"/>
        </w:rPr>
        <w:t>will be required to demonstrate how they ensure the maintenance and development of the relevant clinical skills of their staff.</w:t>
      </w:r>
    </w:p>
    <w:p w14:paraId="6CBD6140" w14:textId="0D5301F5"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Where </w:t>
      </w:r>
      <w:proofErr w:type="gramStart"/>
      <w:r w:rsidRPr="001878D7">
        <w:rPr>
          <w:rFonts w:ascii="Arial" w:hAnsi="Arial" w:cs="Arial"/>
        </w:rPr>
        <w:t>staff are</w:t>
      </w:r>
      <w:proofErr w:type="gramEnd"/>
      <w:r w:rsidRPr="001878D7">
        <w:rPr>
          <w:rFonts w:ascii="Arial" w:hAnsi="Arial" w:cs="Arial"/>
        </w:rPr>
        <w:t xml:space="preserve"> required to be registered with professional bodies it is the responsibility of the </w:t>
      </w:r>
      <w:r w:rsidR="003A0522">
        <w:rPr>
          <w:rFonts w:ascii="Arial" w:hAnsi="Arial" w:cs="Arial"/>
        </w:rPr>
        <w:t xml:space="preserve">Sub-Contractor </w:t>
      </w:r>
      <w:r w:rsidRPr="001878D7">
        <w:rPr>
          <w:rFonts w:ascii="Arial" w:hAnsi="Arial" w:cs="Arial"/>
        </w:rPr>
        <w:t xml:space="preserve">to check compliance. </w:t>
      </w:r>
    </w:p>
    <w:p w14:paraId="3848CE4F" w14:textId="4F5E43DB" w:rsidR="00B65F28" w:rsidRPr="001878D7" w:rsidRDefault="003602F0" w:rsidP="00D75E7E">
      <w:pPr>
        <w:spacing w:after="240" w:line="240" w:lineRule="auto"/>
        <w:ind w:left="851"/>
        <w:jc w:val="both"/>
        <w:rPr>
          <w:rFonts w:ascii="Arial" w:hAnsi="Arial" w:cs="Arial"/>
        </w:rPr>
      </w:pPr>
      <w:r>
        <w:rPr>
          <w:rFonts w:ascii="Arial" w:hAnsi="Arial" w:cs="Arial"/>
        </w:rPr>
        <w:t xml:space="preserve">During the term of the Sub-Contract, the Sub-Contractor must follow and adhere to the relevant UHBFT policies and procedures which will be listed in the Sub-Contract. </w:t>
      </w:r>
      <w:r w:rsidR="00D36CDA">
        <w:rPr>
          <w:rFonts w:ascii="Arial" w:hAnsi="Arial" w:cs="Arial"/>
        </w:rPr>
        <w:t>A</w:t>
      </w:r>
      <w:r w:rsidR="00B65F28" w:rsidRPr="001878D7">
        <w:rPr>
          <w:rFonts w:ascii="Arial" w:hAnsi="Arial" w:cs="Arial"/>
        </w:rPr>
        <w:t xml:space="preserve">ll </w:t>
      </w:r>
      <w:r>
        <w:rPr>
          <w:rFonts w:ascii="Arial" w:hAnsi="Arial" w:cs="Arial"/>
        </w:rPr>
        <w:t xml:space="preserve">Sub-Contractor </w:t>
      </w:r>
      <w:r w:rsidR="00B65F28" w:rsidRPr="001878D7">
        <w:rPr>
          <w:rFonts w:ascii="Arial" w:hAnsi="Arial" w:cs="Arial"/>
        </w:rPr>
        <w:t xml:space="preserve">staff new to the </w:t>
      </w:r>
      <w:r>
        <w:rPr>
          <w:rFonts w:ascii="Arial" w:hAnsi="Arial" w:cs="Arial"/>
        </w:rPr>
        <w:t xml:space="preserve">service must </w:t>
      </w:r>
      <w:r w:rsidR="00B65F28" w:rsidRPr="001878D7">
        <w:rPr>
          <w:rFonts w:ascii="Arial" w:hAnsi="Arial" w:cs="Arial"/>
        </w:rPr>
        <w:t>have an induction programme to ensure that they are familiar with Trust policies and procedures.</w:t>
      </w:r>
    </w:p>
    <w:p w14:paraId="5C1F827E" w14:textId="77777777" w:rsidR="00B65F28" w:rsidRPr="001878D7" w:rsidRDefault="00B65F28" w:rsidP="00D75E7E">
      <w:pPr>
        <w:spacing w:after="240" w:line="240" w:lineRule="auto"/>
        <w:ind w:left="851"/>
        <w:jc w:val="both"/>
        <w:rPr>
          <w:rFonts w:ascii="Arial" w:hAnsi="Arial" w:cs="Arial"/>
        </w:rPr>
      </w:pPr>
      <w:r w:rsidRPr="001878D7">
        <w:rPr>
          <w:rFonts w:ascii="Arial" w:hAnsi="Arial" w:cs="Arial"/>
        </w:rPr>
        <w:t>All staff must be aware of the corporate objectives and vision of the Trust and support the delivery of these within the service.</w:t>
      </w:r>
    </w:p>
    <w:p w14:paraId="3FDDF4CA" w14:textId="673117EA" w:rsidR="00B65F28" w:rsidRDefault="00B65F28" w:rsidP="00D75E7E">
      <w:pPr>
        <w:spacing w:after="240" w:line="240" w:lineRule="auto"/>
        <w:ind w:left="851"/>
        <w:jc w:val="both"/>
        <w:rPr>
          <w:rFonts w:ascii="Arial" w:hAnsi="Arial" w:cs="Arial"/>
        </w:rPr>
      </w:pPr>
      <w:r w:rsidRPr="001878D7">
        <w:rPr>
          <w:rFonts w:ascii="Arial" w:hAnsi="Arial" w:cs="Arial"/>
        </w:rPr>
        <w:t xml:space="preserve">The </w:t>
      </w:r>
      <w:r w:rsidR="009F2CBF">
        <w:rPr>
          <w:rFonts w:ascii="Arial" w:hAnsi="Arial" w:cs="Arial"/>
        </w:rPr>
        <w:t>Sub-Contractor</w:t>
      </w:r>
      <w:r w:rsidRPr="001878D7">
        <w:rPr>
          <w:rFonts w:ascii="Arial" w:hAnsi="Arial" w:cs="Arial"/>
        </w:rPr>
        <w:t xml:space="preserve"> will undertake annual appraisals for its employees where it is the main employer. The </w:t>
      </w:r>
      <w:r w:rsidR="009F2CBF">
        <w:rPr>
          <w:rFonts w:ascii="Arial" w:hAnsi="Arial" w:cs="Arial"/>
        </w:rPr>
        <w:t>Sub-Contractor</w:t>
      </w:r>
      <w:r w:rsidRPr="001878D7">
        <w:rPr>
          <w:rFonts w:ascii="Arial" w:hAnsi="Arial" w:cs="Arial"/>
        </w:rPr>
        <w:t xml:space="preserve"> will check appraisals conducted by main NHS employer for contracted Consultants. The </w:t>
      </w:r>
      <w:r w:rsidR="009F2CBF">
        <w:rPr>
          <w:rFonts w:ascii="Arial" w:hAnsi="Arial" w:cs="Arial"/>
        </w:rPr>
        <w:t>Sub-Contractor</w:t>
      </w:r>
      <w:r w:rsidRPr="001878D7">
        <w:rPr>
          <w:rFonts w:ascii="Arial" w:hAnsi="Arial" w:cs="Arial"/>
        </w:rPr>
        <w:t xml:space="preserve"> will check registrations of non-consultant bank staff (nurses and optometrists) to ensure ongoing maintenance of registration and ongoing Continuing Professional Development. Where non-consultant bank staff are not working under the direct supervision of a Consultant, regular, targeted audits of the clinical work are carried out.</w:t>
      </w:r>
    </w:p>
    <w:p w14:paraId="616F57AE" w14:textId="3DFC0D15" w:rsidR="009F2CBF" w:rsidRDefault="009F2CBF" w:rsidP="00D75E7E">
      <w:pPr>
        <w:spacing w:after="240" w:line="240" w:lineRule="auto"/>
        <w:ind w:left="851"/>
        <w:jc w:val="both"/>
        <w:rPr>
          <w:rFonts w:ascii="Arial" w:hAnsi="Arial" w:cs="Arial"/>
        </w:rPr>
      </w:pPr>
      <w:r>
        <w:rPr>
          <w:rFonts w:ascii="Arial" w:hAnsi="Arial" w:cs="Arial"/>
        </w:rPr>
        <w:t>The Sub-Contractor should comply with the recommendations set out in the Department for Health paper ‘</w:t>
      </w:r>
      <w:r w:rsidRPr="009F2CBF">
        <w:rPr>
          <w:rFonts w:ascii="Arial" w:hAnsi="Arial" w:cs="Arial"/>
        </w:rPr>
        <w:t xml:space="preserve">Trust, Assurance and Safety – the Regulation of Health Professionals </w:t>
      </w:r>
      <w:r>
        <w:rPr>
          <w:rFonts w:ascii="Arial" w:hAnsi="Arial" w:cs="Arial"/>
        </w:rPr>
        <w:t>(February 2007)’.</w:t>
      </w:r>
    </w:p>
    <w:p w14:paraId="57EC77D7" w14:textId="25BE4F0B" w:rsidR="00297CD9" w:rsidRDefault="00297CD9" w:rsidP="00D75E7E">
      <w:pPr>
        <w:spacing w:after="240" w:line="240" w:lineRule="auto"/>
        <w:ind w:left="851"/>
        <w:jc w:val="both"/>
        <w:rPr>
          <w:rFonts w:ascii="Arial" w:hAnsi="Arial" w:cs="Arial"/>
        </w:rPr>
      </w:pPr>
      <w:r>
        <w:rPr>
          <w:rFonts w:ascii="Arial" w:hAnsi="Arial" w:cs="Arial"/>
        </w:rPr>
        <w:t>All staff must be aware of and respect equality, and human rights of colleagues, service users, carers and the public.</w:t>
      </w:r>
    </w:p>
    <w:p w14:paraId="045944EE" w14:textId="6D8A2DE2" w:rsidR="00FF0DED" w:rsidRDefault="00FF0DED" w:rsidP="00D75E7E">
      <w:pPr>
        <w:spacing w:after="240" w:line="240" w:lineRule="auto"/>
        <w:ind w:left="851"/>
        <w:jc w:val="both"/>
        <w:rPr>
          <w:rFonts w:ascii="Arial" w:hAnsi="Arial" w:cs="Arial"/>
        </w:rPr>
      </w:pPr>
      <w:r>
        <w:rPr>
          <w:rFonts w:ascii="Arial" w:hAnsi="Arial" w:cs="Arial"/>
        </w:rPr>
        <w:t>The Sub-Contractor will be expected to participate in standard due diligence processes as part of the tendering ex</w:t>
      </w:r>
      <w:r w:rsidR="003675A4">
        <w:rPr>
          <w:rFonts w:ascii="Arial" w:hAnsi="Arial" w:cs="Arial"/>
        </w:rPr>
        <w:t>ercise</w:t>
      </w:r>
      <w:r>
        <w:rPr>
          <w:rFonts w:ascii="Arial" w:hAnsi="Arial" w:cs="Arial"/>
        </w:rPr>
        <w:t xml:space="preserve">. In addition, UHBFT will require CVs and references for all of the </w:t>
      </w:r>
      <w:r w:rsidR="00F85984">
        <w:rPr>
          <w:rFonts w:ascii="Arial" w:hAnsi="Arial" w:cs="Arial"/>
        </w:rPr>
        <w:t>staff</w:t>
      </w:r>
      <w:r>
        <w:rPr>
          <w:rFonts w:ascii="Arial" w:hAnsi="Arial" w:cs="Arial"/>
        </w:rPr>
        <w:t xml:space="preserve"> who will be </w:t>
      </w:r>
      <w:r w:rsidR="00F85984">
        <w:rPr>
          <w:rFonts w:ascii="Arial" w:hAnsi="Arial" w:cs="Arial"/>
        </w:rPr>
        <w:t>working within</w:t>
      </w:r>
      <w:r>
        <w:rPr>
          <w:rFonts w:ascii="Arial" w:hAnsi="Arial" w:cs="Arial"/>
        </w:rPr>
        <w:t xml:space="preserve"> the service</w:t>
      </w:r>
      <w:r w:rsidR="003675A4">
        <w:rPr>
          <w:rFonts w:ascii="Arial" w:hAnsi="Arial" w:cs="Arial"/>
        </w:rPr>
        <w:t xml:space="preserve"> as part of the mobilisation exercise</w:t>
      </w:r>
      <w:r>
        <w:rPr>
          <w:rFonts w:ascii="Arial" w:hAnsi="Arial" w:cs="Arial"/>
        </w:rPr>
        <w:t>.</w:t>
      </w:r>
      <w:r w:rsidR="00F85984">
        <w:rPr>
          <w:rFonts w:ascii="Arial" w:hAnsi="Arial" w:cs="Arial"/>
        </w:rPr>
        <w:t xml:space="preserve"> UHBFT must be notified of any staff changes.</w:t>
      </w:r>
    </w:p>
    <w:p w14:paraId="77B85BE0" w14:textId="4366200F" w:rsidR="0012649C" w:rsidRDefault="0012649C" w:rsidP="00D75E7E">
      <w:pPr>
        <w:spacing w:after="240" w:line="240" w:lineRule="auto"/>
        <w:ind w:left="851"/>
        <w:jc w:val="both"/>
        <w:rPr>
          <w:rFonts w:ascii="Arial" w:hAnsi="Arial" w:cs="Arial"/>
        </w:rPr>
      </w:pPr>
      <w:r>
        <w:rPr>
          <w:rFonts w:ascii="Arial" w:hAnsi="Arial" w:cs="Arial"/>
        </w:rPr>
        <w:t>All staff employed by the Sub-Contractor will be required to undertake UHBFT’s mandatory training requirements and any additional training</w:t>
      </w:r>
      <w:r w:rsidR="00F85984">
        <w:rPr>
          <w:rFonts w:ascii="Arial" w:hAnsi="Arial" w:cs="Arial"/>
        </w:rPr>
        <w:t>,</w:t>
      </w:r>
      <w:r>
        <w:rPr>
          <w:rFonts w:ascii="Arial" w:hAnsi="Arial" w:cs="Arial"/>
        </w:rPr>
        <w:t xml:space="preserve"> as specified by UHBFT.</w:t>
      </w:r>
      <w:bookmarkStart w:id="16" w:name="_GoBack"/>
      <w:bookmarkEnd w:id="16"/>
    </w:p>
    <w:p w14:paraId="4907982F" w14:textId="21C2EEE7" w:rsidR="00F85984" w:rsidRDefault="00F85984" w:rsidP="00D75E7E">
      <w:pPr>
        <w:spacing w:after="240" w:line="240" w:lineRule="auto"/>
        <w:ind w:left="851"/>
        <w:jc w:val="both"/>
        <w:rPr>
          <w:rFonts w:ascii="Arial" w:hAnsi="Arial" w:cs="Arial"/>
        </w:rPr>
      </w:pPr>
      <w:r>
        <w:rPr>
          <w:rFonts w:ascii="Arial" w:hAnsi="Arial" w:cs="Arial"/>
        </w:rPr>
        <w:lastRenderedPageBreak/>
        <w:t>The Sub-Contractor will not be able to recruit any staff who have previously been employed by UHBFT in the 6 months prior to when any such member of staff would be expected to start work for the Sub-Contractor.</w:t>
      </w:r>
    </w:p>
    <w:p w14:paraId="44AA5199" w14:textId="762C58C8" w:rsidR="00B83872" w:rsidRDefault="00B83872" w:rsidP="00D75E7E">
      <w:pPr>
        <w:spacing w:after="240" w:line="240" w:lineRule="auto"/>
        <w:ind w:left="851"/>
        <w:jc w:val="both"/>
        <w:rPr>
          <w:rFonts w:ascii="Arial" w:hAnsi="Arial" w:cs="Arial"/>
        </w:rPr>
      </w:pPr>
      <w:r>
        <w:rPr>
          <w:rFonts w:ascii="Arial" w:hAnsi="Arial" w:cs="Arial"/>
        </w:rPr>
        <w:t xml:space="preserve">UHBFT must be immediately notified if any member of staff working for the Sub-Contractor has previously or presently under suspension or investigation by any of the member of staff’s employing organisations, professional governance body or the police. UHBFT would also expect to be </w:t>
      </w:r>
      <w:r w:rsidR="00CB5453">
        <w:rPr>
          <w:rFonts w:ascii="Arial" w:hAnsi="Arial" w:cs="Arial"/>
        </w:rPr>
        <w:t xml:space="preserve">immediately </w:t>
      </w:r>
      <w:r>
        <w:rPr>
          <w:rFonts w:ascii="Arial" w:hAnsi="Arial" w:cs="Arial"/>
        </w:rPr>
        <w:t xml:space="preserve">notified </w:t>
      </w:r>
      <w:r w:rsidR="00CB5453">
        <w:rPr>
          <w:rFonts w:ascii="Arial" w:hAnsi="Arial" w:cs="Arial"/>
        </w:rPr>
        <w:t>if any member of staff working for the Sub-Contractor was suspended, under investigation, arrested or charged whilst working for UHBFT.</w:t>
      </w:r>
    </w:p>
    <w:p w14:paraId="044CA8BF" w14:textId="7CF0C702" w:rsidR="00CB5453" w:rsidRPr="001878D7" w:rsidRDefault="00CB5453" w:rsidP="00D75E7E">
      <w:pPr>
        <w:spacing w:after="240" w:line="240" w:lineRule="auto"/>
        <w:ind w:left="851"/>
        <w:jc w:val="both"/>
        <w:rPr>
          <w:rFonts w:ascii="Arial" w:hAnsi="Arial" w:cs="Arial"/>
        </w:rPr>
      </w:pPr>
      <w:r>
        <w:rPr>
          <w:rFonts w:ascii="Arial" w:hAnsi="Arial" w:cs="Arial"/>
        </w:rPr>
        <w:t>All staff working for the Sub-Contractor must have the appropriate professional indemnity relevant for the work they will be undertaking at UHBFT.</w:t>
      </w:r>
    </w:p>
    <w:p w14:paraId="4104BB21" w14:textId="064DDDDA" w:rsidR="00B65F28" w:rsidRPr="001878D7" w:rsidRDefault="00BF7A6D" w:rsidP="004A59CA">
      <w:pPr>
        <w:pStyle w:val="Heading2"/>
      </w:pPr>
      <w:bookmarkStart w:id="17" w:name="_Toc492544878"/>
      <w:r>
        <w:t>5</w:t>
      </w:r>
      <w:r w:rsidR="00B65F28" w:rsidRPr="001878D7">
        <w:t>.</w:t>
      </w:r>
      <w:r>
        <w:t>3</w:t>
      </w:r>
      <w:r w:rsidR="00B65F28" w:rsidRPr="001878D7">
        <w:t xml:space="preserve">  </w:t>
      </w:r>
      <w:r>
        <w:tab/>
      </w:r>
      <w:r w:rsidR="00B65F28" w:rsidRPr="001878D7">
        <w:t>Clinical Effectiveness and Audit</w:t>
      </w:r>
      <w:bookmarkEnd w:id="17"/>
    </w:p>
    <w:p w14:paraId="6D8BC158" w14:textId="48B2FF45"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It is required that the </w:t>
      </w:r>
      <w:r w:rsidR="009F2CBF">
        <w:rPr>
          <w:rFonts w:ascii="Arial" w:hAnsi="Arial" w:cs="Arial"/>
        </w:rPr>
        <w:t>Sub-Contractor</w:t>
      </w:r>
      <w:r w:rsidRPr="001878D7">
        <w:rPr>
          <w:rFonts w:ascii="Arial" w:hAnsi="Arial" w:cs="Arial"/>
        </w:rPr>
        <w:t xml:space="preserve"> delivers a service that is clinically effective, and that they regularly review their clinical practices in light of emerging evidence with regards to the effectiveness, efficiency and safety of individual interventions. </w:t>
      </w:r>
    </w:p>
    <w:p w14:paraId="25853D70" w14:textId="6E5DF91B"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3A0522">
        <w:rPr>
          <w:rFonts w:ascii="Arial" w:hAnsi="Arial" w:cs="Arial"/>
        </w:rPr>
        <w:t xml:space="preserve">Sub-Contractor </w:t>
      </w:r>
      <w:r w:rsidRPr="001878D7">
        <w:rPr>
          <w:rFonts w:ascii="Arial" w:hAnsi="Arial" w:cs="Arial"/>
        </w:rPr>
        <w:t>should provide the services in accordance with up-to-date evidence of clinical effectiveness and in particular, compliance with the following:</w:t>
      </w:r>
    </w:p>
    <w:p w14:paraId="01FF2FCB" w14:textId="77777777" w:rsidR="00ED6F5E" w:rsidRPr="00ED6F5E" w:rsidRDefault="00ED6F5E" w:rsidP="00A01256">
      <w:pPr>
        <w:pStyle w:val="ListParagraph"/>
        <w:numPr>
          <w:ilvl w:val="0"/>
          <w:numId w:val="10"/>
        </w:numPr>
        <w:spacing w:after="240" w:line="240" w:lineRule="auto"/>
        <w:ind w:left="851"/>
        <w:jc w:val="both"/>
        <w:rPr>
          <w:rFonts w:ascii="Arial" w:hAnsi="Arial" w:cs="Arial"/>
          <w:bCs/>
          <w:vanish/>
        </w:rPr>
      </w:pPr>
    </w:p>
    <w:p w14:paraId="675492CB" w14:textId="77777777" w:rsidR="00ED6F5E" w:rsidRPr="00ED6F5E" w:rsidRDefault="00ED6F5E" w:rsidP="00A01256">
      <w:pPr>
        <w:pStyle w:val="ListParagraph"/>
        <w:numPr>
          <w:ilvl w:val="0"/>
          <w:numId w:val="10"/>
        </w:numPr>
        <w:spacing w:after="240" w:line="240" w:lineRule="auto"/>
        <w:ind w:left="851"/>
        <w:jc w:val="both"/>
        <w:rPr>
          <w:rFonts w:ascii="Arial" w:hAnsi="Arial" w:cs="Arial"/>
          <w:bCs/>
          <w:vanish/>
        </w:rPr>
      </w:pPr>
    </w:p>
    <w:p w14:paraId="6A77238B" w14:textId="77777777" w:rsidR="00ED6F5E" w:rsidRPr="00ED6F5E" w:rsidRDefault="00ED6F5E" w:rsidP="00A01256">
      <w:pPr>
        <w:pStyle w:val="ListParagraph"/>
        <w:numPr>
          <w:ilvl w:val="1"/>
          <w:numId w:val="10"/>
        </w:numPr>
        <w:spacing w:after="240" w:line="240" w:lineRule="auto"/>
        <w:ind w:left="851"/>
        <w:jc w:val="both"/>
        <w:rPr>
          <w:rFonts w:ascii="Arial" w:hAnsi="Arial" w:cs="Arial"/>
          <w:bCs/>
          <w:vanish/>
        </w:rPr>
      </w:pPr>
    </w:p>
    <w:p w14:paraId="223A6702" w14:textId="77777777" w:rsidR="00ED6F5E" w:rsidRPr="00ED6F5E" w:rsidRDefault="00ED6F5E" w:rsidP="00A01256">
      <w:pPr>
        <w:pStyle w:val="ListParagraph"/>
        <w:numPr>
          <w:ilvl w:val="1"/>
          <w:numId w:val="10"/>
        </w:numPr>
        <w:spacing w:after="240" w:line="240" w:lineRule="auto"/>
        <w:ind w:left="851"/>
        <w:jc w:val="both"/>
        <w:rPr>
          <w:rFonts w:ascii="Arial" w:hAnsi="Arial" w:cs="Arial"/>
          <w:bCs/>
          <w:vanish/>
        </w:rPr>
      </w:pPr>
    </w:p>
    <w:p w14:paraId="0392BDE5" w14:textId="779B773D" w:rsidR="00B65F28" w:rsidRPr="00BF7A6D" w:rsidRDefault="00B65F28" w:rsidP="004A59CA">
      <w:pPr>
        <w:pStyle w:val="ListParagraph"/>
        <w:numPr>
          <w:ilvl w:val="2"/>
          <w:numId w:val="10"/>
        </w:numPr>
        <w:spacing w:after="240" w:line="240" w:lineRule="auto"/>
        <w:ind w:left="1985"/>
        <w:jc w:val="both"/>
        <w:rPr>
          <w:rFonts w:ascii="Arial" w:hAnsi="Arial" w:cs="Arial"/>
          <w:bCs/>
        </w:rPr>
      </w:pPr>
      <w:r w:rsidRPr="00BF7A6D">
        <w:rPr>
          <w:rFonts w:ascii="Arial" w:hAnsi="Arial" w:cs="Arial"/>
          <w:bCs/>
        </w:rPr>
        <w:t>Care Quality Commission Healthcare Regulations 2010.</w:t>
      </w:r>
    </w:p>
    <w:p w14:paraId="1B02BCC6" w14:textId="43CBDF51" w:rsidR="00B65F28" w:rsidRPr="001878D7" w:rsidRDefault="00ED6F5E" w:rsidP="004A59CA">
      <w:pPr>
        <w:spacing w:after="240" w:line="240" w:lineRule="auto"/>
        <w:ind w:left="1985" w:hanging="720"/>
        <w:jc w:val="both"/>
        <w:rPr>
          <w:rFonts w:ascii="Arial" w:hAnsi="Arial" w:cs="Arial"/>
          <w:bCs/>
        </w:rPr>
      </w:pPr>
      <w:r>
        <w:rPr>
          <w:rFonts w:ascii="Arial" w:hAnsi="Arial" w:cs="Arial"/>
          <w:bCs/>
        </w:rPr>
        <w:t>5</w:t>
      </w:r>
      <w:r w:rsidR="00BF7A6D">
        <w:rPr>
          <w:rFonts w:ascii="Arial" w:hAnsi="Arial" w:cs="Arial"/>
          <w:bCs/>
        </w:rPr>
        <w:t>.</w:t>
      </w:r>
      <w:r>
        <w:rPr>
          <w:rFonts w:ascii="Arial" w:hAnsi="Arial" w:cs="Arial"/>
          <w:bCs/>
        </w:rPr>
        <w:t>3</w:t>
      </w:r>
      <w:r w:rsidR="00BF7A6D">
        <w:rPr>
          <w:rFonts w:ascii="Arial" w:hAnsi="Arial" w:cs="Arial"/>
          <w:bCs/>
        </w:rPr>
        <w:t>.2</w:t>
      </w:r>
      <w:r w:rsidR="00BF7A6D">
        <w:rPr>
          <w:rFonts w:ascii="Arial" w:hAnsi="Arial" w:cs="Arial"/>
          <w:bCs/>
        </w:rPr>
        <w:tab/>
      </w:r>
      <w:r w:rsidR="00B65F28" w:rsidRPr="001878D7">
        <w:rPr>
          <w:rFonts w:ascii="Arial" w:hAnsi="Arial" w:cs="Arial"/>
          <w:bCs/>
        </w:rPr>
        <w:t>Relevant national standards and guidelines  e.g. National Institute for Health and C</w:t>
      </w:r>
      <w:r w:rsidR="009F2CBF">
        <w:rPr>
          <w:rFonts w:ascii="Arial" w:hAnsi="Arial" w:cs="Arial"/>
          <w:bCs/>
        </w:rPr>
        <w:t>are Excellent (NICE) guidelines</w:t>
      </w:r>
      <w:r w:rsidR="00B65F28" w:rsidRPr="001878D7">
        <w:rPr>
          <w:rFonts w:ascii="Arial" w:hAnsi="Arial" w:cs="Arial"/>
          <w:bCs/>
        </w:rPr>
        <w:t>, Central Alerting System (CAS) alerts and relevant technical appraisals.</w:t>
      </w:r>
    </w:p>
    <w:p w14:paraId="7FE98490" w14:textId="791B4E54" w:rsidR="00BF7A6D" w:rsidRPr="001878D7" w:rsidRDefault="00B65F28" w:rsidP="0012649C">
      <w:pPr>
        <w:spacing w:after="240" w:line="240" w:lineRule="auto"/>
        <w:ind w:left="851"/>
        <w:jc w:val="both"/>
        <w:rPr>
          <w:rFonts w:ascii="Arial" w:hAnsi="Arial" w:cs="Arial"/>
        </w:rPr>
      </w:pPr>
      <w:r w:rsidRPr="001878D7">
        <w:rPr>
          <w:rFonts w:ascii="Arial" w:hAnsi="Arial" w:cs="Arial"/>
        </w:rPr>
        <w:t xml:space="preserve">The </w:t>
      </w:r>
      <w:r w:rsidR="009F2CBF">
        <w:rPr>
          <w:rFonts w:ascii="Arial" w:hAnsi="Arial" w:cs="Arial"/>
        </w:rPr>
        <w:t>Sub-Contractor</w:t>
      </w:r>
      <w:r w:rsidRPr="001878D7">
        <w:rPr>
          <w:rFonts w:ascii="Arial" w:hAnsi="Arial" w:cs="Arial"/>
        </w:rPr>
        <w:t xml:space="preserve"> will provide a </w:t>
      </w:r>
      <w:r w:rsidR="0012649C">
        <w:rPr>
          <w:rFonts w:ascii="Arial" w:hAnsi="Arial" w:cs="Arial"/>
        </w:rPr>
        <w:t>periodic</w:t>
      </w:r>
      <w:r w:rsidRPr="001878D7">
        <w:rPr>
          <w:rFonts w:ascii="Arial" w:hAnsi="Arial" w:cs="Arial"/>
        </w:rPr>
        <w:t xml:space="preserve"> clinical audit package for consideration by the </w:t>
      </w:r>
      <w:r w:rsidR="009F2CBF">
        <w:rPr>
          <w:rFonts w:ascii="Arial" w:hAnsi="Arial" w:cs="Arial"/>
        </w:rPr>
        <w:t>UHBFT</w:t>
      </w:r>
      <w:r w:rsidR="003A7EAF" w:rsidRPr="001878D7">
        <w:rPr>
          <w:rFonts w:ascii="Arial" w:hAnsi="Arial" w:cs="Arial"/>
        </w:rPr>
        <w:t>.</w:t>
      </w:r>
      <w:r w:rsidR="0012649C">
        <w:rPr>
          <w:rFonts w:ascii="Arial" w:hAnsi="Arial" w:cs="Arial"/>
        </w:rPr>
        <w:t xml:space="preserve"> The content and</w:t>
      </w:r>
      <w:r w:rsidRPr="001878D7">
        <w:rPr>
          <w:rFonts w:ascii="Arial" w:hAnsi="Arial" w:cs="Arial"/>
        </w:rPr>
        <w:t xml:space="preserve"> format</w:t>
      </w:r>
      <w:r w:rsidR="0012649C">
        <w:rPr>
          <w:rFonts w:ascii="Arial" w:hAnsi="Arial" w:cs="Arial"/>
        </w:rPr>
        <w:t xml:space="preserve"> of the audits </w:t>
      </w:r>
      <w:r w:rsidR="00FF0DED" w:rsidRPr="001878D7">
        <w:rPr>
          <w:rFonts w:ascii="Arial" w:hAnsi="Arial" w:cs="Arial"/>
        </w:rPr>
        <w:t>are</w:t>
      </w:r>
      <w:r w:rsidRPr="001878D7">
        <w:rPr>
          <w:rFonts w:ascii="Arial" w:hAnsi="Arial" w:cs="Arial"/>
        </w:rPr>
        <w:t xml:space="preserve"> to be mutually agreed between </w:t>
      </w:r>
      <w:r w:rsidR="009F2CBF">
        <w:rPr>
          <w:rFonts w:ascii="Arial" w:hAnsi="Arial" w:cs="Arial"/>
        </w:rPr>
        <w:t>Sub-Contractor</w:t>
      </w:r>
      <w:r w:rsidR="00ED6F5E">
        <w:rPr>
          <w:rFonts w:ascii="Arial" w:hAnsi="Arial" w:cs="Arial"/>
        </w:rPr>
        <w:t xml:space="preserve"> and </w:t>
      </w:r>
      <w:r w:rsidR="00197093" w:rsidRPr="001878D7">
        <w:rPr>
          <w:rFonts w:ascii="Arial" w:hAnsi="Arial" w:cs="Arial"/>
        </w:rPr>
        <w:t>UHB</w:t>
      </w:r>
      <w:r w:rsidR="009F2CBF">
        <w:rPr>
          <w:rFonts w:ascii="Arial" w:hAnsi="Arial" w:cs="Arial"/>
        </w:rPr>
        <w:t>FT</w:t>
      </w:r>
      <w:r w:rsidR="00197093" w:rsidRPr="001878D7">
        <w:rPr>
          <w:rFonts w:ascii="Arial" w:hAnsi="Arial" w:cs="Arial"/>
        </w:rPr>
        <w:t>. T</w:t>
      </w:r>
      <w:r w:rsidRPr="001878D7">
        <w:rPr>
          <w:rFonts w:ascii="Arial" w:hAnsi="Arial" w:cs="Arial"/>
        </w:rPr>
        <w:t>he frequency of reporting</w:t>
      </w:r>
      <w:r w:rsidR="0012649C">
        <w:rPr>
          <w:rFonts w:ascii="Arial" w:hAnsi="Arial" w:cs="Arial"/>
        </w:rPr>
        <w:t xml:space="preserve"> will be no less than quarterly and the Sub-Contractor will be required to present at the departments Audit and Clinical Governance meetings.</w:t>
      </w:r>
      <w:r w:rsidRPr="001878D7">
        <w:rPr>
          <w:rFonts w:ascii="Arial" w:hAnsi="Arial" w:cs="Arial"/>
        </w:rPr>
        <w:t xml:space="preserve"> All audits undertaken must comply with the Trusts audit policy and be registered accordingly</w:t>
      </w:r>
      <w:r w:rsidR="00BF7A6D">
        <w:rPr>
          <w:rFonts w:ascii="Arial" w:hAnsi="Arial" w:cs="Arial"/>
        </w:rPr>
        <w:t>.</w:t>
      </w:r>
      <w:r w:rsidR="00FF0DED">
        <w:rPr>
          <w:rFonts w:ascii="Arial" w:hAnsi="Arial" w:cs="Arial"/>
        </w:rPr>
        <w:t xml:space="preserve"> UHBFT will also independently audit the Sub-Contractor’s service to ensure it is meeting the standards setup in this specification.</w:t>
      </w:r>
      <w:r w:rsidR="0012649C">
        <w:rPr>
          <w:rFonts w:ascii="Arial" w:hAnsi="Arial" w:cs="Arial"/>
        </w:rPr>
        <w:t xml:space="preserve"> The Sub-Contractor will be required to implement any recommendations from any audits undertaken by either party. </w:t>
      </w:r>
      <w:r w:rsidR="00FF0DED">
        <w:rPr>
          <w:rFonts w:ascii="Arial" w:hAnsi="Arial" w:cs="Arial"/>
        </w:rPr>
        <w:br/>
      </w:r>
    </w:p>
    <w:p w14:paraId="1DC7F404" w14:textId="1210D15D" w:rsidR="00B65F28" w:rsidRPr="00BF7A6D" w:rsidRDefault="00BF7A6D" w:rsidP="004A59CA">
      <w:pPr>
        <w:pStyle w:val="Heading2"/>
      </w:pPr>
      <w:bookmarkStart w:id="18" w:name="_Toc492544879"/>
      <w:r>
        <w:t>5.4</w:t>
      </w:r>
      <w:r w:rsidR="00B65F28" w:rsidRPr="00BF7A6D">
        <w:t xml:space="preserve"> </w:t>
      </w:r>
      <w:r w:rsidRPr="00BF7A6D">
        <w:tab/>
      </w:r>
      <w:r w:rsidR="00B65F28" w:rsidRPr="00BF7A6D">
        <w:t xml:space="preserve">Risk </w:t>
      </w:r>
      <w:r w:rsidR="009F2CBF">
        <w:t xml:space="preserve">and Incident </w:t>
      </w:r>
      <w:r w:rsidR="00B65F28" w:rsidRPr="00BF7A6D">
        <w:t>Management</w:t>
      </w:r>
      <w:bookmarkEnd w:id="18"/>
    </w:p>
    <w:p w14:paraId="3D47012D" w14:textId="3BAE628A" w:rsidR="00BF7A6D" w:rsidRDefault="00B65F28" w:rsidP="00D75E7E">
      <w:pPr>
        <w:spacing w:after="240" w:line="240" w:lineRule="auto"/>
        <w:ind w:left="851"/>
        <w:jc w:val="both"/>
        <w:rPr>
          <w:rFonts w:ascii="Arial" w:hAnsi="Arial" w:cs="Arial"/>
        </w:rPr>
      </w:pPr>
      <w:r w:rsidRPr="001878D7">
        <w:rPr>
          <w:rFonts w:ascii="Arial" w:hAnsi="Arial" w:cs="Arial"/>
        </w:rPr>
        <w:t xml:space="preserve">Key components of any quality assurance programme are the minimisation of risk and effective management of those incidents that do occur. It is expected that the </w:t>
      </w:r>
      <w:r w:rsidR="009F2CBF">
        <w:rPr>
          <w:rFonts w:ascii="Arial" w:hAnsi="Arial" w:cs="Arial"/>
        </w:rPr>
        <w:t>Sub-Contractor</w:t>
      </w:r>
      <w:r w:rsidRPr="001878D7">
        <w:rPr>
          <w:rFonts w:ascii="Arial" w:hAnsi="Arial" w:cs="Arial"/>
        </w:rPr>
        <w:t xml:space="preserve"> will:</w:t>
      </w:r>
    </w:p>
    <w:p w14:paraId="77249879" w14:textId="287A425D" w:rsidR="00B65F28" w:rsidRPr="00BF7A6D" w:rsidRDefault="00ED6F5E" w:rsidP="004A59CA">
      <w:pPr>
        <w:spacing w:after="240" w:line="240" w:lineRule="auto"/>
        <w:ind w:left="1985" w:hanging="720"/>
        <w:jc w:val="both"/>
        <w:rPr>
          <w:rFonts w:ascii="Arial" w:hAnsi="Arial" w:cs="Arial"/>
        </w:rPr>
      </w:pPr>
      <w:r>
        <w:rPr>
          <w:rFonts w:ascii="Arial" w:hAnsi="Arial" w:cs="Arial"/>
        </w:rPr>
        <w:t>5</w:t>
      </w:r>
      <w:r w:rsidR="00BF7A6D">
        <w:rPr>
          <w:rFonts w:ascii="Arial" w:hAnsi="Arial" w:cs="Arial"/>
        </w:rPr>
        <w:t>.</w:t>
      </w:r>
      <w:r>
        <w:rPr>
          <w:rFonts w:ascii="Arial" w:hAnsi="Arial" w:cs="Arial"/>
        </w:rPr>
        <w:t>4</w:t>
      </w:r>
      <w:r w:rsidR="00BF7A6D">
        <w:rPr>
          <w:rFonts w:ascii="Arial" w:hAnsi="Arial" w:cs="Arial"/>
        </w:rPr>
        <w:t>.1</w:t>
      </w:r>
      <w:r w:rsidR="00BF7A6D">
        <w:rPr>
          <w:rFonts w:ascii="Arial" w:hAnsi="Arial" w:cs="Arial"/>
        </w:rPr>
        <w:tab/>
      </w:r>
      <w:r w:rsidR="00B65F28" w:rsidRPr="001878D7">
        <w:rPr>
          <w:rFonts w:ascii="Arial" w:hAnsi="Arial" w:cs="Arial"/>
          <w:bCs/>
        </w:rPr>
        <w:t>Comply with appropriate statutory regulations (including, but not limited to Data Protection Act, Health &amp; Safety at Work Act, COSHH Regulations).</w:t>
      </w:r>
    </w:p>
    <w:p w14:paraId="6AB07564" w14:textId="77777777" w:rsidR="00ED6F5E" w:rsidRPr="00ED6F5E" w:rsidRDefault="00ED6F5E" w:rsidP="004A59CA">
      <w:pPr>
        <w:pStyle w:val="ListParagraph"/>
        <w:numPr>
          <w:ilvl w:val="0"/>
          <w:numId w:val="11"/>
        </w:numPr>
        <w:spacing w:after="240" w:line="240" w:lineRule="auto"/>
        <w:ind w:left="1985"/>
        <w:jc w:val="both"/>
        <w:rPr>
          <w:rFonts w:ascii="Arial" w:hAnsi="Arial" w:cs="Arial"/>
          <w:bCs/>
          <w:vanish/>
        </w:rPr>
      </w:pPr>
    </w:p>
    <w:p w14:paraId="6F9B335B" w14:textId="77777777" w:rsidR="00ED6F5E" w:rsidRPr="00ED6F5E" w:rsidRDefault="00ED6F5E" w:rsidP="004A59CA">
      <w:pPr>
        <w:pStyle w:val="ListParagraph"/>
        <w:numPr>
          <w:ilvl w:val="0"/>
          <w:numId w:val="11"/>
        </w:numPr>
        <w:spacing w:after="240" w:line="240" w:lineRule="auto"/>
        <w:ind w:left="1985"/>
        <w:jc w:val="both"/>
        <w:rPr>
          <w:rFonts w:ascii="Arial" w:hAnsi="Arial" w:cs="Arial"/>
          <w:bCs/>
          <w:vanish/>
        </w:rPr>
      </w:pPr>
    </w:p>
    <w:p w14:paraId="26958AD6" w14:textId="77777777" w:rsidR="00ED6F5E" w:rsidRPr="00ED6F5E" w:rsidRDefault="00ED6F5E" w:rsidP="004A59CA">
      <w:pPr>
        <w:pStyle w:val="ListParagraph"/>
        <w:numPr>
          <w:ilvl w:val="1"/>
          <w:numId w:val="11"/>
        </w:numPr>
        <w:spacing w:after="240" w:line="240" w:lineRule="auto"/>
        <w:ind w:left="1985"/>
        <w:jc w:val="both"/>
        <w:rPr>
          <w:rFonts w:ascii="Arial" w:hAnsi="Arial" w:cs="Arial"/>
          <w:bCs/>
          <w:vanish/>
        </w:rPr>
      </w:pPr>
    </w:p>
    <w:p w14:paraId="49D36AA4" w14:textId="77777777" w:rsidR="00ED6F5E" w:rsidRPr="00ED6F5E" w:rsidRDefault="00ED6F5E" w:rsidP="004A59CA">
      <w:pPr>
        <w:pStyle w:val="ListParagraph"/>
        <w:numPr>
          <w:ilvl w:val="1"/>
          <w:numId w:val="11"/>
        </w:numPr>
        <w:spacing w:after="240" w:line="240" w:lineRule="auto"/>
        <w:ind w:left="1985"/>
        <w:jc w:val="both"/>
        <w:rPr>
          <w:rFonts w:ascii="Arial" w:hAnsi="Arial" w:cs="Arial"/>
          <w:bCs/>
          <w:vanish/>
        </w:rPr>
      </w:pPr>
    </w:p>
    <w:p w14:paraId="0A6D7F26" w14:textId="51FBF42E"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Actively promote an Open Culture of incident reporting and risk awareness among all staff.</w:t>
      </w:r>
    </w:p>
    <w:p w14:paraId="2791CE52" w14:textId="77777777" w:rsidR="00BF7A6D" w:rsidRPr="00BF7A6D" w:rsidRDefault="00BF7A6D" w:rsidP="004A59CA">
      <w:pPr>
        <w:pStyle w:val="ListParagraph"/>
        <w:spacing w:after="240" w:line="240" w:lineRule="auto"/>
        <w:ind w:left="1985"/>
        <w:jc w:val="both"/>
        <w:rPr>
          <w:rFonts w:ascii="Arial" w:hAnsi="Arial" w:cs="Arial"/>
          <w:bCs/>
        </w:rPr>
      </w:pPr>
    </w:p>
    <w:p w14:paraId="72B3ED02" w14:textId="093ACB2B"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lastRenderedPageBreak/>
        <w:t xml:space="preserve">Implement </w:t>
      </w:r>
      <w:r w:rsidR="009F2CBF">
        <w:rPr>
          <w:rFonts w:ascii="Arial" w:hAnsi="Arial" w:cs="Arial"/>
          <w:bCs/>
        </w:rPr>
        <w:t>an</w:t>
      </w:r>
      <w:r w:rsidRPr="00BF7A6D">
        <w:rPr>
          <w:rFonts w:ascii="Arial" w:hAnsi="Arial" w:cs="Arial"/>
          <w:bCs/>
        </w:rPr>
        <w:t xml:space="preserve"> incident reporting policy and ensure that all incidents and near misses are reported in line with the </w:t>
      </w:r>
      <w:r w:rsidR="009F2CBF">
        <w:rPr>
          <w:rFonts w:ascii="Arial" w:hAnsi="Arial" w:cs="Arial"/>
          <w:bCs/>
        </w:rPr>
        <w:t>policy. W</w:t>
      </w:r>
      <w:r w:rsidRPr="00BF7A6D">
        <w:rPr>
          <w:rFonts w:ascii="Arial" w:hAnsi="Arial" w:cs="Arial"/>
          <w:bCs/>
        </w:rPr>
        <w:t>here any patient has been harmed, the ‘Being Open’ policy is applied.</w:t>
      </w:r>
    </w:p>
    <w:p w14:paraId="07715C06" w14:textId="77777777" w:rsidR="00BF7A6D" w:rsidRPr="00BF7A6D" w:rsidRDefault="00BF7A6D" w:rsidP="004A59CA">
      <w:pPr>
        <w:pStyle w:val="ListParagraph"/>
        <w:ind w:left="1985"/>
        <w:jc w:val="both"/>
        <w:rPr>
          <w:rFonts w:ascii="Arial" w:hAnsi="Arial" w:cs="Arial"/>
          <w:bCs/>
        </w:rPr>
      </w:pPr>
    </w:p>
    <w:p w14:paraId="1E54E6C3" w14:textId="164BAFB3"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Participate and cooperate in incident investigations as appropriate.</w:t>
      </w:r>
    </w:p>
    <w:p w14:paraId="024A7F1B" w14:textId="77777777" w:rsidR="00BF7A6D" w:rsidRPr="00BF7A6D" w:rsidRDefault="00BF7A6D" w:rsidP="004A59CA">
      <w:pPr>
        <w:pStyle w:val="ListParagraph"/>
        <w:ind w:left="1985"/>
        <w:jc w:val="both"/>
        <w:rPr>
          <w:rFonts w:ascii="Arial" w:hAnsi="Arial" w:cs="Arial"/>
          <w:bCs/>
        </w:rPr>
      </w:pPr>
    </w:p>
    <w:p w14:paraId="4DC924F4" w14:textId="249EA844" w:rsidR="00B65F28" w:rsidRDefault="00B65F28" w:rsidP="004A59CA">
      <w:pPr>
        <w:pStyle w:val="ListParagraph"/>
        <w:numPr>
          <w:ilvl w:val="2"/>
          <w:numId w:val="11"/>
        </w:numPr>
        <w:spacing w:after="240" w:line="240" w:lineRule="auto"/>
        <w:ind w:left="1985"/>
        <w:jc w:val="both"/>
        <w:rPr>
          <w:rFonts w:ascii="Arial" w:hAnsi="Arial" w:cs="Arial"/>
        </w:rPr>
      </w:pPr>
      <w:r w:rsidRPr="00BF7A6D">
        <w:rPr>
          <w:rFonts w:ascii="Arial" w:hAnsi="Arial" w:cs="Arial"/>
          <w:bCs/>
        </w:rPr>
        <w:t>Have a robust system in place whereby families, other professionals and the public can raise concerns about the quality of care and have adequate arrangements in place for the investigation of such</w:t>
      </w:r>
      <w:r w:rsidRPr="00BF7A6D">
        <w:rPr>
          <w:rFonts w:ascii="Arial" w:hAnsi="Arial" w:cs="Arial"/>
        </w:rPr>
        <w:t xml:space="preserve"> concerns in line with </w:t>
      </w:r>
      <w:r w:rsidR="009F2CBF">
        <w:rPr>
          <w:rFonts w:ascii="Arial" w:hAnsi="Arial" w:cs="Arial"/>
        </w:rPr>
        <w:t>the Sub-Contractor’s policies.</w:t>
      </w:r>
    </w:p>
    <w:p w14:paraId="7CB82269" w14:textId="77777777" w:rsidR="00BF7A6D" w:rsidRPr="00BF7A6D" w:rsidRDefault="00BF7A6D" w:rsidP="004A59CA">
      <w:pPr>
        <w:pStyle w:val="ListParagraph"/>
        <w:ind w:left="1985"/>
        <w:jc w:val="both"/>
        <w:rPr>
          <w:rFonts w:ascii="Arial" w:hAnsi="Arial" w:cs="Arial"/>
        </w:rPr>
      </w:pPr>
    </w:p>
    <w:p w14:paraId="43ED9CB6" w14:textId="181F6434"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Have robust evidence based policies, procedures, guidelines, standard operating procedures in place for staff to follow in delivering the service.</w:t>
      </w:r>
    </w:p>
    <w:p w14:paraId="48E5EC1D" w14:textId="77777777" w:rsidR="00BF7A6D" w:rsidRPr="00BF7A6D" w:rsidRDefault="00BF7A6D" w:rsidP="004A59CA">
      <w:pPr>
        <w:pStyle w:val="ListParagraph"/>
        <w:ind w:left="1985"/>
        <w:jc w:val="both"/>
        <w:rPr>
          <w:rFonts w:ascii="Arial" w:hAnsi="Arial" w:cs="Arial"/>
          <w:bCs/>
        </w:rPr>
      </w:pPr>
    </w:p>
    <w:p w14:paraId="0DF4C649" w14:textId="77777777" w:rsidR="009F2CBF"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Ensure that the service complies with the NHS Litigation Authority Risk Management Standards and the Care Quality Commission Healthcare Regulations 2010.</w:t>
      </w:r>
    </w:p>
    <w:p w14:paraId="5A4A55F4" w14:textId="77777777" w:rsidR="009F2CBF" w:rsidRPr="009F2CBF" w:rsidRDefault="009F2CBF" w:rsidP="004A59CA">
      <w:pPr>
        <w:pStyle w:val="ListParagraph"/>
        <w:ind w:left="1985"/>
        <w:jc w:val="both"/>
        <w:rPr>
          <w:rFonts w:ascii="Arial" w:hAnsi="Arial" w:cs="Arial"/>
          <w:bCs/>
        </w:rPr>
      </w:pPr>
    </w:p>
    <w:p w14:paraId="044533FC" w14:textId="026791A0" w:rsidR="009F2CBF" w:rsidRDefault="009F2CBF" w:rsidP="004A59CA">
      <w:pPr>
        <w:pStyle w:val="ListParagraph"/>
        <w:numPr>
          <w:ilvl w:val="2"/>
          <w:numId w:val="11"/>
        </w:numPr>
        <w:spacing w:after="240" w:line="240" w:lineRule="auto"/>
        <w:ind w:left="1985"/>
        <w:jc w:val="both"/>
        <w:rPr>
          <w:rFonts w:ascii="Arial" w:hAnsi="Arial" w:cs="Arial"/>
          <w:bCs/>
        </w:rPr>
      </w:pPr>
      <w:r w:rsidRPr="009F2CBF">
        <w:rPr>
          <w:rFonts w:ascii="Arial" w:hAnsi="Arial" w:cs="Arial"/>
          <w:bCs/>
        </w:rPr>
        <w:t>Ensure that the service develops a risk assessment programme, carries out a proactive risk assessment and identifies risks for inclusion on the Sub-Contractor’s risk register. Where risks are significant, the risks and mitigation actions should be discussed with UHBFT</w:t>
      </w:r>
    </w:p>
    <w:p w14:paraId="5D1A0BB1" w14:textId="77777777" w:rsidR="009F2CBF" w:rsidRPr="009F2CBF" w:rsidRDefault="009F2CBF" w:rsidP="004A59CA">
      <w:pPr>
        <w:pStyle w:val="ListParagraph"/>
        <w:ind w:left="1985"/>
        <w:jc w:val="both"/>
        <w:rPr>
          <w:rFonts w:ascii="Arial" w:hAnsi="Arial" w:cs="Arial"/>
          <w:bCs/>
        </w:rPr>
      </w:pPr>
    </w:p>
    <w:p w14:paraId="65FFC091" w14:textId="77777777" w:rsidR="009F2CBF" w:rsidRPr="009F2CBF" w:rsidRDefault="009F2CBF" w:rsidP="004A59CA">
      <w:pPr>
        <w:pStyle w:val="ListParagraph"/>
        <w:numPr>
          <w:ilvl w:val="2"/>
          <w:numId w:val="11"/>
        </w:numPr>
        <w:spacing w:after="240"/>
        <w:ind w:left="1985"/>
        <w:jc w:val="both"/>
        <w:rPr>
          <w:rFonts w:ascii="Arial" w:hAnsi="Arial" w:cs="Arial"/>
          <w:bCs/>
        </w:rPr>
      </w:pPr>
      <w:r w:rsidRPr="009F2CBF">
        <w:rPr>
          <w:rFonts w:ascii="Arial" w:hAnsi="Arial" w:cs="Arial"/>
          <w:bCs/>
        </w:rPr>
        <w:t>Ensure recommendations from investigations are fully implemented</w:t>
      </w:r>
    </w:p>
    <w:p w14:paraId="2D3C2141" w14:textId="77777777" w:rsidR="00BF7A6D" w:rsidRPr="00BF7A6D" w:rsidRDefault="00BF7A6D" w:rsidP="004A59CA">
      <w:pPr>
        <w:pStyle w:val="ListParagraph"/>
        <w:ind w:left="1985"/>
        <w:jc w:val="both"/>
        <w:rPr>
          <w:rFonts w:ascii="Arial" w:hAnsi="Arial" w:cs="Arial"/>
          <w:bCs/>
        </w:rPr>
      </w:pPr>
    </w:p>
    <w:p w14:paraId="54F103BC" w14:textId="12164D05" w:rsidR="00B65F28" w:rsidRDefault="00B65F28" w:rsidP="004A59CA">
      <w:pPr>
        <w:pStyle w:val="ListParagraph"/>
        <w:numPr>
          <w:ilvl w:val="2"/>
          <w:numId w:val="11"/>
        </w:numPr>
        <w:spacing w:after="240" w:line="240" w:lineRule="auto"/>
        <w:ind w:left="1985"/>
        <w:jc w:val="both"/>
        <w:rPr>
          <w:rFonts w:ascii="Arial" w:hAnsi="Arial" w:cs="Arial"/>
          <w:bCs/>
        </w:rPr>
      </w:pPr>
      <w:r w:rsidRPr="00BF7A6D">
        <w:rPr>
          <w:rFonts w:ascii="Arial" w:hAnsi="Arial" w:cs="Arial"/>
          <w:bCs/>
        </w:rPr>
        <w:t>Provide information</w:t>
      </w:r>
      <w:r w:rsidR="005D7834">
        <w:rPr>
          <w:rFonts w:ascii="Arial" w:hAnsi="Arial" w:cs="Arial"/>
          <w:bCs/>
        </w:rPr>
        <w:t xml:space="preserve"> and contribute to</w:t>
      </w:r>
      <w:r w:rsidRPr="00BF7A6D">
        <w:rPr>
          <w:rFonts w:ascii="Arial" w:hAnsi="Arial" w:cs="Arial"/>
          <w:bCs/>
        </w:rPr>
        <w:t xml:space="preserve"> risk assessments under</w:t>
      </w:r>
      <w:r w:rsidR="009F2CBF">
        <w:rPr>
          <w:rFonts w:ascii="Arial" w:hAnsi="Arial" w:cs="Arial"/>
          <w:bCs/>
        </w:rPr>
        <w:t>taken, incidents and complaints.</w:t>
      </w:r>
    </w:p>
    <w:p w14:paraId="173A5FD2" w14:textId="77777777" w:rsidR="009F2CBF" w:rsidRPr="009F2CBF" w:rsidRDefault="009F2CBF" w:rsidP="004A59CA">
      <w:pPr>
        <w:pStyle w:val="ListParagraph"/>
        <w:ind w:left="1985"/>
        <w:jc w:val="both"/>
        <w:rPr>
          <w:rFonts w:ascii="Arial" w:hAnsi="Arial" w:cs="Arial"/>
          <w:bCs/>
        </w:rPr>
      </w:pPr>
    </w:p>
    <w:p w14:paraId="7D92E27A" w14:textId="77777777" w:rsidR="009F2CBF" w:rsidRDefault="009F2CBF" w:rsidP="004A59CA">
      <w:pPr>
        <w:pStyle w:val="ListParagraph"/>
        <w:numPr>
          <w:ilvl w:val="2"/>
          <w:numId w:val="11"/>
        </w:numPr>
        <w:spacing w:after="240"/>
        <w:ind w:left="1985"/>
        <w:jc w:val="both"/>
        <w:rPr>
          <w:rFonts w:ascii="Arial" w:hAnsi="Arial" w:cs="Arial"/>
          <w:bCs/>
        </w:rPr>
      </w:pPr>
      <w:r w:rsidRPr="009F2CBF">
        <w:rPr>
          <w:rFonts w:ascii="Arial" w:hAnsi="Arial" w:cs="Arial"/>
          <w:bCs/>
        </w:rPr>
        <w:t>Report findings from serious incident investigations to UHBFT</w:t>
      </w:r>
    </w:p>
    <w:p w14:paraId="469488A0" w14:textId="77777777" w:rsidR="009F2CBF" w:rsidRPr="009F2CBF" w:rsidRDefault="009F2CBF" w:rsidP="004A59CA">
      <w:pPr>
        <w:pStyle w:val="ListParagraph"/>
        <w:ind w:left="1985"/>
        <w:jc w:val="both"/>
        <w:rPr>
          <w:rFonts w:ascii="Arial" w:hAnsi="Arial" w:cs="Arial"/>
          <w:bCs/>
        </w:rPr>
      </w:pPr>
    </w:p>
    <w:p w14:paraId="442124FB" w14:textId="60CF76E3" w:rsidR="009F2CBF" w:rsidRPr="009F2CBF" w:rsidRDefault="009F2CBF" w:rsidP="004A59CA">
      <w:pPr>
        <w:pStyle w:val="ListParagraph"/>
        <w:numPr>
          <w:ilvl w:val="2"/>
          <w:numId w:val="11"/>
        </w:numPr>
        <w:spacing w:after="240"/>
        <w:ind w:left="1985"/>
        <w:jc w:val="both"/>
        <w:rPr>
          <w:rFonts w:ascii="Arial" w:hAnsi="Arial" w:cs="Arial"/>
          <w:bCs/>
        </w:rPr>
      </w:pPr>
      <w:r>
        <w:rPr>
          <w:rFonts w:ascii="Arial" w:hAnsi="Arial" w:cs="Arial"/>
          <w:bCs/>
        </w:rPr>
        <w:t>Have a business continuity plan in place</w:t>
      </w:r>
    </w:p>
    <w:p w14:paraId="42A6545D" w14:textId="0E4A01D5" w:rsidR="00B65F28" w:rsidRPr="001878D7" w:rsidRDefault="00BF7A6D" w:rsidP="004A59CA">
      <w:pPr>
        <w:pStyle w:val="Heading2"/>
      </w:pPr>
      <w:bookmarkStart w:id="19" w:name="_Toc492544880"/>
      <w:r>
        <w:t>5</w:t>
      </w:r>
      <w:r w:rsidR="00B65F28" w:rsidRPr="001878D7">
        <w:t>.</w:t>
      </w:r>
      <w:r>
        <w:t>7</w:t>
      </w:r>
      <w:r w:rsidR="00B65F28" w:rsidRPr="001878D7">
        <w:t xml:space="preserve"> </w:t>
      </w:r>
      <w:r w:rsidR="00ED6F5E">
        <w:tab/>
      </w:r>
      <w:r w:rsidR="00B65F28" w:rsidRPr="001878D7">
        <w:t>Patients and Public Involvement</w:t>
      </w:r>
      <w:bookmarkEnd w:id="19"/>
    </w:p>
    <w:p w14:paraId="01FF4E74" w14:textId="46773246" w:rsidR="00B65F28" w:rsidRPr="001878D7" w:rsidRDefault="00B65F28" w:rsidP="00D75E7E">
      <w:pPr>
        <w:spacing w:after="240" w:line="240" w:lineRule="auto"/>
        <w:ind w:left="851"/>
        <w:jc w:val="both"/>
        <w:rPr>
          <w:rFonts w:ascii="Arial" w:hAnsi="Arial" w:cs="Arial"/>
        </w:rPr>
      </w:pPr>
      <w:r w:rsidRPr="001878D7">
        <w:rPr>
          <w:rFonts w:ascii="Arial" w:hAnsi="Arial" w:cs="Arial"/>
        </w:rPr>
        <w:t xml:space="preserve">The </w:t>
      </w:r>
      <w:r w:rsidR="000D2469">
        <w:rPr>
          <w:rFonts w:ascii="Arial" w:hAnsi="Arial" w:cs="Arial"/>
        </w:rPr>
        <w:t>Sub-Contractor</w:t>
      </w:r>
      <w:r w:rsidRPr="001878D7">
        <w:rPr>
          <w:rFonts w:ascii="Arial" w:hAnsi="Arial" w:cs="Arial"/>
        </w:rPr>
        <w:t xml:space="preserve"> will be required to demonstrate that they have collected (or have plans in place to collect) the views of service users, families and others in respect of the services they provide and how those views will influence service delivery for the purposes of raising quality standards in line with the </w:t>
      </w:r>
      <w:r w:rsidR="000D2469">
        <w:rPr>
          <w:rFonts w:ascii="Arial" w:hAnsi="Arial" w:cs="Arial"/>
        </w:rPr>
        <w:t>Sub-Contractor’s</w:t>
      </w:r>
      <w:r w:rsidRPr="001878D7">
        <w:rPr>
          <w:rFonts w:ascii="Arial" w:hAnsi="Arial" w:cs="Arial"/>
        </w:rPr>
        <w:t xml:space="preserve"> patient satisfaction surveys. The outcomes of this work must be shared with </w:t>
      </w:r>
      <w:r w:rsidR="000D2469">
        <w:rPr>
          <w:rFonts w:ascii="Arial" w:hAnsi="Arial" w:cs="Arial"/>
        </w:rPr>
        <w:t>UHBFT.</w:t>
      </w:r>
      <w:r w:rsidRPr="001878D7">
        <w:rPr>
          <w:rFonts w:ascii="Arial" w:hAnsi="Arial" w:cs="Arial"/>
        </w:rPr>
        <w:t xml:space="preserve"> </w:t>
      </w:r>
    </w:p>
    <w:p w14:paraId="5D89584A" w14:textId="2DF540AA" w:rsidR="000D2469" w:rsidRPr="000D2469" w:rsidRDefault="000D2469" w:rsidP="00D75E7E">
      <w:pPr>
        <w:tabs>
          <w:tab w:val="left" w:pos="709"/>
        </w:tabs>
        <w:spacing w:after="240" w:line="240" w:lineRule="auto"/>
        <w:ind w:left="851"/>
        <w:jc w:val="both"/>
        <w:rPr>
          <w:rFonts w:ascii="Arial" w:hAnsi="Arial" w:cs="Arial"/>
        </w:rPr>
      </w:pPr>
      <w:r w:rsidRPr="000D2469">
        <w:rPr>
          <w:rFonts w:ascii="Arial" w:hAnsi="Arial" w:cs="Arial"/>
        </w:rPr>
        <w:t>The Sub-Contractor must comply with the National Friends and Family Test</w:t>
      </w:r>
      <w:r w:rsidR="0012649C">
        <w:rPr>
          <w:rFonts w:ascii="Arial" w:hAnsi="Arial" w:cs="Arial"/>
        </w:rPr>
        <w:t>.</w:t>
      </w:r>
    </w:p>
    <w:p w14:paraId="790D03EB" w14:textId="4709691C" w:rsidR="000D2469" w:rsidRPr="000D2469" w:rsidRDefault="000D2469" w:rsidP="00D75E7E">
      <w:pPr>
        <w:tabs>
          <w:tab w:val="left" w:pos="709"/>
        </w:tabs>
        <w:spacing w:after="240" w:line="240" w:lineRule="auto"/>
        <w:ind w:left="851"/>
        <w:jc w:val="both"/>
        <w:rPr>
          <w:rFonts w:ascii="Arial" w:hAnsi="Arial" w:cs="Arial"/>
        </w:rPr>
      </w:pPr>
      <w:r w:rsidRPr="000D2469">
        <w:rPr>
          <w:rFonts w:ascii="Arial" w:hAnsi="Arial" w:cs="Arial"/>
        </w:rPr>
        <w:t xml:space="preserve">The Sub-Contractor must ensure that they have appropriate processes by which to manage PALs inquiries and patient complaints </w:t>
      </w:r>
      <w:r>
        <w:rPr>
          <w:rFonts w:ascii="Arial" w:hAnsi="Arial" w:cs="Arial"/>
        </w:rPr>
        <w:t>within agreed timescales</w:t>
      </w:r>
      <w:r w:rsidRPr="000D2469">
        <w:rPr>
          <w:rFonts w:ascii="Arial" w:hAnsi="Arial" w:cs="Arial"/>
        </w:rPr>
        <w:t xml:space="preserve">. </w:t>
      </w:r>
      <w:r w:rsidR="0012649C">
        <w:rPr>
          <w:rFonts w:ascii="Arial" w:hAnsi="Arial" w:cs="Arial"/>
        </w:rPr>
        <w:t>The Sub-Contractor will be required to work within UHBFT’s complaints and PALs processes.</w:t>
      </w:r>
    </w:p>
    <w:p w14:paraId="2E70A499" w14:textId="30E69B6E" w:rsidR="00B65F28" w:rsidRPr="001878D7" w:rsidRDefault="000D2469" w:rsidP="004A59CA">
      <w:pPr>
        <w:pStyle w:val="Heading2"/>
      </w:pPr>
      <w:r w:rsidRPr="000D2469">
        <w:t xml:space="preserve"> </w:t>
      </w:r>
      <w:bookmarkStart w:id="20" w:name="_Toc492544881"/>
      <w:r w:rsidR="00BF7A6D">
        <w:t>5.8</w:t>
      </w:r>
      <w:r w:rsidR="00BF7A6D">
        <w:tab/>
      </w:r>
      <w:r w:rsidR="00B65F28" w:rsidRPr="001878D7">
        <w:t>Information Governance</w:t>
      </w:r>
      <w:bookmarkEnd w:id="20"/>
    </w:p>
    <w:p w14:paraId="63F387B8" w14:textId="77777777" w:rsidR="004142D5" w:rsidRPr="000D2469" w:rsidRDefault="004142D5" w:rsidP="004142D5">
      <w:pPr>
        <w:spacing w:after="240" w:line="240" w:lineRule="auto"/>
        <w:ind w:left="851"/>
        <w:jc w:val="both"/>
        <w:rPr>
          <w:rFonts w:ascii="Arial" w:hAnsi="Arial" w:cs="Arial"/>
        </w:rPr>
      </w:pPr>
      <w:r w:rsidRPr="000D2469">
        <w:rPr>
          <w:rFonts w:ascii="Arial" w:hAnsi="Arial" w:cs="Arial"/>
          <w:lang w:val="en-US"/>
        </w:rPr>
        <w:t>The Sub-Contractor must comply with the legal framework governing the use of personal confidential data as detailed in NHS Act 2006, the Health and Social Care Act 2012, the Data Protection Act, and the Human Rights Act.</w:t>
      </w:r>
    </w:p>
    <w:p w14:paraId="4D7A4841" w14:textId="78C6AB7B" w:rsidR="004142D5" w:rsidRPr="000D2469" w:rsidRDefault="000D2469" w:rsidP="004142D5">
      <w:pPr>
        <w:spacing w:after="240" w:line="240" w:lineRule="auto"/>
        <w:ind w:left="851"/>
        <w:jc w:val="both"/>
        <w:rPr>
          <w:rFonts w:ascii="Arial" w:hAnsi="Arial" w:cs="Arial"/>
        </w:rPr>
      </w:pPr>
      <w:r w:rsidRPr="000D2469">
        <w:rPr>
          <w:rFonts w:ascii="Arial" w:hAnsi="Arial" w:cs="Arial"/>
        </w:rPr>
        <w:lastRenderedPageBreak/>
        <w:t>The Sub-Contractor</w:t>
      </w:r>
      <w:r w:rsidR="00897705">
        <w:rPr>
          <w:rFonts w:ascii="Arial" w:hAnsi="Arial" w:cs="Arial"/>
        </w:rPr>
        <w:t xml:space="preserve"> must </w:t>
      </w:r>
      <w:r w:rsidR="004142D5">
        <w:rPr>
          <w:rFonts w:ascii="Arial" w:hAnsi="Arial" w:cs="Arial"/>
        </w:rPr>
        <w:t xml:space="preserve">also </w:t>
      </w:r>
      <w:r w:rsidR="00897705">
        <w:rPr>
          <w:rFonts w:ascii="Arial" w:hAnsi="Arial" w:cs="Arial"/>
        </w:rPr>
        <w:t xml:space="preserve">comply with UHBFT’s Information Governance requirements as set out in the Sub-Contract.  </w:t>
      </w:r>
      <w:r w:rsidRPr="000D2469">
        <w:rPr>
          <w:rFonts w:ascii="Arial" w:hAnsi="Arial" w:cs="Arial"/>
        </w:rPr>
        <w:t xml:space="preserve"> </w:t>
      </w:r>
      <w:r w:rsidR="004142D5">
        <w:rPr>
          <w:rFonts w:ascii="Arial" w:hAnsi="Arial" w:cs="Arial"/>
        </w:rPr>
        <w:t xml:space="preserve">In particular, </w:t>
      </w:r>
      <w:r w:rsidR="004142D5">
        <w:rPr>
          <w:rFonts w:ascii="Arial" w:hAnsi="Arial" w:cs="Arial"/>
          <w:lang w:val="en-US"/>
        </w:rPr>
        <w:t>t</w:t>
      </w:r>
      <w:r w:rsidR="004142D5" w:rsidRPr="000D2469">
        <w:rPr>
          <w:rFonts w:ascii="Arial" w:hAnsi="Arial" w:cs="Arial"/>
          <w:lang w:val="en-US"/>
        </w:rPr>
        <w:t xml:space="preserve">he Sub-Contractor must </w:t>
      </w:r>
      <w:r w:rsidR="004142D5" w:rsidRPr="000D2469">
        <w:rPr>
          <w:rFonts w:ascii="Arial" w:hAnsi="Arial" w:cs="Arial"/>
        </w:rPr>
        <w:t xml:space="preserve">have a </w:t>
      </w:r>
      <w:proofErr w:type="spellStart"/>
      <w:r w:rsidR="004142D5" w:rsidRPr="000D2469">
        <w:rPr>
          <w:rFonts w:ascii="Arial" w:hAnsi="Arial" w:cs="Arial"/>
        </w:rPr>
        <w:t>Caldicott</w:t>
      </w:r>
      <w:proofErr w:type="spellEnd"/>
      <w:r w:rsidR="004142D5" w:rsidRPr="000D2469">
        <w:rPr>
          <w:rFonts w:ascii="Arial" w:hAnsi="Arial" w:cs="Arial"/>
        </w:rPr>
        <w:t xml:space="preserve"> </w:t>
      </w:r>
      <w:r w:rsidR="004142D5">
        <w:rPr>
          <w:rFonts w:ascii="Arial" w:hAnsi="Arial" w:cs="Arial"/>
        </w:rPr>
        <w:t>G</w:t>
      </w:r>
      <w:r w:rsidR="004142D5" w:rsidRPr="000D2469">
        <w:rPr>
          <w:rFonts w:ascii="Arial" w:hAnsi="Arial" w:cs="Arial"/>
        </w:rPr>
        <w:t>uardian</w:t>
      </w:r>
      <w:r w:rsidR="004142D5">
        <w:rPr>
          <w:rFonts w:ascii="Arial" w:hAnsi="Arial" w:cs="Arial"/>
        </w:rPr>
        <w:t>, Information Governance Lead and Senior Information Risk Owner.</w:t>
      </w:r>
    </w:p>
    <w:p w14:paraId="3131BF53" w14:textId="11191B1B" w:rsidR="000D2469" w:rsidRPr="000D2469" w:rsidRDefault="000D2469" w:rsidP="00D75E7E">
      <w:pPr>
        <w:spacing w:after="240" w:line="240" w:lineRule="auto"/>
        <w:ind w:left="851"/>
        <w:jc w:val="both"/>
        <w:rPr>
          <w:rFonts w:ascii="Arial" w:hAnsi="Arial" w:cs="Arial"/>
        </w:rPr>
      </w:pPr>
      <w:r w:rsidRPr="000D2469">
        <w:rPr>
          <w:rFonts w:ascii="Arial" w:hAnsi="Arial" w:cs="Arial"/>
        </w:rPr>
        <w:t xml:space="preserve">All documentation made must be in accordance with the </w:t>
      </w:r>
      <w:r>
        <w:rPr>
          <w:rFonts w:ascii="Arial" w:hAnsi="Arial" w:cs="Arial"/>
        </w:rPr>
        <w:t>Sub-Contractor’s</w:t>
      </w:r>
      <w:r w:rsidRPr="000D2469">
        <w:rPr>
          <w:rFonts w:ascii="Arial" w:hAnsi="Arial" w:cs="Arial"/>
        </w:rPr>
        <w:t xml:space="preserve"> policies and good practice to ensure they are accurate, contemporaneous and legible.</w:t>
      </w:r>
    </w:p>
    <w:p w14:paraId="5C859DA1" w14:textId="31246032" w:rsidR="000D2469" w:rsidRDefault="004142D5" w:rsidP="00D75E7E">
      <w:pPr>
        <w:spacing w:after="240" w:line="240" w:lineRule="auto"/>
        <w:ind w:left="851"/>
        <w:jc w:val="both"/>
        <w:rPr>
          <w:rFonts w:ascii="Arial" w:hAnsi="Arial" w:cs="Arial"/>
        </w:rPr>
      </w:pPr>
      <w:r>
        <w:rPr>
          <w:rFonts w:ascii="Arial" w:hAnsi="Arial" w:cs="Arial"/>
        </w:rPr>
        <w:t>For access to N3 (or subsequently HCSN), t</w:t>
      </w:r>
      <w:r w:rsidR="000D2469" w:rsidRPr="000D2469">
        <w:rPr>
          <w:rFonts w:ascii="Arial" w:hAnsi="Arial" w:cs="Arial"/>
        </w:rPr>
        <w:t>he Sub-Contractor</w:t>
      </w:r>
      <w:r>
        <w:rPr>
          <w:rFonts w:ascii="Arial" w:hAnsi="Arial" w:cs="Arial"/>
        </w:rPr>
        <w:t xml:space="preserve"> will need to comply with NHS IG controls as set out at the link below:</w:t>
      </w:r>
      <w:r w:rsidR="000D2469" w:rsidRPr="000D2469">
        <w:rPr>
          <w:rFonts w:ascii="Arial" w:hAnsi="Arial" w:cs="Arial"/>
        </w:rPr>
        <w:t xml:space="preserve"> </w:t>
      </w:r>
    </w:p>
    <w:p w14:paraId="1315D4F2" w14:textId="5E185B5A" w:rsidR="004142D5" w:rsidRDefault="003675A4" w:rsidP="00D75E7E">
      <w:pPr>
        <w:spacing w:after="240" w:line="240" w:lineRule="auto"/>
        <w:ind w:left="851"/>
        <w:jc w:val="both"/>
        <w:rPr>
          <w:rStyle w:val="Hyperlink"/>
          <w:rFonts w:ascii="Arial" w:hAnsi="Arial" w:cs="Arial"/>
        </w:rPr>
      </w:pPr>
      <w:hyperlink r:id="rId11" w:history="1">
        <w:r w:rsidR="004142D5" w:rsidRPr="00061E2C">
          <w:rPr>
            <w:rStyle w:val="Hyperlink"/>
            <w:rFonts w:ascii="Arial" w:hAnsi="Arial" w:cs="Arial"/>
          </w:rPr>
          <w:t>https://digital.nhs.uk/media/289/NHSDigitalMiniGuide/pdf/hscicminiguide</w:t>
        </w:r>
      </w:hyperlink>
    </w:p>
    <w:p w14:paraId="4F123236" w14:textId="0165F7DB" w:rsidR="0012649C" w:rsidRDefault="0012649C" w:rsidP="00D75E7E">
      <w:pPr>
        <w:spacing w:after="240" w:line="240" w:lineRule="auto"/>
        <w:ind w:left="851"/>
        <w:jc w:val="both"/>
        <w:rPr>
          <w:rFonts w:ascii="Arial" w:hAnsi="Arial" w:cs="Arial"/>
        </w:rPr>
      </w:pPr>
      <w:r>
        <w:rPr>
          <w:rFonts w:ascii="Arial" w:hAnsi="Arial" w:cs="Arial"/>
        </w:rPr>
        <w:t>There will be no requirement for UHBFT data to be taken outside of UHBFT’s premises which would be a breach of IG regulations and UHBFT’s contract with the Sub-Contractor.</w:t>
      </w:r>
    </w:p>
    <w:p w14:paraId="5826117F" w14:textId="045F3FE5" w:rsidR="00B65F28" w:rsidRPr="001878D7" w:rsidRDefault="00BF7A6D" w:rsidP="004A59CA">
      <w:pPr>
        <w:pStyle w:val="Heading2"/>
      </w:pPr>
      <w:bookmarkStart w:id="21" w:name="_Toc492544882"/>
      <w:r w:rsidRPr="000D2469">
        <w:t>5.9</w:t>
      </w:r>
      <w:r w:rsidR="00B65F28" w:rsidRPr="000D2469">
        <w:t xml:space="preserve"> </w:t>
      </w:r>
      <w:r w:rsidRPr="000D2469">
        <w:tab/>
      </w:r>
      <w:r w:rsidR="00B65F28" w:rsidRPr="000D2469">
        <w:t>Health &amp; Safety</w:t>
      </w:r>
      <w:bookmarkEnd w:id="21"/>
    </w:p>
    <w:p w14:paraId="493AC1F2" w14:textId="77777777" w:rsidR="0012649C" w:rsidRDefault="000D2469" w:rsidP="0012649C">
      <w:pPr>
        <w:spacing w:after="240" w:line="240" w:lineRule="auto"/>
        <w:ind w:left="851"/>
        <w:jc w:val="both"/>
        <w:rPr>
          <w:rFonts w:ascii="Arial" w:hAnsi="Arial" w:cs="Arial"/>
        </w:rPr>
      </w:pPr>
      <w:r w:rsidRPr="000D2469">
        <w:rPr>
          <w:rFonts w:ascii="Arial" w:hAnsi="Arial" w:cs="Arial"/>
        </w:rPr>
        <w:t>The Sub-Cont</w:t>
      </w:r>
      <w:r>
        <w:rPr>
          <w:rFonts w:ascii="Arial" w:hAnsi="Arial" w:cs="Arial"/>
        </w:rPr>
        <w:t>ractor must have clear Health and Safety policies and procedures. All incidents must be fully investigated in line with the Sub-Contractors Risk and Incident Management procedures. Staff must undergo regular health and safety training. The Sub-Contractor must undertake regular h</w:t>
      </w:r>
      <w:r w:rsidR="0012649C">
        <w:rPr>
          <w:rFonts w:ascii="Arial" w:hAnsi="Arial" w:cs="Arial"/>
        </w:rPr>
        <w:t>ealth and safety audits involving</w:t>
      </w:r>
      <w:r>
        <w:rPr>
          <w:rFonts w:ascii="Arial" w:hAnsi="Arial" w:cs="Arial"/>
        </w:rPr>
        <w:t xml:space="preserve"> all members of staff. Any risks must be identified, added to a Health and Safety Risk Register along with mitigation plans to reduce risks and the change of incidents. </w:t>
      </w:r>
      <w:r w:rsidR="0012649C">
        <w:rPr>
          <w:rFonts w:ascii="Arial" w:hAnsi="Arial" w:cs="Arial"/>
        </w:rPr>
        <w:t>Significant risks need to be shared with UHBFT.</w:t>
      </w:r>
    </w:p>
    <w:p w14:paraId="11E01952" w14:textId="648F515E" w:rsidR="0010344B" w:rsidRDefault="0012649C" w:rsidP="00D75E7E">
      <w:pPr>
        <w:spacing w:after="240" w:line="240" w:lineRule="auto"/>
        <w:ind w:left="851"/>
        <w:jc w:val="both"/>
        <w:rPr>
          <w:rFonts w:ascii="Arial" w:hAnsi="Arial" w:cs="Arial"/>
        </w:rPr>
      </w:pPr>
      <w:r>
        <w:rPr>
          <w:rFonts w:ascii="Arial" w:hAnsi="Arial" w:cs="Arial"/>
        </w:rPr>
        <w:t xml:space="preserve">In addition, the Sub-Contractor must comply and contribute to UHBFT’s internal health and safety risk assessments and audits. </w:t>
      </w:r>
    </w:p>
    <w:p w14:paraId="3117472B" w14:textId="4608E42B" w:rsidR="000D2469" w:rsidRDefault="000D2469" w:rsidP="00D75E7E">
      <w:pPr>
        <w:spacing w:after="240" w:line="240" w:lineRule="auto"/>
        <w:ind w:left="851"/>
        <w:jc w:val="both"/>
        <w:rPr>
          <w:rFonts w:ascii="Arial" w:hAnsi="Arial" w:cs="Arial"/>
        </w:rPr>
      </w:pPr>
      <w:r>
        <w:rPr>
          <w:rFonts w:ascii="Arial" w:hAnsi="Arial" w:cs="Arial"/>
        </w:rPr>
        <w:t>The Sub-Contractor must comply with th</w:t>
      </w:r>
      <w:r w:rsidR="004A59CA">
        <w:rPr>
          <w:rFonts w:ascii="Arial" w:hAnsi="Arial" w:cs="Arial"/>
        </w:rPr>
        <w:t>e Health and Safety at Work Act legislation.</w:t>
      </w:r>
    </w:p>
    <w:p w14:paraId="40D6C818" w14:textId="77777777" w:rsidR="004A59CA" w:rsidRPr="000D2469" w:rsidRDefault="004A59CA" w:rsidP="00D75E7E">
      <w:pPr>
        <w:spacing w:after="240" w:line="240" w:lineRule="auto"/>
        <w:ind w:left="851"/>
        <w:jc w:val="both"/>
        <w:rPr>
          <w:rFonts w:ascii="Arial" w:hAnsi="Arial" w:cs="Arial"/>
        </w:rPr>
      </w:pPr>
    </w:p>
    <w:p w14:paraId="5E8CE6B4" w14:textId="5601287D" w:rsidR="002C46FF" w:rsidRPr="004A59CA" w:rsidRDefault="00FC18D2" w:rsidP="004A59CA">
      <w:pPr>
        <w:pStyle w:val="Heading1"/>
      </w:pPr>
      <w:bookmarkStart w:id="22" w:name="_Toc492544883"/>
      <w:r w:rsidRPr="004A59CA">
        <w:t>Contract Management</w:t>
      </w:r>
      <w:bookmarkEnd w:id="22"/>
    </w:p>
    <w:p w14:paraId="733A33A5" w14:textId="77777777" w:rsidR="00376BB0" w:rsidRDefault="004D73C4" w:rsidP="00376BB0">
      <w:pPr>
        <w:rPr>
          <w:rFonts w:ascii="Arial" w:hAnsi="Arial" w:cs="Arial"/>
        </w:rPr>
      </w:pPr>
      <w:r w:rsidRPr="004614FE">
        <w:rPr>
          <w:rFonts w:ascii="Arial" w:hAnsi="Arial" w:cs="Arial"/>
        </w:rPr>
        <w:t xml:space="preserve">There is a national template for NHS sub-contract terms and </w:t>
      </w:r>
      <w:r w:rsidR="004614FE" w:rsidRPr="00CC73AD">
        <w:rPr>
          <w:rFonts w:ascii="Arial" w:hAnsi="Arial" w:cs="Arial"/>
        </w:rPr>
        <w:t>conditions that</w:t>
      </w:r>
      <w:r w:rsidRPr="004614FE">
        <w:rPr>
          <w:rFonts w:ascii="Arial" w:hAnsi="Arial" w:cs="Arial"/>
        </w:rPr>
        <w:t xml:space="preserve"> UHBFT will use for this Sub-Contract. Please see link to the template below:</w:t>
      </w:r>
    </w:p>
    <w:p w14:paraId="56DE26D8" w14:textId="6E41D5A9" w:rsidR="00CC73AD" w:rsidRDefault="003675A4" w:rsidP="00376BB0">
      <w:pPr>
        <w:rPr>
          <w:rFonts w:ascii="Arial" w:hAnsi="Arial" w:cs="Arial"/>
        </w:rPr>
      </w:pPr>
      <w:hyperlink r:id="rId12" w:history="1">
        <w:r w:rsidR="008441F0" w:rsidRPr="00AB7B6F">
          <w:rPr>
            <w:rStyle w:val="Hyperlink"/>
            <w:rFonts w:ascii="Arial" w:hAnsi="Arial" w:cs="Arial"/>
          </w:rPr>
          <w:t>https://www.england.nhs.uk/publication/template-sub-contract-for-the-provision-of-clinical-services-for-use-with-nhs-standard-contract-full-length-201718-and-201819-2/</w:t>
        </w:r>
      </w:hyperlink>
    </w:p>
    <w:p w14:paraId="04118BB9" w14:textId="54A01953" w:rsidR="000616AC" w:rsidRDefault="000616AC" w:rsidP="00376BB0">
      <w:r w:rsidRPr="004614FE">
        <w:rPr>
          <w:rFonts w:ascii="Arial" w:hAnsi="Arial" w:cs="Arial"/>
        </w:rPr>
        <w:t>The Sub-Contract will include</w:t>
      </w:r>
      <w:r w:rsidR="00962410">
        <w:rPr>
          <w:rFonts w:ascii="Arial" w:hAnsi="Arial" w:cs="Arial"/>
        </w:rPr>
        <w:t xml:space="preserve"> the following</w:t>
      </w:r>
      <w:r w:rsidR="00962410" w:rsidRPr="00713DAB">
        <w:rPr>
          <w:rFonts w:ascii="Arial" w:hAnsi="Arial" w:cs="Arial"/>
        </w:rPr>
        <w:t xml:space="preserve"> in order to ensure that the Sub-Contract is able to support us in meeting our commissioned obligations.</w:t>
      </w:r>
      <w:r w:rsidR="00962410">
        <w:rPr>
          <w:rFonts w:ascii="Arial" w:hAnsi="Arial" w:cs="Arial"/>
        </w:rPr>
        <w:t xml:space="preserve">  </w:t>
      </w:r>
    </w:p>
    <w:p w14:paraId="5576D0E6" w14:textId="0A5A2EA9" w:rsidR="000616AC" w:rsidRDefault="000616AC" w:rsidP="003F03F7">
      <w:pPr>
        <w:pStyle w:val="ListParagraph"/>
        <w:numPr>
          <w:ilvl w:val="0"/>
          <w:numId w:val="21"/>
        </w:numPr>
        <w:tabs>
          <w:tab w:val="left" w:pos="851"/>
        </w:tabs>
        <w:ind w:left="426" w:firstLine="0"/>
      </w:pPr>
      <w:r>
        <w:rPr>
          <w:rFonts w:ascii="Arial" w:hAnsi="Arial" w:cs="Arial"/>
        </w:rPr>
        <w:t>Performance of the contract (Key Performance Indicators)</w:t>
      </w:r>
    </w:p>
    <w:p w14:paraId="6DB28BFC" w14:textId="57849645" w:rsidR="000616AC" w:rsidRDefault="000616AC" w:rsidP="003F03F7">
      <w:pPr>
        <w:pStyle w:val="ListParagraph"/>
        <w:numPr>
          <w:ilvl w:val="0"/>
          <w:numId w:val="21"/>
        </w:numPr>
        <w:ind w:left="851" w:hanging="425"/>
      </w:pPr>
      <w:r>
        <w:rPr>
          <w:rFonts w:ascii="Arial" w:hAnsi="Arial" w:cs="Arial"/>
        </w:rPr>
        <w:t xml:space="preserve">Price and </w:t>
      </w:r>
      <w:r w:rsidR="00962410">
        <w:rPr>
          <w:rFonts w:ascii="Arial" w:hAnsi="Arial" w:cs="Arial"/>
        </w:rPr>
        <w:t>Payment</w:t>
      </w:r>
    </w:p>
    <w:p w14:paraId="2072E4B3" w14:textId="49437223" w:rsidR="000616AC" w:rsidRDefault="000616AC" w:rsidP="003F03F7">
      <w:pPr>
        <w:pStyle w:val="ListParagraph"/>
        <w:numPr>
          <w:ilvl w:val="0"/>
          <w:numId w:val="21"/>
        </w:numPr>
        <w:ind w:left="851" w:hanging="425"/>
      </w:pPr>
      <w:r>
        <w:rPr>
          <w:rFonts w:ascii="Arial" w:hAnsi="Arial" w:cs="Arial"/>
        </w:rPr>
        <w:t>Quality Requirements</w:t>
      </w:r>
    </w:p>
    <w:p w14:paraId="220B7B2E" w14:textId="77777777" w:rsidR="000616AC" w:rsidRDefault="000616AC" w:rsidP="003F03F7">
      <w:pPr>
        <w:pStyle w:val="ListParagraph"/>
        <w:numPr>
          <w:ilvl w:val="0"/>
          <w:numId w:val="21"/>
        </w:numPr>
        <w:ind w:left="851" w:hanging="425"/>
      </w:pPr>
      <w:r>
        <w:rPr>
          <w:rFonts w:ascii="Arial" w:hAnsi="Arial" w:cs="Arial"/>
        </w:rPr>
        <w:t>Governance</w:t>
      </w:r>
    </w:p>
    <w:p w14:paraId="6A599947" w14:textId="6AFA53EF" w:rsidR="000616AC" w:rsidRDefault="000616AC" w:rsidP="003F03F7">
      <w:pPr>
        <w:pStyle w:val="ListParagraph"/>
        <w:numPr>
          <w:ilvl w:val="0"/>
          <w:numId w:val="21"/>
        </w:numPr>
        <w:ind w:left="851" w:hanging="425"/>
      </w:pPr>
      <w:r>
        <w:rPr>
          <w:rFonts w:ascii="Arial" w:hAnsi="Arial" w:cs="Arial"/>
        </w:rPr>
        <w:t>Contract Management, Reporting and Information Requirements</w:t>
      </w:r>
    </w:p>
    <w:p w14:paraId="618EE06A" w14:textId="7C63DFD6" w:rsidR="000616AC" w:rsidRPr="00962410" w:rsidRDefault="000616AC" w:rsidP="003F03F7">
      <w:pPr>
        <w:pStyle w:val="ListParagraph"/>
        <w:numPr>
          <w:ilvl w:val="0"/>
          <w:numId w:val="21"/>
        </w:numPr>
        <w:ind w:left="851" w:hanging="425"/>
      </w:pPr>
      <w:r>
        <w:rPr>
          <w:rFonts w:ascii="Arial" w:hAnsi="Arial" w:cs="Arial"/>
        </w:rPr>
        <w:t xml:space="preserve">Transition and Exit </w:t>
      </w:r>
      <w:r w:rsidR="004614FE">
        <w:rPr>
          <w:rFonts w:ascii="Arial" w:hAnsi="Arial" w:cs="Arial"/>
        </w:rPr>
        <w:t>arrangements</w:t>
      </w:r>
    </w:p>
    <w:p w14:paraId="389A1ED5" w14:textId="68EDF2AD" w:rsidR="00C67906" w:rsidRDefault="00C67906" w:rsidP="00BF65D4">
      <w:pPr>
        <w:spacing w:after="240" w:line="240" w:lineRule="auto"/>
        <w:jc w:val="both"/>
        <w:rPr>
          <w:rFonts w:ascii="Arial" w:hAnsi="Arial" w:cs="Arial"/>
        </w:rPr>
      </w:pPr>
      <w:r w:rsidRPr="00C67906">
        <w:rPr>
          <w:rFonts w:ascii="Arial" w:hAnsi="Arial" w:cs="Arial"/>
        </w:rPr>
        <w:t xml:space="preserve">The contract will be agreed for a </w:t>
      </w:r>
      <w:r>
        <w:rPr>
          <w:rFonts w:ascii="Arial" w:hAnsi="Arial" w:cs="Arial"/>
        </w:rPr>
        <w:t>one year period</w:t>
      </w:r>
      <w:r w:rsidR="00FF0DED">
        <w:rPr>
          <w:rFonts w:ascii="Arial" w:hAnsi="Arial" w:cs="Arial"/>
        </w:rPr>
        <w:t xml:space="preserve">. </w:t>
      </w:r>
      <w:r>
        <w:rPr>
          <w:rFonts w:ascii="Arial" w:hAnsi="Arial" w:cs="Arial"/>
        </w:rPr>
        <w:t>There will be</w:t>
      </w:r>
      <w:r w:rsidRPr="00C67906">
        <w:rPr>
          <w:rFonts w:ascii="Arial" w:hAnsi="Arial" w:cs="Arial"/>
        </w:rPr>
        <w:t xml:space="preserve"> a six month notice</w:t>
      </w:r>
      <w:r w:rsidR="00332B44">
        <w:rPr>
          <w:rFonts w:ascii="Arial" w:hAnsi="Arial" w:cs="Arial"/>
        </w:rPr>
        <w:t xml:space="preserve"> period, however, t</w:t>
      </w:r>
      <w:r w:rsidRPr="00C67906">
        <w:rPr>
          <w:rFonts w:ascii="Arial" w:hAnsi="Arial" w:cs="Arial"/>
        </w:rPr>
        <w:t xml:space="preserve">he notice period could be sooner or immediate if </w:t>
      </w:r>
      <w:r w:rsidR="00332B44">
        <w:rPr>
          <w:rFonts w:ascii="Arial" w:hAnsi="Arial" w:cs="Arial"/>
        </w:rPr>
        <w:t xml:space="preserve">a </w:t>
      </w:r>
      <w:r w:rsidRPr="00C67906">
        <w:rPr>
          <w:rFonts w:ascii="Arial" w:hAnsi="Arial" w:cs="Arial"/>
        </w:rPr>
        <w:t xml:space="preserve">significant </w:t>
      </w:r>
      <w:r w:rsidR="00332B44">
        <w:rPr>
          <w:rFonts w:ascii="Arial" w:hAnsi="Arial" w:cs="Arial"/>
        </w:rPr>
        <w:t xml:space="preserve">incident occurs or </w:t>
      </w:r>
      <w:r w:rsidR="00332B44">
        <w:rPr>
          <w:rFonts w:ascii="Arial" w:hAnsi="Arial" w:cs="Arial"/>
        </w:rPr>
        <w:lastRenderedPageBreak/>
        <w:t xml:space="preserve">there if there are </w:t>
      </w:r>
      <w:r w:rsidRPr="00C67906">
        <w:rPr>
          <w:rFonts w:ascii="Arial" w:hAnsi="Arial" w:cs="Arial"/>
        </w:rPr>
        <w:t>clinical</w:t>
      </w:r>
      <w:r w:rsidR="00F85984">
        <w:rPr>
          <w:rFonts w:ascii="Arial" w:hAnsi="Arial" w:cs="Arial"/>
        </w:rPr>
        <w:t xml:space="preserve"> or operational</w:t>
      </w:r>
      <w:r w:rsidR="00332B44">
        <w:rPr>
          <w:rFonts w:ascii="Arial" w:hAnsi="Arial" w:cs="Arial"/>
        </w:rPr>
        <w:t xml:space="preserve"> concerns.</w:t>
      </w:r>
      <w:r w:rsidRPr="00C67906">
        <w:rPr>
          <w:rFonts w:ascii="Arial" w:hAnsi="Arial" w:cs="Arial"/>
        </w:rPr>
        <w:t xml:space="preserve"> </w:t>
      </w:r>
      <w:r>
        <w:rPr>
          <w:rFonts w:ascii="Arial" w:hAnsi="Arial" w:cs="Arial"/>
        </w:rPr>
        <w:t xml:space="preserve">There is an opportunity for the contract to be extended for another 12 months </w:t>
      </w:r>
      <w:r w:rsidR="00332B44">
        <w:rPr>
          <w:rFonts w:ascii="Arial" w:hAnsi="Arial" w:cs="Arial"/>
        </w:rPr>
        <w:t xml:space="preserve">after year one </w:t>
      </w:r>
      <w:r>
        <w:rPr>
          <w:rFonts w:ascii="Arial" w:hAnsi="Arial" w:cs="Arial"/>
        </w:rPr>
        <w:t>if both parties are in agreement.</w:t>
      </w:r>
    </w:p>
    <w:p w14:paraId="0418DA76" w14:textId="0D0BB819" w:rsidR="00925825" w:rsidRPr="00C67906" w:rsidRDefault="00925825" w:rsidP="00BF65D4">
      <w:pPr>
        <w:spacing w:after="240" w:line="240" w:lineRule="auto"/>
        <w:jc w:val="both"/>
        <w:rPr>
          <w:rFonts w:ascii="Arial" w:hAnsi="Arial" w:cs="Arial"/>
        </w:rPr>
      </w:pPr>
      <w:r>
        <w:rPr>
          <w:rFonts w:ascii="Arial" w:hAnsi="Arial" w:cs="Arial"/>
        </w:rPr>
        <w:t>A minimum of 4 weeks will be provided for mobilisation from the contract being awarded to the first clinic starting. It is expected that the service will start and the first clinic will take place week commencing the 8</w:t>
      </w:r>
      <w:r w:rsidRPr="00925825">
        <w:rPr>
          <w:rFonts w:ascii="Arial" w:hAnsi="Arial" w:cs="Arial"/>
          <w:vertAlign w:val="superscript"/>
        </w:rPr>
        <w:t>th</w:t>
      </w:r>
      <w:r>
        <w:rPr>
          <w:rFonts w:ascii="Arial" w:hAnsi="Arial" w:cs="Arial"/>
        </w:rPr>
        <w:t xml:space="preserve"> January 2018.</w:t>
      </w:r>
    </w:p>
    <w:p w14:paraId="5E386A39" w14:textId="77777777" w:rsidR="00C67906" w:rsidRDefault="00C67906" w:rsidP="00C67906">
      <w:pPr>
        <w:pStyle w:val="Heading1"/>
      </w:pPr>
      <w:bookmarkStart w:id="23" w:name="_Toc492544884"/>
      <w:r>
        <w:t>Activity &amp; Tariff</w:t>
      </w:r>
      <w:bookmarkEnd w:id="23"/>
    </w:p>
    <w:p w14:paraId="0B511893" w14:textId="3A573069" w:rsidR="00AF7EBE" w:rsidRDefault="00C67906" w:rsidP="00BF65D4">
      <w:pPr>
        <w:pStyle w:val="ListParagraph"/>
        <w:ind w:left="0"/>
        <w:jc w:val="both"/>
        <w:rPr>
          <w:rFonts w:ascii="Arial" w:hAnsi="Arial" w:cs="Arial"/>
        </w:rPr>
      </w:pPr>
      <w:r w:rsidRPr="0008191E">
        <w:rPr>
          <w:rFonts w:ascii="Arial" w:hAnsi="Arial" w:cs="Arial"/>
        </w:rPr>
        <w:t xml:space="preserve">The provider will be expected to deliver 1320 consultant-led new glaucoma outpatient attendances </w:t>
      </w:r>
      <w:r>
        <w:rPr>
          <w:rFonts w:ascii="Arial" w:hAnsi="Arial" w:cs="Arial"/>
        </w:rPr>
        <w:t xml:space="preserve">in year 1. </w:t>
      </w:r>
      <w:r w:rsidR="00AF7EBE">
        <w:rPr>
          <w:rFonts w:ascii="Arial" w:hAnsi="Arial" w:cs="Arial"/>
        </w:rPr>
        <w:t>If there are fewer new patient referrals, the Sub-Contract may be asked to see some of the Trust’s glaucoma follow up patients</w:t>
      </w:r>
      <w:r w:rsidR="00332B44">
        <w:rPr>
          <w:rFonts w:ascii="Arial" w:hAnsi="Arial" w:cs="Arial"/>
        </w:rPr>
        <w:t>.</w:t>
      </w:r>
      <w:r w:rsidR="00AF7EBE">
        <w:rPr>
          <w:rFonts w:ascii="Arial" w:hAnsi="Arial" w:cs="Arial"/>
        </w:rPr>
        <w:t xml:space="preserve"> If there are more than 1320 new patient referrals, the Sub-Contract would be asked whether they had the capacity to see additional new patients above 1320. Any additional patients seen would be paid at the same tariff rate. </w:t>
      </w:r>
    </w:p>
    <w:p w14:paraId="47E01281" w14:textId="77777777" w:rsidR="00AF7EBE" w:rsidRDefault="00AF7EBE" w:rsidP="00BF65D4">
      <w:pPr>
        <w:pStyle w:val="ListParagraph"/>
        <w:ind w:left="0"/>
        <w:jc w:val="both"/>
        <w:rPr>
          <w:rFonts w:ascii="Arial" w:hAnsi="Arial" w:cs="Arial"/>
        </w:rPr>
      </w:pPr>
    </w:p>
    <w:p w14:paraId="35500318" w14:textId="41287367" w:rsidR="00C67906" w:rsidRPr="0008191E" w:rsidRDefault="00C67906" w:rsidP="00BF65D4">
      <w:pPr>
        <w:pStyle w:val="ListParagraph"/>
        <w:ind w:left="0"/>
        <w:jc w:val="both"/>
        <w:rPr>
          <w:rFonts w:ascii="Arial" w:hAnsi="Arial" w:cs="Arial"/>
        </w:rPr>
      </w:pPr>
      <w:r>
        <w:rPr>
          <w:rFonts w:ascii="Arial" w:hAnsi="Arial" w:cs="Arial"/>
        </w:rPr>
        <w:t xml:space="preserve">The number of follow up patients seen will depend on each patient’s needs following their initial assessment. </w:t>
      </w:r>
      <w:r w:rsidRPr="0008191E">
        <w:rPr>
          <w:rFonts w:ascii="Arial" w:hAnsi="Arial" w:cs="Arial"/>
        </w:rPr>
        <w:t xml:space="preserve">The Sub-Contractor’s New to Follow Ratio will </w:t>
      </w:r>
      <w:r>
        <w:rPr>
          <w:rFonts w:ascii="Arial" w:hAnsi="Arial" w:cs="Arial"/>
        </w:rPr>
        <w:t xml:space="preserve">be </w:t>
      </w:r>
      <w:r w:rsidRPr="0008191E">
        <w:rPr>
          <w:rFonts w:ascii="Arial" w:hAnsi="Arial" w:cs="Arial"/>
        </w:rPr>
        <w:t>expected to be no greater than the West Midland average for Ophthalmology at 1 New to 2.43 Follow Ups.</w:t>
      </w:r>
      <w:r>
        <w:rPr>
          <w:rFonts w:ascii="Arial" w:hAnsi="Arial" w:cs="Arial"/>
        </w:rPr>
        <w:t xml:space="preserve"> This specification estimates that the number of follow ups in year 1 will be 1,070.</w:t>
      </w:r>
    </w:p>
    <w:p w14:paraId="59938942" w14:textId="77777777" w:rsidR="00C67906" w:rsidRDefault="00C67906" w:rsidP="00BF65D4">
      <w:pPr>
        <w:pStyle w:val="ListParagraph"/>
        <w:ind w:left="0"/>
        <w:jc w:val="both"/>
        <w:rPr>
          <w:rFonts w:ascii="Arial" w:hAnsi="Arial" w:cs="Arial"/>
        </w:rPr>
      </w:pPr>
    </w:p>
    <w:p w14:paraId="10FE0AA1" w14:textId="5F600B44" w:rsidR="00C67906" w:rsidRDefault="00C67906" w:rsidP="00BF65D4">
      <w:pPr>
        <w:pStyle w:val="ListParagraph"/>
        <w:ind w:left="0"/>
        <w:jc w:val="both"/>
        <w:rPr>
          <w:rFonts w:ascii="Arial" w:hAnsi="Arial" w:cs="Arial"/>
        </w:rPr>
      </w:pPr>
      <w:r>
        <w:rPr>
          <w:rFonts w:ascii="Arial" w:hAnsi="Arial" w:cs="Arial"/>
        </w:rPr>
        <w:t>The activity level</w:t>
      </w:r>
      <w:r w:rsidR="00332B44">
        <w:rPr>
          <w:rFonts w:ascii="Arial" w:hAnsi="Arial" w:cs="Arial"/>
        </w:rPr>
        <w:t>s in year 2 are not guaranteed and will be</w:t>
      </w:r>
      <w:r>
        <w:rPr>
          <w:rFonts w:ascii="Arial" w:hAnsi="Arial" w:cs="Arial"/>
        </w:rPr>
        <w:t xml:space="preserve"> contingent on both parties agreeing to extend the contract after year 1.</w:t>
      </w:r>
      <w:r w:rsidR="00AF7EBE">
        <w:rPr>
          <w:rFonts w:ascii="Arial" w:hAnsi="Arial" w:cs="Arial"/>
        </w:rPr>
        <w:t xml:space="preserve"> </w:t>
      </w:r>
    </w:p>
    <w:p w14:paraId="48F8DF32" w14:textId="77777777" w:rsidR="00C67906" w:rsidRPr="0008191E" w:rsidRDefault="00C67906" w:rsidP="00BF65D4">
      <w:pPr>
        <w:pStyle w:val="ListParagraph"/>
        <w:ind w:left="0"/>
        <w:jc w:val="both"/>
        <w:rPr>
          <w:rFonts w:ascii="Arial" w:hAnsi="Arial" w:cs="Arial"/>
        </w:rPr>
      </w:pPr>
    </w:p>
    <w:p w14:paraId="380D2990" w14:textId="6D1D0F80" w:rsidR="00CC4D60" w:rsidRDefault="00C67906" w:rsidP="00BF65D4">
      <w:pPr>
        <w:pStyle w:val="ListParagraph"/>
        <w:ind w:left="0"/>
        <w:jc w:val="both"/>
        <w:rPr>
          <w:rFonts w:ascii="Arial" w:hAnsi="Arial" w:cs="Arial"/>
        </w:rPr>
      </w:pPr>
      <w:r w:rsidRPr="0008191E">
        <w:rPr>
          <w:rFonts w:ascii="Arial" w:hAnsi="Arial" w:cs="Arial"/>
        </w:rPr>
        <w:t xml:space="preserve">The maximum tariff which will be </w:t>
      </w:r>
      <w:r w:rsidR="00F85984">
        <w:rPr>
          <w:rFonts w:ascii="Arial" w:hAnsi="Arial" w:cs="Arial"/>
        </w:rPr>
        <w:t>paid to the Sub-Contractor is 85</w:t>
      </w:r>
      <w:r w:rsidRPr="0008191E">
        <w:rPr>
          <w:rFonts w:ascii="Arial" w:hAnsi="Arial" w:cs="Arial"/>
        </w:rPr>
        <w:t xml:space="preserve">% of the </w:t>
      </w:r>
      <w:r w:rsidR="00F85984">
        <w:rPr>
          <w:rFonts w:ascii="Arial" w:hAnsi="Arial" w:cs="Arial"/>
        </w:rPr>
        <w:t xml:space="preserve">current national tariff for ophthalmology outpatient attendances </w:t>
      </w:r>
      <w:r w:rsidRPr="0008191E">
        <w:rPr>
          <w:rFonts w:ascii="Arial" w:hAnsi="Arial" w:cs="Arial"/>
        </w:rPr>
        <w:t>(WF01B First A</w:t>
      </w:r>
      <w:r w:rsidR="00F85984">
        <w:rPr>
          <w:rFonts w:ascii="Arial" w:hAnsi="Arial" w:cs="Arial"/>
        </w:rPr>
        <w:t xml:space="preserve">ttendance – Single Professional, </w:t>
      </w:r>
      <w:r w:rsidRPr="0008191E">
        <w:rPr>
          <w:rFonts w:ascii="Arial" w:hAnsi="Arial" w:cs="Arial"/>
        </w:rPr>
        <w:t xml:space="preserve">WF01A Follow </w:t>
      </w:r>
      <w:proofErr w:type="gramStart"/>
      <w:r w:rsidRPr="0008191E">
        <w:rPr>
          <w:rFonts w:ascii="Arial" w:hAnsi="Arial" w:cs="Arial"/>
        </w:rPr>
        <w:t>Up</w:t>
      </w:r>
      <w:proofErr w:type="gramEnd"/>
      <w:r w:rsidRPr="0008191E">
        <w:rPr>
          <w:rFonts w:ascii="Arial" w:hAnsi="Arial" w:cs="Arial"/>
        </w:rPr>
        <w:t xml:space="preserve"> Attendance – Single Profes</w:t>
      </w:r>
      <w:r w:rsidR="0026644D">
        <w:rPr>
          <w:rFonts w:ascii="Arial" w:hAnsi="Arial" w:cs="Arial"/>
        </w:rPr>
        <w:t>sional</w:t>
      </w:r>
      <w:r w:rsidR="00F85984">
        <w:rPr>
          <w:rFonts w:ascii="Arial" w:hAnsi="Arial" w:cs="Arial"/>
        </w:rPr>
        <w:t xml:space="preserve"> and Outpatient Procedure Attendance Tariffs</w:t>
      </w:r>
      <w:r w:rsidR="0026644D">
        <w:rPr>
          <w:rFonts w:ascii="Arial" w:hAnsi="Arial" w:cs="Arial"/>
        </w:rPr>
        <w:t xml:space="preserve">). </w:t>
      </w:r>
    </w:p>
    <w:p w14:paraId="64014B26" w14:textId="77777777" w:rsidR="00CC4D60" w:rsidRDefault="00CC4D60" w:rsidP="00BF65D4">
      <w:pPr>
        <w:pStyle w:val="ListParagraph"/>
        <w:ind w:left="0"/>
        <w:jc w:val="both"/>
        <w:rPr>
          <w:rFonts w:ascii="Arial" w:hAnsi="Arial" w:cs="Arial"/>
        </w:rPr>
      </w:pPr>
    </w:p>
    <w:p w14:paraId="47D9B6F8" w14:textId="7E891CA6" w:rsidR="00D13132" w:rsidRDefault="0026644D" w:rsidP="00BF65D4">
      <w:pPr>
        <w:pStyle w:val="ListParagraph"/>
        <w:ind w:left="0"/>
        <w:jc w:val="both"/>
        <w:rPr>
          <w:rFonts w:ascii="Arial" w:hAnsi="Arial" w:cs="Arial"/>
        </w:rPr>
      </w:pPr>
      <w:r>
        <w:rPr>
          <w:rFonts w:ascii="Arial" w:hAnsi="Arial" w:cs="Arial"/>
        </w:rPr>
        <w:t>Wh</w:t>
      </w:r>
      <w:r w:rsidR="00CC4D60">
        <w:rPr>
          <w:rFonts w:ascii="Arial" w:hAnsi="Arial" w:cs="Arial"/>
        </w:rPr>
        <w:t>ere a clinic outcome triggers an Outpatient Procedure Attendance</w:t>
      </w:r>
      <w:r>
        <w:rPr>
          <w:rFonts w:ascii="Arial" w:hAnsi="Arial" w:cs="Arial"/>
        </w:rPr>
        <w:t>, the Sub-Contract</w:t>
      </w:r>
      <w:r w:rsidR="00CC4D60">
        <w:rPr>
          <w:rFonts w:ascii="Arial" w:hAnsi="Arial" w:cs="Arial"/>
        </w:rPr>
        <w:t>or</w:t>
      </w:r>
      <w:r>
        <w:rPr>
          <w:rFonts w:ascii="Arial" w:hAnsi="Arial" w:cs="Arial"/>
        </w:rPr>
        <w:t xml:space="preserve"> will </w:t>
      </w:r>
      <w:r w:rsidR="00F85984">
        <w:rPr>
          <w:rFonts w:ascii="Arial" w:hAnsi="Arial" w:cs="Arial"/>
        </w:rPr>
        <w:t>be paid up to a maximum of 85</w:t>
      </w:r>
      <w:r>
        <w:rPr>
          <w:rFonts w:ascii="Arial" w:hAnsi="Arial" w:cs="Arial"/>
        </w:rPr>
        <w:t xml:space="preserve">% of </w:t>
      </w:r>
      <w:r w:rsidR="00CC4D60">
        <w:rPr>
          <w:rFonts w:ascii="Arial" w:hAnsi="Arial" w:cs="Arial"/>
        </w:rPr>
        <w:t xml:space="preserve">the Outpatient Procedure Attendance tariff triggered. </w:t>
      </w:r>
      <w:r w:rsidR="00D13132">
        <w:rPr>
          <w:rFonts w:ascii="Arial" w:hAnsi="Arial" w:cs="Arial"/>
        </w:rPr>
        <w:t>The</w:t>
      </w:r>
      <w:r w:rsidR="00CC4D60">
        <w:rPr>
          <w:rFonts w:ascii="Arial" w:hAnsi="Arial" w:cs="Arial"/>
        </w:rPr>
        <w:t xml:space="preserve"> Outpatient Procedure Attendance tariff </w:t>
      </w:r>
      <w:r w:rsidR="00D13132">
        <w:rPr>
          <w:rFonts w:ascii="Arial" w:hAnsi="Arial" w:cs="Arial"/>
        </w:rPr>
        <w:t xml:space="preserve">triggered </w:t>
      </w:r>
      <w:r w:rsidR="00CC4D60">
        <w:rPr>
          <w:rFonts w:ascii="Arial" w:hAnsi="Arial" w:cs="Arial"/>
        </w:rPr>
        <w:t xml:space="preserve">will depend on the procedure undertaken </w:t>
      </w:r>
      <w:r w:rsidR="00D13132">
        <w:rPr>
          <w:rFonts w:ascii="Arial" w:hAnsi="Arial" w:cs="Arial"/>
        </w:rPr>
        <w:t xml:space="preserve">and </w:t>
      </w:r>
      <w:r w:rsidR="00CC4D60">
        <w:rPr>
          <w:rFonts w:ascii="Arial" w:hAnsi="Arial" w:cs="Arial"/>
        </w:rPr>
        <w:t>documented on the Clinical Outcome Form.</w:t>
      </w:r>
      <w:r w:rsidR="00D13132" w:rsidRPr="00D13132">
        <w:rPr>
          <w:rFonts w:ascii="Arial" w:hAnsi="Arial" w:cs="Arial"/>
        </w:rPr>
        <w:t xml:space="preserve"> </w:t>
      </w:r>
    </w:p>
    <w:p w14:paraId="58C537DD" w14:textId="77777777" w:rsidR="00D13132" w:rsidRDefault="00D13132" w:rsidP="00BF65D4">
      <w:pPr>
        <w:pStyle w:val="ListParagraph"/>
        <w:ind w:left="0"/>
        <w:jc w:val="both"/>
        <w:rPr>
          <w:rFonts w:ascii="Arial" w:hAnsi="Arial" w:cs="Arial"/>
        </w:rPr>
      </w:pPr>
    </w:p>
    <w:p w14:paraId="7587708B" w14:textId="02DFDC04" w:rsidR="00CC4D60" w:rsidRDefault="00CC4D60" w:rsidP="00BF65D4">
      <w:pPr>
        <w:pStyle w:val="ListParagraph"/>
        <w:ind w:left="0"/>
        <w:jc w:val="both"/>
        <w:rPr>
          <w:rFonts w:ascii="Arial" w:hAnsi="Arial" w:cs="Arial"/>
        </w:rPr>
      </w:pPr>
      <w:r>
        <w:rPr>
          <w:rFonts w:ascii="Arial" w:hAnsi="Arial" w:cs="Arial"/>
        </w:rPr>
        <w:t>When an Outpatient Procedure Attendance is triggered, the Sub-Contractor will be paid for the Outpatient Procedure Att</w:t>
      </w:r>
      <w:r w:rsidR="00F85984">
        <w:rPr>
          <w:rFonts w:ascii="Arial" w:hAnsi="Arial" w:cs="Arial"/>
        </w:rPr>
        <w:t xml:space="preserve">endance only and not </w:t>
      </w:r>
      <w:proofErr w:type="gramStart"/>
      <w:r w:rsidR="00F85984">
        <w:rPr>
          <w:rFonts w:ascii="Arial" w:hAnsi="Arial" w:cs="Arial"/>
        </w:rPr>
        <w:t>both a New or</w:t>
      </w:r>
      <w:proofErr w:type="gramEnd"/>
      <w:r w:rsidR="00F85984">
        <w:rPr>
          <w:rFonts w:ascii="Arial" w:hAnsi="Arial" w:cs="Arial"/>
        </w:rPr>
        <w:t xml:space="preserve"> </w:t>
      </w:r>
      <w:r>
        <w:rPr>
          <w:rFonts w:ascii="Arial" w:hAnsi="Arial" w:cs="Arial"/>
        </w:rPr>
        <w:t xml:space="preserve">Follow up Attendance and an Outpatient Procedure Attendance. </w:t>
      </w:r>
    </w:p>
    <w:p w14:paraId="4EFC6F47" w14:textId="77777777" w:rsidR="00CC4D60" w:rsidRDefault="00CC4D60" w:rsidP="00BF65D4">
      <w:pPr>
        <w:pStyle w:val="ListParagraph"/>
        <w:ind w:left="0"/>
        <w:jc w:val="both"/>
        <w:rPr>
          <w:rFonts w:ascii="Arial" w:hAnsi="Arial" w:cs="Arial"/>
        </w:rPr>
      </w:pPr>
    </w:p>
    <w:p w14:paraId="01AD42D6" w14:textId="7A28A39A" w:rsidR="00CC4D60" w:rsidRDefault="00CC4D60" w:rsidP="00BF65D4">
      <w:pPr>
        <w:pStyle w:val="ListParagraph"/>
        <w:ind w:left="0"/>
        <w:jc w:val="both"/>
        <w:rPr>
          <w:rFonts w:ascii="Arial" w:hAnsi="Arial" w:cs="Arial"/>
        </w:rPr>
      </w:pPr>
      <w:r>
        <w:rPr>
          <w:rFonts w:ascii="Arial" w:hAnsi="Arial" w:cs="Arial"/>
        </w:rPr>
        <w:t>The Sub</w:t>
      </w:r>
      <w:r w:rsidR="000712B3">
        <w:rPr>
          <w:rFonts w:ascii="Arial" w:hAnsi="Arial" w:cs="Arial"/>
        </w:rPr>
        <w:t>-Contractor can only claim one a</w:t>
      </w:r>
      <w:r>
        <w:rPr>
          <w:rFonts w:ascii="Arial" w:hAnsi="Arial" w:cs="Arial"/>
        </w:rPr>
        <w:t xml:space="preserve">ttendance tariff per patient per day, regardless of the number of clinicians involved in the patient’s care, diagnostics or procedures undertaken. </w:t>
      </w:r>
    </w:p>
    <w:p w14:paraId="322DFE7E" w14:textId="77777777" w:rsidR="00692192" w:rsidRDefault="00692192" w:rsidP="00BF65D4">
      <w:pPr>
        <w:pStyle w:val="ListParagraph"/>
        <w:ind w:left="0"/>
        <w:jc w:val="both"/>
        <w:rPr>
          <w:rFonts w:ascii="Arial" w:hAnsi="Arial" w:cs="Arial"/>
        </w:rPr>
      </w:pPr>
    </w:p>
    <w:p w14:paraId="2988F002" w14:textId="31198EA8" w:rsidR="00692192" w:rsidRDefault="00692192" w:rsidP="00BF65D4">
      <w:pPr>
        <w:pStyle w:val="ListParagraph"/>
        <w:ind w:left="0"/>
        <w:jc w:val="both"/>
        <w:rPr>
          <w:rFonts w:ascii="Arial" w:hAnsi="Arial" w:cs="Arial"/>
        </w:rPr>
      </w:pPr>
      <w:r w:rsidRPr="00692192">
        <w:rPr>
          <w:rFonts w:ascii="Arial" w:hAnsi="Arial" w:cs="Arial"/>
        </w:rPr>
        <w:t>There are typically 8 HRG Outpatient Procedure tariffs triggered for Ophthalmology appointments at UHBFT. The Sub-Contractor will be paid up to a maximum of 85% of the current national tariff for the actual outpatient procedure HRG triggered.</w:t>
      </w:r>
    </w:p>
    <w:p w14:paraId="5A9D4339" w14:textId="77777777" w:rsidR="0026644D" w:rsidRDefault="0026644D" w:rsidP="00BF65D4">
      <w:pPr>
        <w:pStyle w:val="ListParagraph"/>
        <w:ind w:left="0"/>
        <w:jc w:val="both"/>
        <w:rPr>
          <w:rFonts w:ascii="Arial" w:hAnsi="Arial" w:cs="Arial"/>
        </w:rPr>
      </w:pPr>
    </w:p>
    <w:p w14:paraId="7CBE4268" w14:textId="52396185" w:rsidR="00CC4D60" w:rsidRDefault="0026644D" w:rsidP="00BF65D4">
      <w:pPr>
        <w:pStyle w:val="ListParagraph"/>
        <w:ind w:left="0"/>
        <w:jc w:val="both"/>
        <w:rPr>
          <w:rFonts w:ascii="Arial" w:hAnsi="Arial" w:cs="Arial"/>
        </w:rPr>
      </w:pPr>
      <w:r>
        <w:rPr>
          <w:rFonts w:ascii="Arial" w:hAnsi="Arial" w:cs="Arial"/>
        </w:rPr>
        <w:t>N</w:t>
      </w:r>
      <w:r w:rsidR="00C67906" w:rsidRPr="0008191E">
        <w:rPr>
          <w:rFonts w:ascii="Arial" w:hAnsi="Arial" w:cs="Arial"/>
        </w:rPr>
        <w:t xml:space="preserve">o Market Forces Factor </w:t>
      </w:r>
      <w:r w:rsidR="00CC4D60">
        <w:rPr>
          <w:rFonts w:ascii="Arial" w:hAnsi="Arial" w:cs="Arial"/>
        </w:rPr>
        <w:t xml:space="preserve">will be </w:t>
      </w:r>
      <w:r w:rsidR="00C67906" w:rsidRPr="0008191E">
        <w:rPr>
          <w:rFonts w:ascii="Arial" w:hAnsi="Arial" w:cs="Arial"/>
        </w:rPr>
        <w:t xml:space="preserve">applied. </w:t>
      </w:r>
    </w:p>
    <w:p w14:paraId="553C716B" w14:textId="77777777" w:rsidR="00CC4D60" w:rsidRDefault="00CC4D60" w:rsidP="00BF65D4">
      <w:pPr>
        <w:pStyle w:val="ListParagraph"/>
        <w:ind w:left="0"/>
        <w:jc w:val="both"/>
        <w:rPr>
          <w:rFonts w:ascii="Arial" w:hAnsi="Arial" w:cs="Arial"/>
        </w:rPr>
      </w:pPr>
    </w:p>
    <w:p w14:paraId="0C058524" w14:textId="7C850C16" w:rsidR="00C67906" w:rsidRPr="0008191E" w:rsidRDefault="00C67906" w:rsidP="00BF65D4">
      <w:pPr>
        <w:pStyle w:val="ListParagraph"/>
        <w:ind w:left="0"/>
        <w:jc w:val="both"/>
        <w:rPr>
          <w:rFonts w:ascii="Arial" w:hAnsi="Arial" w:cs="Arial"/>
        </w:rPr>
      </w:pPr>
      <w:r w:rsidRPr="0008191E">
        <w:rPr>
          <w:rFonts w:ascii="Arial" w:hAnsi="Arial" w:cs="Arial"/>
        </w:rPr>
        <w:t xml:space="preserve">Potential Sub-Contractors can choose to tender for a tariff lower than </w:t>
      </w:r>
      <w:r w:rsidR="0073643D">
        <w:rPr>
          <w:rFonts w:ascii="Arial" w:hAnsi="Arial" w:cs="Arial"/>
        </w:rPr>
        <w:t>85</w:t>
      </w:r>
      <w:r w:rsidRPr="0008191E">
        <w:rPr>
          <w:rFonts w:ascii="Arial" w:hAnsi="Arial" w:cs="Arial"/>
        </w:rPr>
        <w:t>%.</w:t>
      </w:r>
    </w:p>
    <w:p w14:paraId="4AD17997" w14:textId="77777777" w:rsidR="00C67906" w:rsidRDefault="00C67906" w:rsidP="00BF65D4">
      <w:pPr>
        <w:pStyle w:val="ListParagraph"/>
        <w:jc w:val="both"/>
        <w:rPr>
          <w:rFonts w:ascii="Arial" w:hAnsi="Arial" w:cs="Arial"/>
        </w:rPr>
      </w:pPr>
    </w:p>
    <w:p w14:paraId="1F8CB367" w14:textId="77777777" w:rsidR="00447B9A" w:rsidRDefault="00447B9A" w:rsidP="00BF65D4">
      <w:pPr>
        <w:pStyle w:val="ListParagraph"/>
        <w:jc w:val="both"/>
        <w:rPr>
          <w:rFonts w:ascii="Arial" w:hAnsi="Arial" w:cs="Arial"/>
        </w:rPr>
      </w:pPr>
    </w:p>
    <w:p w14:paraId="73CB39ED" w14:textId="77777777" w:rsidR="00447B9A" w:rsidRPr="0008191E" w:rsidRDefault="00447B9A" w:rsidP="00BF65D4">
      <w:pPr>
        <w:pStyle w:val="ListParagraph"/>
        <w:jc w:val="both"/>
        <w:rPr>
          <w:rFonts w:ascii="Arial" w:hAnsi="Arial" w:cs="Arial"/>
        </w:rPr>
      </w:pPr>
    </w:p>
    <w:p w14:paraId="509046C4" w14:textId="77777777" w:rsidR="00C67906" w:rsidRPr="0008191E" w:rsidRDefault="00C67906" w:rsidP="00BF65D4">
      <w:pPr>
        <w:pStyle w:val="ListParagraph"/>
        <w:rPr>
          <w:rFonts w:ascii="Arial" w:hAnsi="Arial" w:cs="Arial"/>
          <w:u w:val="single"/>
        </w:rPr>
      </w:pPr>
      <w:r w:rsidRPr="0008191E">
        <w:rPr>
          <w:rFonts w:ascii="Arial" w:hAnsi="Arial" w:cs="Arial"/>
          <w:u w:val="single"/>
        </w:rPr>
        <w:t>Year 1</w:t>
      </w:r>
    </w:p>
    <w:tbl>
      <w:tblPr>
        <w:tblpPr w:leftFromText="180" w:rightFromText="180" w:vertAnchor="text" w:horzAnchor="page" w:tblpX="2413" w:tblpY="198"/>
        <w:tblW w:w="4077" w:type="dxa"/>
        <w:tblInd w:w="-131" w:type="dxa"/>
        <w:tblLook w:val="04A0" w:firstRow="1" w:lastRow="0" w:firstColumn="1" w:lastColumn="0" w:noHBand="0" w:noVBand="1"/>
      </w:tblPr>
      <w:tblGrid>
        <w:gridCol w:w="2518"/>
        <w:gridCol w:w="1559"/>
      </w:tblGrid>
      <w:tr w:rsidR="0073643D" w:rsidRPr="000712B3" w14:paraId="6AAAADD2"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511F019" w14:textId="77777777" w:rsidR="0073643D" w:rsidRPr="00BF65D4" w:rsidRDefault="0073643D" w:rsidP="000712B3">
            <w:pPr>
              <w:spacing w:after="0" w:line="240" w:lineRule="auto"/>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C34DAAE" w14:textId="56AE29A7" w:rsidR="0073643D" w:rsidRPr="00BF65D4" w:rsidRDefault="0073643D" w:rsidP="000712B3">
            <w:pPr>
              <w:spacing w:after="0" w:line="240" w:lineRule="auto"/>
              <w:jc w:val="center"/>
              <w:rPr>
                <w:rFonts w:ascii="Arial" w:eastAsia="Times New Roman" w:hAnsi="Arial" w:cs="Arial"/>
                <w:color w:val="000000"/>
                <w:lang w:eastAsia="en-GB"/>
              </w:rPr>
            </w:pPr>
            <w:r w:rsidRPr="00BF65D4">
              <w:rPr>
                <w:rFonts w:ascii="Arial" w:eastAsia="Times New Roman" w:hAnsi="Arial" w:cs="Arial"/>
                <w:color w:val="000000"/>
                <w:lang w:eastAsia="en-GB"/>
              </w:rPr>
              <w:t>Estimated Annual Activity</w:t>
            </w:r>
          </w:p>
        </w:tc>
      </w:tr>
      <w:tr w:rsidR="00692192" w:rsidRPr="000712B3" w14:paraId="4CCD25E4"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0997A4A" w14:textId="179A21B4" w:rsidR="00692192" w:rsidRPr="00BF65D4" w:rsidRDefault="00692192" w:rsidP="000712B3">
            <w:pPr>
              <w:spacing w:after="0" w:line="240" w:lineRule="auto"/>
              <w:rPr>
                <w:rFonts w:ascii="Arial" w:eastAsia="Times New Roman" w:hAnsi="Arial" w:cs="Arial"/>
                <w:color w:val="000000"/>
                <w:lang w:eastAsia="en-GB"/>
              </w:rPr>
            </w:pPr>
            <w:r w:rsidRPr="00BF65D4">
              <w:rPr>
                <w:rFonts w:ascii="Arial" w:hAnsi="Arial" w:cs="Arial"/>
              </w:rPr>
              <w:t>New</w:t>
            </w:r>
          </w:p>
        </w:tc>
        <w:tc>
          <w:tcPr>
            <w:tcW w:w="1559" w:type="dxa"/>
            <w:tcBorders>
              <w:top w:val="single" w:sz="4" w:space="0" w:color="auto"/>
              <w:left w:val="nil"/>
              <w:bottom w:val="single" w:sz="4" w:space="0" w:color="auto"/>
              <w:right w:val="single" w:sz="4" w:space="0" w:color="auto"/>
            </w:tcBorders>
            <w:shd w:val="clear" w:color="auto" w:fill="auto"/>
            <w:hideMark/>
          </w:tcPr>
          <w:p w14:paraId="4AF56051" w14:textId="0F0BB40F" w:rsidR="00692192" w:rsidRPr="00BF65D4" w:rsidRDefault="00692192" w:rsidP="000712B3">
            <w:pPr>
              <w:spacing w:after="0" w:line="240" w:lineRule="auto"/>
              <w:jc w:val="right"/>
              <w:rPr>
                <w:rFonts w:ascii="Arial" w:eastAsia="Times New Roman" w:hAnsi="Arial" w:cs="Arial"/>
                <w:color w:val="000000"/>
                <w:lang w:eastAsia="en-GB"/>
              </w:rPr>
            </w:pPr>
            <w:r w:rsidRPr="00BF65D4">
              <w:rPr>
                <w:rFonts w:ascii="Arial" w:hAnsi="Arial" w:cs="Arial"/>
              </w:rPr>
              <w:t>1,320</w:t>
            </w:r>
          </w:p>
        </w:tc>
      </w:tr>
      <w:tr w:rsidR="00692192" w:rsidRPr="000712B3" w14:paraId="10F9923E" w14:textId="77777777" w:rsidTr="00BF65D4">
        <w:trPr>
          <w:trHeight w:val="660"/>
        </w:trPr>
        <w:tc>
          <w:tcPr>
            <w:tcW w:w="2518" w:type="dxa"/>
            <w:tcBorders>
              <w:top w:val="nil"/>
              <w:left w:val="single" w:sz="4" w:space="0" w:color="auto"/>
              <w:bottom w:val="single" w:sz="4" w:space="0" w:color="auto"/>
              <w:right w:val="single" w:sz="4" w:space="0" w:color="auto"/>
            </w:tcBorders>
            <w:shd w:val="clear" w:color="auto" w:fill="auto"/>
            <w:hideMark/>
          </w:tcPr>
          <w:p w14:paraId="7533810E" w14:textId="6A70134E" w:rsidR="00692192" w:rsidRPr="00BF65D4" w:rsidRDefault="00692192" w:rsidP="000712B3">
            <w:pPr>
              <w:spacing w:after="0" w:line="240" w:lineRule="auto"/>
              <w:rPr>
                <w:rFonts w:ascii="Arial" w:eastAsia="Times New Roman" w:hAnsi="Arial" w:cs="Arial"/>
                <w:color w:val="000000"/>
                <w:lang w:eastAsia="en-GB"/>
              </w:rPr>
            </w:pPr>
            <w:r w:rsidRPr="00BF65D4">
              <w:rPr>
                <w:rFonts w:ascii="Arial" w:hAnsi="Arial" w:cs="Arial"/>
              </w:rPr>
              <w:t>Follow Up</w:t>
            </w:r>
          </w:p>
        </w:tc>
        <w:tc>
          <w:tcPr>
            <w:tcW w:w="1559" w:type="dxa"/>
            <w:tcBorders>
              <w:top w:val="nil"/>
              <w:left w:val="nil"/>
              <w:bottom w:val="single" w:sz="4" w:space="0" w:color="auto"/>
              <w:right w:val="single" w:sz="4" w:space="0" w:color="auto"/>
            </w:tcBorders>
            <w:shd w:val="clear" w:color="auto" w:fill="auto"/>
            <w:hideMark/>
          </w:tcPr>
          <w:p w14:paraId="53EADF22" w14:textId="68A19883" w:rsidR="00692192" w:rsidRPr="00BF65D4" w:rsidRDefault="00692192" w:rsidP="000712B3">
            <w:pPr>
              <w:spacing w:after="0" w:line="240" w:lineRule="auto"/>
              <w:jc w:val="right"/>
              <w:rPr>
                <w:rFonts w:ascii="Arial" w:eastAsia="Times New Roman" w:hAnsi="Arial" w:cs="Arial"/>
                <w:color w:val="000000"/>
                <w:lang w:eastAsia="en-GB"/>
              </w:rPr>
            </w:pPr>
            <w:r w:rsidRPr="00BF65D4">
              <w:rPr>
                <w:rFonts w:ascii="Arial" w:hAnsi="Arial" w:cs="Arial"/>
              </w:rPr>
              <w:t>1,070</w:t>
            </w:r>
          </w:p>
        </w:tc>
      </w:tr>
    </w:tbl>
    <w:p w14:paraId="023D80AF" w14:textId="77777777" w:rsidR="00C67906" w:rsidRDefault="00C67906" w:rsidP="00BF65D4">
      <w:pPr>
        <w:pStyle w:val="ListParagraph"/>
        <w:jc w:val="center"/>
        <w:rPr>
          <w:rFonts w:ascii="Arial" w:hAnsi="Arial" w:cs="Arial"/>
        </w:rPr>
      </w:pPr>
    </w:p>
    <w:p w14:paraId="69FBF4DE" w14:textId="77777777" w:rsidR="000712B3" w:rsidRPr="0008191E" w:rsidRDefault="000712B3" w:rsidP="00BF65D4">
      <w:pPr>
        <w:pStyle w:val="ListParagraph"/>
        <w:rPr>
          <w:rFonts w:ascii="Arial" w:hAnsi="Arial" w:cs="Arial"/>
        </w:rPr>
      </w:pPr>
    </w:p>
    <w:p w14:paraId="19592EC8" w14:textId="77777777" w:rsidR="000712B3" w:rsidRDefault="000712B3" w:rsidP="00BF65D4">
      <w:pPr>
        <w:pStyle w:val="ListParagraph"/>
        <w:rPr>
          <w:rFonts w:ascii="Arial" w:hAnsi="Arial" w:cs="Arial"/>
          <w:u w:val="single"/>
        </w:rPr>
      </w:pPr>
    </w:p>
    <w:p w14:paraId="0D646CA0" w14:textId="77777777" w:rsidR="000712B3" w:rsidRDefault="000712B3" w:rsidP="00BF65D4">
      <w:pPr>
        <w:pStyle w:val="ListParagraph"/>
        <w:rPr>
          <w:rFonts w:ascii="Arial" w:hAnsi="Arial" w:cs="Arial"/>
          <w:u w:val="single"/>
        </w:rPr>
      </w:pPr>
    </w:p>
    <w:p w14:paraId="60A7F1EB" w14:textId="77777777" w:rsidR="000712B3" w:rsidRDefault="000712B3" w:rsidP="00BF65D4">
      <w:pPr>
        <w:pStyle w:val="ListParagraph"/>
        <w:rPr>
          <w:rFonts w:ascii="Arial" w:hAnsi="Arial" w:cs="Arial"/>
          <w:u w:val="single"/>
        </w:rPr>
      </w:pPr>
    </w:p>
    <w:p w14:paraId="25F89C44" w14:textId="77777777" w:rsidR="000712B3" w:rsidRDefault="000712B3" w:rsidP="00BF65D4">
      <w:pPr>
        <w:pStyle w:val="ListParagraph"/>
        <w:rPr>
          <w:rFonts w:ascii="Arial" w:hAnsi="Arial" w:cs="Arial"/>
          <w:u w:val="single"/>
        </w:rPr>
      </w:pPr>
    </w:p>
    <w:p w14:paraId="4D8F92A7" w14:textId="77777777" w:rsidR="000712B3" w:rsidRDefault="000712B3" w:rsidP="00BF65D4">
      <w:pPr>
        <w:pStyle w:val="ListParagraph"/>
        <w:rPr>
          <w:rFonts w:ascii="Arial" w:hAnsi="Arial" w:cs="Arial"/>
          <w:u w:val="single"/>
        </w:rPr>
      </w:pPr>
    </w:p>
    <w:p w14:paraId="17F9E21E" w14:textId="77777777" w:rsidR="000712B3" w:rsidRDefault="000712B3" w:rsidP="00BF65D4">
      <w:pPr>
        <w:pStyle w:val="ListParagraph"/>
        <w:rPr>
          <w:rFonts w:ascii="Arial" w:hAnsi="Arial" w:cs="Arial"/>
          <w:u w:val="single"/>
        </w:rPr>
      </w:pPr>
    </w:p>
    <w:p w14:paraId="68645D61" w14:textId="77777777" w:rsidR="000712B3" w:rsidRDefault="000712B3" w:rsidP="00BF65D4">
      <w:pPr>
        <w:pStyle w:val="ListParagraph"/>
        <w:rPr>
          <w:rFonts w:ascii="Arial" w:hAnsi="Arial" w:cs="Arial"/>
          <w:u w:val="single"/>
        </w:rPr>
      </w:pPr>
    </w:p>
    <w:p w14:paraId="6D5F5330" w14:textId="77777777" w:rsidR="000712B3" w:rsidRDefault="000712B3" w:rsidP="00BF65D4">
      <w:pPr>
        <w:pStyle w:val="ListParagraph"/>
        <w:rPr>
          <w:rFonts w:ascii="Arial" w:hAnsi="Arial" w:cs="Arial"/>
          <w:u w:val="single"/>
        </w:rPr>
      </w:pPr>
    </w:p>
    <w:p w14:paraId="5C5C73D2" w14:textId="27B58733" w:rsidR="000712B3" w:rsidRPr="000712B3" w:rsidRDefault="00FA2A77" w:rsidP="00BF65D4">
      <w:pPr>
        <w:pStyle w:val="ListParagraph"/>
        <w:rPr>
          <w:rFonts w:ascii="Arial" w:hAnsi="Arial" w:cs="Arial"/>
        </w:rPr>
      </w:pPr>
      <w:r w:rsidRPr="0008191E">
        <w:rPr>
          <w:rFonts w:ascii="Arial" w:hAnsi="Arial" w:cs="Arial"/>
          <w:u w:val="single"/>
        </w:rPr>
        <w:t>Year 2</w:t>
      </w:r>
    </w:p>
    <w:tbl>
      <w:tblPr>
        <w:tblpPr w:leftFromText="180" w:rightFromText="180" w:vertAnchor="text" w:horzAnchor="page" w:tblpX="2349" w:tblpY="60"/>
        <w:tblW w:w="4077" w:type="dxa"/>
        <w:tblInd w:w="-131" w:type="dxa"/>
        <w:tblLook w:val="04A0" w:firstRow="1" w:lastRow="0" w:firstColumn="1" w:lastColumn="0" w:noHBand="0" w:noVBand="1"/>
      </w:tblPr>
      <w:tblGrid>
        <w:gridCol w:w="2518"/>
        <w:gridCol w:w="1559"/>
      </w:tblGrid>
      <w:tr w:rsidR="0073643D" w:rsidRPr="000712B3" w14:paraId="7FBC1EE8"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8BF18C" w14:textId="77777777" w:rsidR="0073643D" w:rsidRPr="0008191E" w:rsidRDefault="0073643D" w:rsidP="0073643D">
            <w:pPr>
              <w:spacing w:after="0" w:line="240" w:lineRule="auto"/>
              <w:rPr>
                <w:rFonts w:ascii="Arial" w:hAnsi="Arial" w:cs="Arial"/>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2BE75DB" w14:textId="77777777" w:rsidR="0073643D" w:rsidRPr="000712B3" w:rsidRDefault="0073643D" w:rsidP="0073643D">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Estimated Annual Activity</w:t>
            </w:r>
          </w:p>
        </w:tc>
      </w:tr>
      <w:tr w:rsidR="00692192" w:rsidRPr="000712B3" w14:paraId="2209DD35" w14:textId="77777777" w:rsidTr="00BF65D4">
        <w:trPr>
          <w:trHeight w:val="66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1F242CB" w14:textId="65C86816" w:rsidR="00692192" w:rsidRPr="00BF65D4" w:rsidRDefault="00692192" w:rsidP="0073643D">
            <w:pPr>
              <w:spacing w:after="0" w:line="240" w:lineRule="auto"/>
              <w:rPr>
                <w:rFonts w:ascii="Arial" w:eastAsia="Times New Roman" w:hAnsi="Arial" w:cs="Arial"/>
                <w:color w:val="000000"/>
                <w:lang w:eastAsia="en-GB"/>
              </w:rPr>
            </w:pPr>
            <w:r w:rsidRPr="00BF65D4">
              <w:rPr>
                <w:rFonts w:ascii="Arial" w:hAnsi="Arial" w:cs="Arial"/>
              </w:rPr>
              <w:t>New</w:t>
            </w:r>
          </w:p>
        </w:tc>
        <w:tc>
          <w:tcPr>
            <w:tcW w:w="1559" w:type="dxa"/>
            <w:tcBorders>
              <w:top w:val="single" w:sz="4" w:space="0" w:color="auto"/>
              <w:left w:val="nil"/>
              <w:bottom w:val="single" w:sz="4" w:space="0" w:color="auto"/>
              <w:right w:val="single" w:sz="4" w:space="0" w:color="auto"/>
            </w:tcBorders>
            <w:shd w:val="clear" w:color="auto" w:fill="auto"/>
            <w:hideMark/>
          </w:tcPr>
          <w:p w14:paraId="65F924E9" w14:textId="544E03EF" w:rsidR="00692192" w:rsidRPr="00BF65D4" w:rsidRDefault="00692192" w:rsidP="0073643D">
            <w:pPr>
              <w:spacing w:after="0" w:line="240" w:lineRule="auto"/>
              <w:jc w:val="right"/>
              <w:rPr>
                <w:rFonts w:ascii="Arial" w:eastAsia="Times New Roman" w:hAnsi="Arial" w:cs="Arial"/>
                <w:color w:val="000000"/>
                <w:lang w:eastAsia="en-GB"/>
              </w:rPr>
            </w:pPr>
            <w:r w:rsidRPr="00BF65D4">
              <w:rPr>
                <w:rFonts w:ascii="Arial" w:hAnsi="Arial" w:cs="Arial"/>
              </w:rPr>
              <w:t>1,412</w:t>
            </w:r>
          </w:p>
        </w:tc>
      </w:tr>
      <w:tr w:rsidR="00692192" w:rsidRPr="000712B3" w14:paraId="3F7B12CC" w14:textId="77777777" w:rsidTr="00BF65D4">
        <w:trPr>
          <w:trHeight w:val="660"/>
        </w:trPr>
        <w:tc>
          <w:tcPr>
            <w:tcW w:w="2518" w:type="dxa"/>
            <w:tcBorders>
              <w:top w:val="nil"/>
              <w:left w:val="single" w:sz="4" w:space="0" w:color="auto"/>
              <w:bottom w:val="single" w:sz="4" w:space="0" w:color="auto"/>
              <w:right w:val="single" w:sz="4" w:space="0" w:color="auto"/>
            </w:tcBorders>
            <w:shd w:val="clear" w:color="auto" w:fill="auto"/>
            <w:hideMark/>
          </w:tcPr>
          <w:p w14:paraId="6F77F692" w14:textId="3DA98FDC" w:rsidR="00692192" w:rsidRPr="00BF65D4" w:rsidRDefault="00692192" w:rsidP="0073643D">
            <w:pPr>
              <w:spacing w:after="0" w:line="240" w:lineRule="auto"/>
              <w:rPr>
                <w:rFonts w:ascii="Arial" w:eastAsia="Times New Roman" w:hAnsi="Arial" w:cs="Arial"/>
                <w:color w:val="000000"/>
                <w:lang w:eastAsia="en-GB"/>
              </w:rPr>
            </w:pPr>
            <w:r w:rsidRPr="00BF65D4">
              <w:rPr>
                <w:rFonts w:ascii="Arial" w:hAnsi="Arial" w:cs="Arial"/>
              </w:rPr>
              <w:t>Follow Up</w:t>
            </w:r>
          </w:p>
        </w:tc>
        <w:tc>
          <w:tcPr>
            <w:tcW w:w="1559" w:type="dxa"/>
            <w:tcBorders>
              <w:top w:val="nil"/>
              <w:left w:val="nil"/>
              <w:bottom w:val="single" w:sz="4" w:space="0" w:color="auto"/>
              <w:right w:val="single" w:sz="4" w:space="0" w:color="auto"/>
            </w:tcBorders>
            <w:shd w:val="clear" w:color="auto" w:fill="auto"/>
            <w:hideMark/>
          </w:tcPr>
          <w:p w14:paraId="683B2158" w14:textId="2D00B494" w:rsidR="00692192" w:rsidRPr="00BF65D4" w:rsidRDefault="00692192" w:rsidP="0073643D">
            <w:pPr>
              <w:spacing w:after="0" w:line="240" w:lineRule="auto"/>
              <w:jc w:val="right"/>
              <w:rPr>
                <w:rFonts w:ascii="Arial" w:eastAsia="Times New Roman" w:hAnsi="Arial" w:cs="Arial"/>
                <w:color w:val="000000"/>
                <w:lang w:eastAsia="en-GB"/>
              </w:rPr>
            </w:pPr>
            <w:r w:rsidRPr="00BF65D4">
              <w:rPr>
                <w:rFonts w:ascii="Arial" w:hAnsi="Arial" w:cs="Arial"/>
              </w:rPr>
              <w:t>3,750</w:t>
            </w:r>
          </w:p>
        </w:tc>
      </w:tr>
    </w:tbl>
    <w:p w14:paraId="7ED717C6" w14:textId="77777777" w:rsidR="00C67906" w:rsidRDefault="00C67906" w:rsidP="00BF65D4">
      <w:pPr>
        <w:pStyle w:val="ListParagraph"/>
      </w:pPr>
    </w:p>
    <w:p w14:paraId="4902DC17" w14:textId="77777777" w:rsidR="00FA2A77" w:rsidRDefault="00FA2A77" w:rsidP="00BF65D4">
      <w:pPr>
        <w:pStyle w:val="Heading1"/>
        <w:numPr>
          <w:ilvl w:val="0"/>
          <w:numId w:val="0"/>
        </w:numPr>
        <w:ind w:left="589"/>
      </w:pPr>
      <w:bookmarkStart w:id="24" w:name="_Toc492544885"/>
    </w:p>
    <w:p w14:paraId="70CD6AD2" w14:textId="77777777" w:rsidR="00FA2A77" w:rsidRDefault="00FA2A77" w:rsidP="00FA2A77"/>
    <w:p w14:paraId="1387EDC2" w14:textId="77777777" w:rsidR="00FA2A77" w:rsidRDefault="00FA2A77" w:rsidP="00FA2A77"/>
    <w:p w14:paraId="60B8DB81" w14:textId="77777777" w:rsidR="00FA2A77" w:rsidRDefault="00FA2A77" w:rsidP="00FA2A77"/>
    <w:p w14:paraId="1CB806D6" w14:textId="77777777" w:rsidR="00C67906" w:rsidRDefault="00C67906" w:rsidP="00C67906">
      <w:pPr>
        <w:pStyle w:val="Heading1"/>
      </w:pPr>
      <w:r>
        <w:t>Key Performance Indicators</w:t>
      </w:r>
      <w:bookmarkEnd w:id="24"/>
    </w:p>
    <w:p w14:paraId="5AEAF59D" w14:textId="77777777" w:rsidR="00C67906" w:rsidRDefault="00C67906" w:rsidP="00BF65D4">
      <w:pPr>
        <w:pStyle w:val="ListParagraph"/>
        <w:ind w:left="0"/>
        <w:jc w:val="both"/>
        <w:rPr>
          <w:rFonts w:ascii="Arial" w:hAnsi="Arial" w:cs="Arial"/>
        </w:rPr>
      </w:pPr>
      <w:r w:rsidRPr="0008191E">
        <w:rPr>
          <w:rFonts w:ascii="Arial" w:hAnsi="Arial" w:cs="Arial"/>
        </w:rPr>
        <w:t>There are a number of KPIs which the Sub-Contractor will be required to meet. The a</w:t>
      </w:r>
      <w:r>
        <w:rPr>
          <w:rFonts w:ascii="Arial" w:hAnsi="Arial" w:cs="Arial"/>
        </w:rPr>
        <w:t>chievement of these KPIs will</w:t>
      </w:r>
      <w:r w:rsidRPr="0008191E">
        <w:rPr>
          <w:rFonts w:ascii="Arial" w:hAnsi="Arial" w:cs="Arial"/>
        </w:rPr>
        <w:t xml:space="preserve"> also deliver the Sub-Contract additional income as set out in the table below.</w:t>
      </w:r>
      <w:r>
        <w:rPr>
          <w:rFonts w:ascii="Arial" w:hAnsi="Arial" w:cs="Arial"/>
        </w:rPr>
        <w:t xml:space="preserve"> In order to be eligible for the additional income associated with delivery of KPIs, the Sub-Contractor must meet their projected activity targets.</w:t>
      </w:r>
    </w:p>
    <w:tbl>
      <w:tblPr>
        <w:tblStyle w:val="TableGrid"/>
        <w:tblW w:w="8423" w:type="dxa"/>
        <w:tblInd w:w="817" w:type="dxa"/>
        <w:tblLook w:val="04A0" w:firstRow="1" w:lastRow="0" w:firstColumn="1" w:lastColumn="0" w:noHBand="0" w:noVBand="1"/>
      </w:tblPr>
      <w:tblGrid>
        <w:gridCol w:w="2263"/>
        <w:gridCol w:w="4399"/>
        <w:gridCol w:w="1761"/>
      </w:tblGrid>
      <w:tr w:rsidR="00C67906" w14:paraId="2BC6B92E" w14:textId="77777777" w:rsidTr="00C67906">
        <w:tc>
          <w:tcPr>
            <w:tcW w:w="2263" w:type="dxa"/>
            <w:vAlign w:val="center"/>
          </w:tcPr>
          <w:p w14:paraId="02DD78E2" w14:textId="77777777" w:rsidR="00C67906" w:rsidRDefault="00C67906" w:rsidP="00C67906">
            <w:pPr>
              <w:jc w:val="center"/>
              <w:rPr>
                <w:rFonts w:ascii="Arial" w:hAnsi="Arial" w:cs="Arial"/>
              </w:rPr>
            </w:pPr>
            <w:r>
              <w:rPr>
                <w:rFonts w:ascii="Arial" w:hAnsi="Arial" w:cs="Arial"/>
                <w:b/>
              </w:rPr>
              <w:t>KPI</w:t>
            </w:r>
          </w:p>
        </w:tc>
        <w:tc>
          <w:tcPr>
            <w:tcW w:w="4399" w:type="dxa"/>
            <w:vAlign w:val="center"/>
          </w:tcPr>
          <w:p w14:paraId="05731859" w14:textId="77777777" w:rsidR="00C67906" w:rsidRDefault="00C67906" w:rsidP="00C67906">
            <w:pPr>
              <w:jc w:val="center"/>
              <w:rPr>
                <w:rFonts w:ascii="Arial" w:hAnsi="Arial" w:cs="Arial"/>
              </w:rPr>
            </w:pPr>
            <w:r>
              <w:rPr>
                <w:rFonts w:ascii="Arial" w:hAnsi="Arial" w:cs="Arial"/>
                <w:b/>
              </w:rPr>
              <w:t>Target</w:t>
            </w:r>
          </w:p>
        </w:tc>
        <w:tc>
          <w:tcPr>
            <w:tcW w:w="1761" w:type="dxa"/>
            <w:vAlign w:val="center"/>
          </w:tcPr>
          <w:p w14:paraId="2B79C230" w14:textId="77777777" w:rsidR="00C67906" w:rsidRDefault="00C67906" w:rsidP="00C67906">
            <w:pPr>
              <w:pStyle w:val="ListParagraph"/>
              <w:ind w:left="0"/>
              <w:jc w:val="center"/>
              <w:rPr>
                <w:rFonts w:ascii="Arial" w:hAnsi="Arial" w:cs="Arial"/>
                <w:b/>
              </w:rPr>
            </w:pPr>
            <w:r>
              <w:rPr>
                <w:rFonts w:ascii="Arial" w:hAnsi="Arial" w:cs="Arial"/>
                <w:b/>
              </w:rPr>
              <w:t>Income</w:t>
            </w:r>
          </w:p>
          <w:p w14:paraId="791B6A37" w14:textId="587213A8" w:rsidR="00C67906" w:rsidRDefault="00C67906" w:rsidP="00692192">
            <w:pPr>
              <w:jc w:val="center"/>
              <w:rPr>
                <w:rFonts w:ascii="Arial" w:hAnsi="Arial" w:cs="Arial"/>
              </w:rPr>
            </w:pPr>
            <w:r w:rsidRPr="0008191E">
              <w:rPr>
                <w:rFonts w:ascii="Arial" w:hAnsi="Arial" w:cs="Arial"/>
                <w:sz w:val="18"/>
              </w:rPr>
              <w:t xml:space="preserve">(Percentage of WF01B and WF01A Tariffs x Annual Activity) </w:t>
            </w:r>
          </w:p>
        </w:tc>
      </w:tr>
      <w:tr w:rsidR="00C67906" w14:paraId="3031B42C" w14:textId="77777777" w:rsidTr="00C67906">
        <w:tc>
          <w:tcPr>
            <w:tcW w:w="2263" w:type="dxa"/>
            <w:vAlign w:val="center"/>
          </w:tcPr>
          <w:p w14:paraId="01BAD8E1" w14:textId="77777777" w:rsidR="00C67906" w:rsidRDefault="00C67906" w:rsidP="00C67906">
            <w:pPr>
              <w:jc w:val="center"/>
              <w:rPr>
                <w:rFonts w:ascii="Arial" w:hAnsi="Arial" w:cs="Arial"/>
              </w:rPr>
            </w:pPr>
            <w:r>
              <w:rPr>
                <w:rFonts w:ascii="Arial" w:hAnsi="Arial" w:cs="Arial"/>
              </w:rPr>
              <w:t>Clinical Audit</w:t>
            </w:r>
          </w:p>
        </w:tc>
        <w:tc>
          <w:tcPr>
            <w:tcW w:w="4399" w:type="dxa"/>
            <w:vAlign w:val="center"/>
          </w:tcPr>
          <w:p w14:paraId="781EE7EE" w14:textId="77777777" w:rsidR="00C67906" w:rsidRDefault="00C67906" w:rsidP="00C67906">
            <w:pPr>
              <w:jc w:val="center"/>
              <w:rPr>
                <w:rFonts w:ascii="Arial" w:hAnsi="Arial" w:cs="Arial"/>
              </w:rPr>
            </w:pPr>
            <w:r>
              <w:rPr>
                <w:rFonts w:ascii="Arial" w:hAnsi="Arial" w:cs="Arial"/>
              </w:rPr>
              <w:t>Sub-Contractor</w:t>
            </w:r>
            <w:r w:rsidRPr="001878D7">
              <w:rPr>
                <w:rFonts w:ascii="Arial" w:hAnsi="Arial" w:cs="Arial"/>
              </w:rPr>
              <w:t xml:space="preserve"> </w:t>
            </w:r>
            <w:r>
              <w:rPr>
                <w:rFonts w:ascii="Arial" w:hAnsi="Arial" w:cs="Arial"/>
              </w:rPr>
              <w:t>to</w:t>
            </w:r>
            <w:r w:rsidRPr="001878D7">
              <w:rPr>
                <w:rFonts w:ascii="Arial" w:hAnsi="Arial" w:cs="Arial"/>
              </w:rPr>
              <w:t xml:space="preserve"> </w:t>
            </w:r>
            <w:r>
              <w:rPr>
                <w:rFonts w:ascii="Arial" w:hAnsi="Arial" w:cs="Arial"/>
              </w:rPr>
              <w:t>provide and present</w:t>
            </w:r>
            <w:r w:rsidRPr="001878D7">
              <w:rPr>
                <w:rFonts w:ascii="Arial" w:hAnsi="Arial" w:cs="Arial"/>
              </w:rPr>
              <w:t xml:space="preserve"> a </w:t>
            </w:r>
            <w:r>
              <w:rPr>
                <w:rFonts w:ascii="Arial" w:hAnsi="Arial" w:cs="Arial"/>
              </w:rPr>
              <w:t>quarterly</w:t>
            </w:r>
            <w:r w:rsidRPr="001878D7">
              <w:rPr>
                <w:rFonts w:ascii="Arial" w:hAnsi="Arial" w:cs="Arial"/>
              </w:rPr>
              <w:t xml:space="preserve"> clinical audit package </w:t>
            </w:r>
            <w:r>
              <w:rPr>
                <w:rFonts w:ascii="Arial" w:hAnsi="Arial" w:cs="Arial"/>
              </w:rPr>
              <w:t>at UHBFT’s Ophthalmology Clinical Audit and Governance Meeting.</w:t>
            </w:r>
          </w:p>
        </w:tc>
        <w:tc>
          <w:tcPr>
            <w:tcW w:w="1761" w:type="dxa"/>
            <w:vAlign w:val="center"/>
          </w:tcPr>
          <w:p w14:paraId="54B49E82" w14:textId="77777777" w:rsidR="00C67906" w:rsidRDefault="00C67906" w:rsidP="00C67906">
            <w:pPr>
              <w:jc w:val="center"/>
              <w:rPr>
                <w:rFonts w:ascii="Arial" w:hAnsi="Arial" w:cs="Arial"/>
              </w:rPr>
            </w:pPr>
            <w:r>
              <w:rPr>
                <w:rFonts w:ascii="Arial" w:hAnsi="Arial" w:cs="Arial"/>
              </w:rPr>
              <w:t>1%</w:t>
            </w:r>
          </w:p>
        </w:tc>
      </w:tr>
      <w:tr w:rsidR="00C67906" w14:paraId="1C075881" w14:textId="77777777" w:rsidTr="00C67906">
        <w:tc>
          <w:tcPr>
            <w:tcW w:w="2263" w:type="dxa"/>
            <w:vAlign w:val="center"/>
          </w:tcPr>
          <w:p w14:paraId="7DD9D8BE" w14:textId="77777777" w:rsidR="00C67906" w:rsidRDefault="00C67906" w:rsidP="00C67906">
            <w:pPr>
              <w:jc w:val="center"/>
              <w:rPr>
                <w:rFonts w:ascii="Arial" w:hAnsi="Arial" w:cs="Arial"/>
              </w:rPr>
            </w:pPr>
            <w:r>
              <w:rPr>
                <w:rFonts w:ascii="Arial" w:hAnsi="Arial" w:cs="Arial"/>
              </w:rPr>
              <w:t>Patient Satisfaction</w:t>
            </w:r>
          </w:p>
        </w:tc>
        <w:tc>
          <w:tcPr>
            <w:tcW w:w="4399" w:type="dxa"/>
            <w:vAlign w:val="center"/>
          </w:tcPr>
          <w:p w14:paraId="295CEC48" w14:textId="77777777" w:rsidR="00C67906" w:rsidRDefault="00C67906" w:rsidP="00C67906">
            <w:pPr>
              <w:jc w:val="center"/>
              <w:rPr>
                <w:rFonts w:ascii="Arial" w:hAnsi="Arial" w:cs="Arial"/>
              </w:rPr>
            </w:pPr>
            <w:r>
              <w:rPr>
                <w:rFonts w:ascii="Arial" w:hAnsi="Arial" w:cs="Arial"/>
              </w:rPr>
              <w:t>Sub-Contractor to provide and present a quarterly patient satisfaction report at UHBFT’s Ophthalmology Clinical Audit and Governance Meeting.</w:t>
            </w:r>
          </w:p>
        </w:tc>
        <w:tc>
          <w:tcPr>
            <w:tcW w:w="1761" w:type="dxa"/>
            <w:vAlign w:val="center"/>
          </w:tcPr>
          <w:p w14:paraId="6CE1585A" w14:textId="77777777" w:rsidR="00C67906" w:rsidRDefault="00C67906" w:rsidP="00C67906">
            <w:pPr>
              <w:jc w:val="center"/>
              <w:rPr>
                <w:rFonts w:ascii="Arial" w:hAnsi="Arial" w:cs="Arial"/>
              </w:rPr>
            </w:pPr>
            <w:r>
              <w:rPr>
                <w:rFonts w:ascii="Arial" w:hAnsi="Arial" w:cs="Arial"/>
              </w:rPr>
              <w:t>1%</w:t>
            </w:r>
          </w:p>
        </w:tc>
      </w:tr>
      <w:tr w:rsidR="00C67906" w14:paraId="52146F9F" w14:textId="77777777" w:rsidTr="00C67906">
        <w:tc>
          <w:tcPr>
            <w:tcW w:w="2263" w:type="dxa"/>
            <w:vAlign w:val="center"/>
          </w:tcPr>
          <w:p w14:paraId="60DAFE3D" w14:textId="77777777" w:rsidR="00C67906" w:rsidRDefault="00C67906" w:rsidP="00C67906">
            <w:pPr>
              <w:jc w:val="center"/>
              <w:rPr>
                <w:rFonts w:ascii="Arial" w:hAnsi="Arial" w:cs="Arial"/>
              </w:rPr>
            </w:pPr>
            <w:r>
              <w:rPr>
                <w:rFonts w:ascii="Arial" w:hAnsi="Arial" w:cs="Arial"/>
              </w:rPr>
              <w:t>Delivery of RTT 18 weeks unfinished</w:t>
            </w:r>
          </w:p>
        </w:tc>
        <w:tc>
          <w:tcPr>
            <w:tcW w:w="4399" w:type="dxa"/>
            <w:vAlign w:val="center"/>
          </w:tcPr>
          <w:p w14:paraId="4C585EE6" w14:textId="77777777" w:rsidR="00C67906" w:rsidRDefault="00C67906" w:rsidP="00C67906">
            <w:pPr>
              <w:jc w:val="center"/>
              <w:rPr>
                <w:rFonts w:ascii="Arial" w:hAnsi="Arial" w:cs="Arial"/>
              </w:rPr>
            </w:pPr>
            <w:r>
              <w:rPr>
                <w:rFonts w:ascii="Arial" w:hAnsi="Arial" w:cs="Arial"/>
              </w:rPr>
              <w:t>&gt;92.5%</w:t>
            </w:r>
          </w:p>
        </w:tc>
        <w:tc>
          <w:tcPr>
            <w:tcW w:w="1761" w:type="dxa"/>
            <w:vAlign w:val="center"/>
          </w:tcPr>
          <w:p w14:paraId="753D773E" w14:textId="77777777" w:rsidR="00C67906" w:rsidRDefault="00C67906" w:rsidP="00C67906">
            <w:pPr>
              <w:jc w:val="center"/>
              <w:rPr>
                <w:rFonts w:ascii="Arial" w:hAnsi="Arial" w:cs="Arial"/>
              </w:rPr>
            </w:pPr>
            <w:r>
              <w:rPr>
                <w:rFonts w:ascii="Arial" w:hAnsi="Arial" w:cs="Arial"/>
              </w:rPr>
              <w:t>1%</w:t>
            </w:r>
          </w:p>
        </w:tc>
      </w:tr>
      <w:tr w:rsidR="00786CD8" w14:paraId="7690EA7D" w14:textId="77777777" w:rsidTr="00C67906">
        <w:trPr>
          <w:trHeight w:val="490"/>
        </w:trPr>
        <w:tc>
          <w:tcPr>
            <w:tcW w:w="2263" w:type="dxa"/>
            <w:vAlign w:val="center"/>
          </w:tcPr>
          <w:p w14:paraId="6DD82603" w14:textId="3080B479" w:rsidR="00786CD8" w:rsidRDefault="00786CD8" w:rsidP="00C67906">
            <w:pPr>
              <w:jc w:val="center"/>
              <w:rPr>
                <w:rFonts w:ascii="Arial" w:hAnsi="Arial" w:cs="Arial"/>
              </w:rPr>
            </w:pPr>
            <w:r>
              <w:rPr>
                <w:rFonts w:ascii="Arial" w:hAnsi="Arial" w:cs="Arial"/>
              </w:rPr>
              <w:t>Onward referral rate</w:t>
            </w:r>
          </w:p>
        </w:tc>
        <w:tc>
          <w:tcPr>
            <w:tcW w:w="4399" w:type="dxa"/>
            <w:vAlign w:val="center"/>
          </w:tcPr>
          <w:p w14:paraId="183723EC" w14:textId="5498518F" w:rsidR="00786CD8" w:rsidRDefault="00786CD8" w:rsidP="00C67906">
            <w:pPr>
              <w:jc w:val="center"/>
              <w:rPr>
                <w:rFonts w:ascii="Arial" w:hAnsi="Arial" w:cs="Arial"/>
              </w:rPr>
            </w:pPr>
            <w:r>
              <w:rPr>
                <w:rFonts w:ascii="Arial" w:hAnsi="Arial" w:cs="Arial"/>
              </w:rPr>
              <w:t>The onward referral rate to UHBFT will be monitor according to the guidance set out in this specification.</w:t>
            </w:r>
          </w:p>
        </w:tc>
        <w:tc>
          <w:tcPr>
            <w:tcW w:w="1761" w:type="dxa"/>
            <w:vAlign w:val="center"/>
          </w:tcPr>
          <w:p w14:paraId="1669DEB1" w14:textId="7C7E9307" w:rsidR="00786CD8" w:rsidRDefault="00BB2DA5" w:rsidP="00786CD8">
            <w:pPr>
              <w:jc w:val="center"/>
              <w:rPr>
                <w:rFonts w:ascii="Arial" w:hAnsi="Arial" w:cs="Arial"/>
              </w:rPr>
            </w:pPr>
            <w:r>
              <w:rPr>
                <w:rFonts w:ascii="Arial" w:hAnsi="Arial" w:cs="Arial"/>
              </w:rPr>
              <w:t>1</w:t>
            </w:r>
            <w:r w:rsidR="00786CD8">
              <w:rPr>
                <w:rFonts w:ascii="Arial" w:hAnsi="Arial" w:cs="Arial"/>
              </w:rPr>
              <w:t>%</w:t>
            </w:r>
          </w:p>
        </w:tc>
      </w:tr>
      <w:tr w:rsidR="00C67906" w14:paraId="5F3185DA" w14:textId="77777777" w:rsidTr="00C67906">
        <w:trPr>
          <w:trHeight w:val="490"/>
        </w:trPr>
        <w:tc>
          <w:tcPr>
            <w:tcW w:w="2263" w:type="dxa"/>
            <w:vAlign w:val="center"/>
          </w:tcPr>
          <w:p w14:paraId="79B21494" w14:textId="77777777" w:rsidR="00C67906" w:rsidRDefault="00C67906" w:rsidP="00C67906">
            <w:pPr>
              <w:jc w:val="center"/>
              <w:rPr>
                <w:rFonts w:ascii="Arial" w:hAnsi="Arial" w:cs="Arial"/>
              </w:rPr>
            </w:pPr>
            <w:r>
              <w:rPr>
                <w:rFonts w:ascii="Arial" w:hAnsi="Arial" w:cs="Arial"/>
              </w:rPr>
              <w:t>New to Follow Ratio</w:t>
            </w:r>
          </w:p>
        </w:tc>
        <w:tc>
          <w:tcPr>
            <w:tcW w:w="4399" w:type="dxa"/>
            <w:vAlign w:val="center"/>
          </w:tcPr>
          <w:p w14:paraId="3FCC6A40" w14:textId="77777777" w:rsidR="00C67906" w:rsidRDefault="00C67906" w:rsidP="00C67906">
            <w:pPr>
              <w:jc w:val="center"/>
              <w:rPr>
                <w:rFonts w:ascii="Arial" w:hAnsi="Arial" w:cs="Arial"/>
              </w:rPr>
            </w:pPr>
            <w:r>
              <w:rPr>
                <w:rFonts w:ascii="Arial" w:hAnsi="Arial" w:cs="Arial"/>
              </w:rPr>
              <w:t>&lt; 1 to 2.43</w:t>
            </w:r>
          </w:p>
        </w:tc>
        <w:tc>
          <w:tcPr>
            <w:tcW w:w="1761" w:type="dxa"/>
            <w:vAlign w:val="center"/>
          </w:tcPr>
          <w:p w14:paraId="2014F617" w14:textId="1EDB6643" w:rsidR="00C67906" w:rsidRDefault="00BB2DA5" w:rsidP="00786CD8">
            <w:pPr>
              <w:jc w:val="center"/>
              <w:rPr>
                <w:rFonts w:ascii="Arial" w:hAnsi="Arial" w:cs="Arial"/>
              </w:rPr>
            </w:pPr>
            <w:r>
              <w:rPr>
                <w:rFonts w:ascii="Arial" w:hAnsi="Arial" w:cs="Arial"/>
              </w:rPr>
              <w:t>1</w:t>
            </w:r>
            <w:r w:rsidR="00786CD8">
              <w:rPr>
                <w:rFonts w:ascii="Arial" w:hAnsi="Arial" w:cs="Arial"/>
              </w:rPr>
              <w:t>%</w:t>
            </w:r>
          </w:p>
        </w:tc>
      </w:tr>
    </w:tbl>
    <w:p w14:paraId="351BC11E" w14:textId="315629E9" w:rsidR="002C46FF" w:rsidRPr="004A59CA" w:rsidRDefault="002C46FF" w:rsidP="00BF65D4">
      <w:pPr>
        <w:pStyle w:val="Heading2"/>
      </w:pPr>
    </w:p>
    <w:sectPr w:rsidR="002C46FF" w:rsidRPr="004A59C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6F13" w14:textId="77777777" w:rsidR="00CC73AD" w:rsidRDefault="00CC73AD" w:rsidP="00E346DA">
      <w:pPr>
        <w:spacing w:after="0" w:line="240" w:lineRule="auto"/>
      </w:pPr>
      <w:r>
        <w:separator/>
      </w:r>
    </w:p>
  </w:endnote>
  <w:endnote w:type="continuationSeparator" w:id="0">
    <w:p w14:paraId="01376A71" w14:textId="77777777" w:rsidR="00CC73AD" w:rsidRDefault="00CC73AD" w:rsidP="00E3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27686" w14:textId="77777777" w:rsidR="00CC73AD" w:rsidRDefault="00CC7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133405"/>
      <w:docPartObj>
        <w:docPartGallery w:val="Page Numbers (Bottom of Page)"/>
        <w:docPartUnique/>
      </w:docPartObj>
    </w:sdtPr>
    <w:sdtEndPr>
      <w:rPr>
        <w:rFonts w:ascii="Arial" w:hAnsi="Arial" w:cs="Arial"/>
        <w:noProof/>
      </w:rPr>
    </w:sdtEndPr>
    <w:sdtContent>
      <w:p w14:paraId="01F54212" w14:textId="10E0B8F8" w:rsidR="00CC73AD" w:rsidRPr="00447B9A" w:rsidRDefault="00CC73AD">
        <w:pPr>
          <w:pStyle w:val="Footer"/>
          <w:jc w:val="center"/>
          <w:rPr>
            <w:rFonts w:ascii="Arial" w:hAnsi="Arial" w:cs="Arial"/>
          </w:rPr>
        </w:pPr>
        <w:r w:rsidRPr="00447B9A">
          <w:rPr>
            <w:rFonts w:ascii="Arial" w:hAnsi="Arial" w:cs="Arial"/>
          </w:rPr>
          <w:fldChar w:fldCharType="begin"/>
        </w:r>
        <w:r w:rsidRPr="00447B9A">
          <w:rPr>
            <w:rFonts w:ascii="Arial" w:hAnsi="Arial" w:cs="Arial"/>
          </w:rPr>
          <w:instrText xml:space="preserve"> PAGE   \* MERGEFORMAT </w:instrText>
        </w:r>
        <w:r w:rsidRPr="00447B9A">
          <w:rPr>
            <w:rFonts w:ascii="Arial" w:hAnsi="Arial" w:cs="Arial"/>
          </w:rPr>
          <w:fldChar w:fldCharType="separate"/>
        </w:r>
        <w:r w:rsidR="003675A4">
          <w:rPr>
            <w:rFonts w:ascii="Arial" w:hAnsi="Arial" w:cs="Arial"/>
            <w:noProof/>
          </w:rPr>
          <w:t>11</w:t>
        </w:r>
        <w:r w:rsidRPr="00447B9A">
          <w:rPr>
            <w:rFonts w:ascii="Arial" w:hAnsi="Arial" w:cs="Arial"/>
            <w:noProof/>
          </w:rPr>
          <w:fldChar w:fldCharType="end"/>
        </w:r>
      </w:p>
    </w:sdtContent>
  </w:sdt>
  <w:p w14:paraId="31A181A7" w14:textId="77777777" w:rsidR="00CC73AD" w:rsidRDefault="00CC7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C29C2" w14:textId="77777777" w:rsidR="00CC73AD" w:rsidRDefault="00CC7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0067A" w14:textId="77777777" w:rsidR="00CC73AD" w:rsidRDefault="00CC73AD" w:rsidP="00E346DA">
      <w:pPr>
        <w:spacing w:after="0" w:line="240" w:lineRule="auto"/>
      </w:pPr>
      <w:r>
        <w:separator/>
      </w:r>
    </w:p>
  </w:footnote>
  <w:footnote w:type="continuationSeparator" w:id="0">
    <w:p w14:paraId="242D0895" w14:textId="77777777" w:rsidR="00CC73AD" w:rsidRDefault="00CC73AD" w:rsidP="00E346DA">
      <w:pPr>
        <w:spacing w:after="0" w:line="240" w:lineRule="auto"/>
      </w:pPr>
      <w:r>
        <w:continuationSeparator/>
      </w:r>
    </w:p>
  </w:footnote>
  <w:footnote w:id="1">
    <w:p w14:paraId="6858510C" w14:textId="075A4027" w:rsidR="00CC73AD" w:rsidRPr="0072736E" w:rsidRDefault="00CC73AD" w:rsidP="0072736E">
      <w:pPr>
        <w:pStyle w:val="Default"/>
        <w:spacing w:after="240"/>
        <w:rPr>
          <w:b/>
          <w:color w:val="EEECEC"/>
          <w:sz w:val="20"/>
          <w:szCs w:val="20"/>
        </w:rPr>
      </w:pPr>
      <w:r w:rsidRPr="0072736E">
        <w:rPr>
          <w:rStyle w:val="FootnoteReference"/>
          <w:sz w:val="20"/>
          <w:szCs w:val="20"/>
        </w:rPr>
        <w:footnoteRef/>
      </w:r>
      <w:r w:rsidRPr="0072736E">
        <w:rPr>
          <w:sz w:val="20"/>
          <w:szCs w:val="20"/>
        </w:rPr>
        <w:t xml:space="preserve"> Glaucoma: diagnosis and management, </w:t>
      </w:r>
      <w:r w:rsidRPr="0072736E">
        <w:rPr>
          <w:rStyle w:val="prod-title2"/>
          <w:color w:val="0E0E0E"/>
          <w:sz w:val="20"/>
          <w:szCs w:val="20"/>
        </w:rPr>
        <w:t>Clinical guideline [CG85]</w:t>
      </w:r>
      <w:r w:rsidRPr="0072736E">
        <w:rPr>
          <w:color w:val="0E0E0E"/>
          <w:sz w:val="20"/>
          <w:szCs w:val="20"/>
        </w:rPr>
        <w:t xml:space="preserve"> </w:t>
      </w:r>
      <w:r w:rsidRPr="0072736E">
        <w:rPr>
          <w:rStyle w:val="published-date4"/>
          <w:color w:val="0E0E0E"/>
          <w:sz w:val="20"/>
          <w:szCs w:val="20"/>
        </w:rPr>
        <w:t xml:space="preserve">Published date: April 2009. </w:t>
      </w:r>
      <w:hyperlink r:id="rId1" w:history="1">
        <w:r w:rsidRPr="0072736E">
          <w:rPr>
            <w:rStyle w:val="Hyperlink"/>
            <w:sz w:val="20"/>
            <w:szCs w:val="20"/>
          </w:rPr>
          <w:t>https://www.nice.org.uk/guidance/cg85?unlid=601025008201729161225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E73A" w14:textId="77777777" w:rsidR="00CC73AD" w:rsidRDefault="00CC7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06113"/>
      <w:docPartObj>
        <w:docPartGallery w:val="Watermarks"/>
        <w:docPartUnique/>
      </w:docPartObj>
    </w:sdtPr>
    <w:sdtEndPr/>
    <w:sdtContent>
      <w:p w14:paraId="500E1132" w14:textId="2ADD24A0" w:rsidR="00CC73AD" w:rsidRDefault="003675A4" w:rsidP="00E346DA">
        <w:pPr>
          <w:pStyle w:val="Header"/>
          <w:ind w:left="720"/>
          <w:jc w:val="right"/>
        </w:pPr>
        <w:r>
          <w:rPr>
            <w:noProof/>
            <w:lang w:val="en-US" w:eastAsia="zh-TW"/>
          </w:rPr>
          <w:pict w14:anchorId="6B6A4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5AA27" w14:textId="77777777" w:rsidR="00CC73AD" w:rsidRDefault="00CC7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CEE"/>
    <w:multiLevelType w:val="hybridMultilevel"/>
    <w:tmpl w:val="F56E0D9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CEEAA518" w:tentative="1">
      <w:start w:val="1"/>
      <w:numFmt w:val="bullet"/>
      <w:lvlText w:val="•"/>
      <w:lvlJc w:val="left"/>
      <w:pPr>
        <w:tabs>
          <w:tab w:val="num" w:pos="2160"/>
        </w:tabs>
        <w:ind w:left="2160" w:hanging="360"/>
      </w:pPr>
      <w:rPr>
        <w:rFonts w:ascii="Arial" w:hAnsi="Arial" w:hint="default"/>
      </w:rPr>
    </w:lvl>
    <w:lvl w:ilvl="3" w:tplc="2FCE81A2" w:tentative="1">
      <w:start w:val="1"/>
      <w:numFmt w:val="bullet"/>
      <w:lvlText w:val="•"/>
      <w:lvlJc w:val="left"/>
      <w:pPr>
        <w:tabs>
          <w:tab w:val="num" w:pos="2880"/>
        </w:tabs>
        <w:ind w:left="2880" w:hanging="360"/>
      </w:pPr>
      <w:rPr>
        <w:rFonts w:ascii="Arial" w:hAnsi="Arial" w:hint="default"/>
      </w:rPr>
    </w:lvl>
    <w:lvl w:ilvl="4" w:tplc="84647398" w:tentative="1">
      <w:start w:val="1"/>
      <w:numFmt w:val="bullet"/>
      <w:lvlText w:val="•"/>
      <w:lvlJc w:val="left"/>
      <w:pPr>
        <w:tabs>
          <w:tab w:val="num" w:pos="3600"/>
        </w:tabs>
        <w:ind w:left="3600" w:hanging="360"/>
      </w:pPr>
      <w:rPr>
        <w:rFonts w:ascii="Arial" w:hAnsi="Arial" w:hint="default"/>
      </w:rPr>
    </w:lvl>
    <w:lvl w:ilvl="5" w:tplc="2F5E9C8A" w:tentative="1">
      <w:start w:val="1"/>
      <w:numFmt w:val="bullet"/>
      <w:lvlText w:val="•"/>
      <w:lvlJc w:val="left"/>
      <w:pPr>
        <w:tabs>
          <w:tab w:val="num" w:pos="4320"/>
        </w:tabs>
        <w:ind w:left="4320" w:hanging="360"/>
      </w:pPr>
      <w:rPr>
        <w:rFonts w:ascii="Arial" w:hAnsi="Arial" w:hint="default"/>
      </w:rPr>
    </w:lvl>
    <w:lvl w:ilvl="6" w:tplc="04F0CBCE" w:tentative="1">
      <w:start w:val="1"/>
      <w:numFmt w:val="bullet"/>
      <w:lvlText w:val="•"/>
      <w:lvlJc w:val="left"/>
      <w:pPr>
        <w:tabs>
          <w:tab w:val="num" w:pos="5040"/>
        </w:tabs>
        <w:ind w:left="5040" w:hanging="360"/>
      </w:pPr>
      <w:rPr>
        <w:rFonts w:ascii="Arial" w:hAnsi="Arial" w:hint="default"/>
      </w:rPr>
    </w:lvl>
    <w:lvl w:ilvl="7" w:tplc="3C866E82" w:tentative="1">
      <w:start w:val="1"/>
      <w:numFmt w:val="bullet"/>
      <w:lvlText w:val="•"/>
      <w:lvlJc w:val="left"/>
      <w:pPr>
        <w:tabs>
          <w:tab w:val="num" w:pos="5760"/>
        </w:tabs>
        <w:ind w:left="5760" w:hanging="360"/>
      </w:pPr>
      <w:rPr>
        <w:rFonts w:ascii="Arial" w:hAnsi="Arial" w:hint="default"/>
      </w:rPr>
    </w:lvl>
    <w:lvl w:ilvl="8" w:tplc="03C4CF5C" w:tentative="1">
      <w:start w:val="1"/>
      <w:numFmt w:val="bullet"/>
      <w:lvlText w:val="•"/>
      <w:lvlJc w:val="left"/>
      <w:pPr>
        <w:tabs>
          <w:tab w:val="num" w:pos="6480"/>
        </w:tabs>
        <w:ind w:left="6480" w:hanging="360"/>
      </w:pPr>
      <w:rPr>
        <w:rFonts w:ascii="Arial" w:hAnsi="Arial" w:hint="default"/>
      </w:rPr>
    </w:lvl>
  </w:abstractNum>
  <w:abstractNum w:abstractNumId="1">
    <w:nsid w:val="090A07E9"/>
    <w:multiLevelType w:val="multilevel"/>
    <w:tmpl w:val="C606924C"/>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pStyle w:val="Heading3"/>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A6D2A4A"/>
    <w:multiLevelType w:val="multilevel"/>
    <w:tmpl w:val="0DBC3B08"/>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E1347"/>
    <w:multiLevelType w:val="hybridMultilevel"/>
    <w:tmpl w:val="8CC03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0AE2551"/>
    <w:multiLevelType w:val="hybridMultilevel"/>
    <w:tmpl w:val="7D4C46F6"/>
    <w:lvl w:ilvl="0" w:tplc="D5F6DD14">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ADA4208C" w:tentative="1">
      <w:start w:val="1"/>
      <w:numFmt w:val="bullet"/>
      <w:lvlText w:val="•"/>
      <w:lvlJc w:val="left"/>
      <w:pPr>
        <w:tabs>
          <w:tab w:val="num" w:pos="2160"/>
        </w:tabs>
        <w:ind w:left="2160" w:hanging="360"/>
      </w:pPr>
      <w:rPr>
        <w:rFonts w:ascii="Arial" w:hAnsi="Arial" w:hint="default"/>
      </w:rPr>
    </w:lvl>
    <w:lvl w:ilvl="3" w:tplc="0404499A" w:tentative="1">
      <w:start w:val="1"/>
      <w:numFmt w:val="bullet"/>
      <w:lvlText w:val="•"/>
      <w:lvlJc w:val="left"/>
      <w:pPr>
        <w:tabs>
          <w:tab w:val="num" w:pos="2880"/>
        </w:tabs>
        <w:ind w:left="2880" w:hanging="360"/>
      </w:pPr>
      <w:rPr>
        <w:rFonts w:ascii="Arial" w:hAnsi="Arial" w:hint="default"/>
      </w:rPr>
    </w:lvl>
    <w:lvl w:ilvl="4" w:tplc="E9B2D204" w:tentative="1">
      <w:start w:val="1"/>
      <w:numFmt w:val="bullet"/>
      <w:lvlText w:val="•"/>
      <w:lvlJc w:val="left"/>
      <w:pPr>
        <w:tabs>
          <w:tab w:val="num" w:pos="3600"/>
        </w:tabs>
        <w:ind w:left="3600" w:hanging="360"/>
      </w:pPr>
      <w:rPr>
        <w:rFonts w:ascii="Arial" w:hAnsi="Arial" w:hint="default"/>
      </w:rPr>
    </w:lvl>
    <w:lvl w:ilvl="5" w:tplc="9914216E" w:tentative="1">
      <w:start w:val="1"/>
      <w:numFmt w:val="bullet"/>
      <w:lvlText w:val="•"/>
      <w:lvlJc w:val="left"/>
      <w:pPr>
        <w:tabs>
          <w:tab w:val="num" w:pos="4320"/>
        </w:tabs>
        <w:ind w:left="4320" w:hanging="360"/>
      </w:pPr>
      <w:rPr>
        <w:rFonts w:ascii="Arial" w:hAnsi="Arial" w:hint="default"/>
      </w:rPr>
    </w:lvl>
    <w:lvl w:ilvl="6" w:tplc="FA72A79E" w:tentative="1">
      <w:start w:val="1"/>
      <w:numFmt w:val="bullet"/>
      <w:lvlText w:val="•"/>
      <w:lvlJc w:val="left"/>
      <w:pPr>
        <w:tabs>
          <w:tab w:val="num" w:pos="5040"/>
        </w:tabs>
        <w:ind w:left="5040" w:hanging="360"/>
      </w:pPr>
      <w:rPr>
        <w:rFonts w:ascii="Arial" w:hAnsi="Arial" w:hint="default"/>
      </w:rPr>
    </w:lvl>
    <w:lvl w:ilvl="7" w:tplc="D1CC3FB4" w:tentative="1">
      <w:start w:val="1"/>
      <w:numFmt w:val="bullet"/>
      <w:lvlText w:val="•"/>
      <w:lvlJc w:val="left"/>
      <w:pPr>
        <w:tabs>
          <w:tab w:val="num" w:pos="5760"/>
        </w:tabs>
        <w:ind w:left="5760" w:hanging="360"/>
      </w:pPr>
      <w:rPr>
        <w:rFonts w:ascii="Arial" w:hAnsi="Arial" w:hint="default"/>
      </w:rPr>
    </w:lvl>
    <w:lvl w:ilvl="8" w:tplc="4DD8E860" w:tentative="1">
      <w:start w:val="1"/>
      <w:numFmt w:val="bullet"/>
      <w:lvlText w:val="•"/>
      <w:lvlJc w:val="left"/>
      <w:pPr>
        <w:tabs>
          <w:tab w:val="num" w:pos="6480"/>
        </w:tabs>
        <w:ind w:left="6480" w:hanging="360"/>
      </w:pPr>
      <w:rPr>
        <w:rFonts w:ascii="Arial" w:hAnsi="Arial" w:hint="default"/>
      </w:rPr>
    </w:lvl>
  </w:abstractNum>
  <w:abstractNum w:abstractNumId="5">
    <w:nsid w:val="188261C7"/>
    <w:multiLevelType w:val="hybridMultilevel"/>
    <w:tmpl w:val="CBE4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AAE47D4"/>
    <w:multiLevelType w:val="hybridMultilevel"/>
    <w:tmpl w:val="F9D2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C82279"/>
    <w:multiLevelType w:val="hybridMultilevel"/>
    <w:tmpl w:val="894A5B40"/>
    <w:lvl w:ilvl="0" w:tplc="2DD81C2A">
      <w:start w:val="1"/>
      <w:numFmt w:val="bullet"/>
      <w:lvlText w:val="•"/>
      <w:lvlJc w:val="left"/>
      <w:pPr>
        <w:tabs>
          <w:tab w:val="num" w:pos="720"/>
        </w:tabs>
        <w:ind w:left="720" w:hanging="360"/>
      </w:pPr>
      <w:rPr>
        <w:rFonts w:ascii="Arial" w:hAnsi="Arial" w:hint="default"/>
      </w:rPr>
    </w:lvl>
    <w:lvl w:ilvl="1" w:tplc="08090001">
      <w:start w:val="1"/>
      <w:numFmt w:val="bullet"/>
      <w:lvlText w:val=""/>
      <w:lvlJc w:val="left"/>
      <w:pPr>
        <w:tabs>
          <w:tab w:val="num" w:pos="1440"/>
        </w:tabs>
        <w:ind w:left="1440" w:hanging="360"/>
      </w:pPr>
      <w:rPr>
        <w:rFonts w:ascii="Symbol" w:hAnsi="Symbol" w:hint="default"/>
      </w:rPr>
    </w:lvl>
    <w:lvl w:ilvl="2" w:tplc="F7DA2F58" w:tentative="1">
      <w:start w:val="1"/>
      <w:numFmt w:val="bullet"/>
      <w:lvlText w:val="•"/>
      <w:lvlJc w:val="left"/>
      <w:pPr>
        <w:tabs>
          <w:tab w:val="num" w:pos="2160"/>
        </w:tabs>
        <w:ind w:left="2160" w:hanging="360"/>
      </w:pPr>
      <w:rPr>
        <w:rFonts w:ascii="Arial" w:hAnsi="Arial" w:hint="default"/>
      </w:rPr>
    </w:lvl>
    <w:lvl w:ilvl="3" w:tplc="BFEAEA34" w:tentative="1">
      <w:start w:val="1"/>
      <w:numFmt w:val="bullet"/>
      <w:lvlText w:val="•"/>
      <w:lvlJc w:val="left"/>
      <w:pPr>
        <w:tabs>
          <w:tab w:val="num" w:pos="2880"/>
        </w:tabs>
        <w:ind w:left="2880" w:hanging="360"/>
      </w:pPr>
      <w:rPr>
        <w:rFonts w:ascii="Arial" w:hAnsi="Arial" w:hint="default"/>
      </w:rPr>
    </w:lvl>
    <w:lvl w:ilvl="4" w:tplc="9090662C" w:tentative="1">
      <w:start w:val="1"/>
      <w:numFmt w:val="bullet"/>
      <w:lvlText w:val="•"/>
      <w:lvlJc w:val="left"/>
      <w:pPr>
        <w:tabs>
          <w:tab w:val="num" w:pos="3600"/>
        </w:tabs>
        <w:ind w:left="3600" w:hanging="360"/>
      </w:pPr>
      <w:rPr>
        <w:rFonts w:ascii="Arial" w:hAnsi="Arial" w:hint="default"/>
      </w:rPr>
    </w:lvl>
    <w:lvl w:ilvl="5" w:tplc="20F6CD4E" w:tentative="1">
      <w:start w:val="1"/>
      <w:numFmt w:val="bullet"/>
      <w:lvlText w:val="•"/>
      <w:lvlJc w:val="left"/>
      <w:pPr>
        <w:tabs>
          <w:tab w:val="num" w:pos="4320"/>
        </w:tabs>
        <w:ind w:left="4320" w:hanging="360"/>
      </w:pPr>
      <w:rPr>
        <w:rFonts w:ascii="Arial" w:hAnsi="Arial" w:hint="default"/>
      </w:rPr>
    </w:lvl>
    <w:lvl w:ilvl="6" w:tplc="D4F41F56" w:tentative="1">
      <w:start w:val="1"/>
      <w:numFmt w:val="bullet"/>
      <w:lvlText w:val="•"/>
      <w:lvlJc w:val="left"/>
      <w:pPr>
        <w:tabs>
          <w:tab w:val="num" w:pos="5040"/>
        </w:tabs>
        <w:ind w:left="5040" w:hanging="360"/>
      </w:pPr>
      <w:rPr>
        <w:rFonts w:ascii="Arial" w:hAnsi="Arial" w:hint="default"/>
      </w:rPr>
    </w:lvl>
    <w:lvl w:ilvl="7" w:tplc="A268DC4E" w:tentative="1">
      <w:start w:val="1"/>
      <w:numFmt w:val="bullet"/>
      <w:lvlText w:val="•"/>
      <w:lvlJc w:val="left"/>
      <w:pPr>
        <w:tabs>
          <w:tab w:val="num" w:pos="5760"/>
        </w:tabs>
        <w:ind w:left="5760" w:hanging="360"/>
      </w:pPr>
      <w:rPr>
        <w:rFonts w:ascii="Arial" w:hAnsi="Arial" w:hint="default"/>
      </w:rPr>
    </w:lvl>
    <w:lvl w:ilvl="8" w:tplc="220812B6" w:tentative="1">
      <w:start w:val="1"/>
      <w:numFmt w:val="bullet"/>
      <w:lvlText w:val="•"/>
      <w:lvlJc w:val="left"/>
      <w:pPr>
        <w:tabs>
          <w:tab w:val="num" w:pos="6480"/>
        </w:tabs>
        <w:ind w:left="6480" w:hanging="360"/>
      </w:pPr>
      <w:rPr>
        <w:rFonts w:ascii="Arial" w:hAnsi="Arial" w:hint="default"/>
      </w:rPr>
    </w:lvl>
  </w:abstractNum>
  <w:abstractNum w:abstractNumId="8">
    <w:nsid w:val="1DB54F31"/>
    <w:multiLevelType w:val="hybridMultilevel"/>
    <w:tmpl w:val="B48034FE"/>
    <w:lvl w:ilvl="0" w:tplc="7B10B19C">
      <w:start w:val="1"/>
      <w:numFmt w:val="decimal"/>
      <w:pStyle w:val="Heading1"/>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3E7F65"/>
    <w:multiLevelType w:val="hybridMultilevel"/>
    <w:tmpl w:val="1EFE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D14A67"/>
    <w:multiLevelType w:val="hybridMultilevel"/>
    <w:tmpl w:val="0AC4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8E31C0"/>
    <w:multiLevelType w:val="multilevel"/>
    <w:tmpl w:val="22265DF6"/>
    <w:lvl w:ilvl="0">
      <w:start w:val="1"/>
      <w:numFmt w:val="decimal"/>
      <w:lvlText w:val="%1."/>
      <w:lvlJc w:val="left"/>
      <w:pPr>
        <w:ind w:left="720" w:hanging="360"/>
      </w:pPr>
      <w:rPr>
        <w:rFonts w:hint="default"/>
      </w:rPr>
    </w:lvl>
    <w:lvl w:ilvl="1">
      <w:start w:val="1"/>
      <w:numFmt w:val="decimal"/>
      <w:isLgl/>
      <w:lvlText w:val="%1.%2"/>
      <w:lvlJc w:val="left"/>
      <w:pPr>
        <w:ind w:left="880" w:hanging="5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BEB10C7"/>
    <w:multiLevelType w:val="hybridMultilevel"/>
    <w:tmpl w:val="6C94C3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2B61A91"/>
    <w:multiLevelType w:val="hybridMultilevel"/>
    <w:tmpl w:val="CBB2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F150BB"/>
    <w:multiLevelType w:val="multilevel"/>
    <w:tmpl w:val="A78E802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2E1BDC"/>
    <w:multiLevelType w:val="hybridMultilevel"/>
    <w:tmpl w:val="68B2E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2C00FE4"/>
    <w:multiLevelType w:val="hybridMultilevel"/>
    <w:tmpl w:val="8620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A3802C9"/>
    <w:multiLevelType w:val="hybridMultilevel"/>
    <w:tmpl w:val="31CA9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2874AB3"/>
    <w:multiLevelType w:val="hybridMultilevel"/>
    <w:tmpl w:val="EF7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0A3A54"/>
    <w:multiLevelType w:val="hybridMultilevel"/>
    <w:tmpl w:val="B2B8D56A"/>
    <w:lvl w:ilvl="0" w:tplc="3EC0B87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DAC3434"/>
    <w:multiLevelType w:val="multilevel"/>
    <w:tmpl w:val="6B4CA0F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70CA549B"/>
    <w:multiLevelType w:val="hybridMultilevel"/>
    <w:tmpl w:val="FC0AB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CB15E3C"/>
    <w:multiLevelType w:val="hybridMultilevel"/>
    <w:tmpl w:val="B8CAC1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5"/>
  </w:num>
  <w:num w:numId="2">
    <w:abstractNumId w:val="11"/>
  </w:num>
  <w:num w:numId="3">
    <w:abstractNumId w:val="8"/>
  </w:num>
  <w:num w:numId="4">
    <w:abstractNumId w:val="19"/>
  </w:num>
  <w:num w:numId="5">
    <w:abstractNumId w:val="1"/>
  </w:num>
  <w:num w:numId="6">
    <w:abstractNumId w:val="12"/>
  </w:num>
  <w:num w:numId="7">
    <w:abstractNumId w:val="21"/>
  </w:num>
  <w:num w:numId="8">
    <w:abstractNumId w:val="5"/>
  </w:num>
  <w:num w:numId="9">
    <w:abstractNumId w:val="6"/>
  </w:num>
  <w:num w:numId="10">
    <w:abstractNumId w:val="14"/>
  </w:num>
  <w:num w:numId="11">
    <w:abstractNumId w:val="2"/>
  </w:num>
  <w:num w:numId="12">
    <w:abstractNumId w:val="16"/>
  </w:num>
  <w:num w:numId="13">
    <w:abstractNumId w:val="9"/>
  </w:num>
  <w:num w:numId="14">
    <w:abstractNumId w:val="22"/>
  </w:num>
  <w:num w:numId="15">
    <w:abstractNumId w:val="4"/>
  </w:num>
  <w:num w:numId="16">
    <w:abstractNumId w:val="3"/>
  </w:num>
  <w:num w:numId="17">
    <w:abstractNumId w:val="7"/>
  </w:num>
  <w:num w:numId="18">
    <w:abstractNumId w:val="0"/>
  </w:num>
  <w:num w:numId="19">
    <w:abstractNumId w:val="18"/>
  </w:num>
  <w:num w:numId="20">
    <w:abstractNumId w:val="20"/>
  </w:num>
  <w:num w:numId="21">
    <w:abstractNumId w:val="17"/>
  </w:num>
  <w:num w:numId="22">
    <w:abstractNumId w:val="13"/>
  </w:num>
  <w:num w:numId="2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DA"/>
    <w:rsid w:val="000250C2"/>
    <w:rsid w:val="00047E83"/>
    <w:rsid w:val="000616AC"/>
    <w:rsid w:val="000712B3"/>
    <w:rsid w:val="000717DD"/>
    <w:rsid w:val="00097FBE"/>
    <w:rsid w:val="000D2469"/>
    <w:rsid w:val="000E574C"/>
    <w:rsid w:val="000E6EBD"/>
    <w:rsid w:val="0010344B"/>
    <w:rsid w:val="00106BA1"/>
    <w:rsid w:val="0012276D"/>
    <w:rsid w:val="00124E48"/>
    <w:rsid w:val="0012649C"/>
    <w:rsid w:val="00142286"/>
    <w:rsid w:val="001878D7"/>
    <w:rsid w:val="00197093"/>
    <w:rsid w:val="001C1CB1"/>
    <w:rsid w:val="002172C0"/>
    <w:rsid w:val="0026644D"/>
    <w:rsid w:val="0029520A"/>
    <w:rsid w:val="0029714B"/>
    <w:rsid w:val="00297CD9"/>
    <w:rsid w:val="002C46FF"/>
    <w:rsid w:val="002C77B3"/>
    <w:rsid w:val="002D5BDB"/>
    <w:rsid w:val="002D6671"/>
    <w:rsid w:val="002E5768"/>
    <w:rsid w:val="0031092E"/>
    <w:rsid w:val="003138F5"/>
    <w:rsid w:val="00332B44"/>
    <w:rsid w:val="00352637"/>
    <w:rsid w:val="003602F0"/>
    <w:rsid w:val="003675A4"/>
    <w:rsid w:val="003723F0"/>
    <w:rsid w:val="00376BB0"/>
    <w:rsid w:val="003922EE"/>
    <w:rsid w:val="003A0522"/>
    <w:rsid w:val="003A5DB4"/>
    <w:rsid w:val="003A7EAF"/>
    <w:rsid w:val="003D39EB"/>
    <w:rsid w:val="003E03E3"/>
    <w:rsid w:val="003E2733"/>
    <w:rsid w:val="003F03F7"/>
    <w:rsid w:val="004142D5"/>
    <w:rsid w:val="00430CFB"/>
    <w:rsid w:val="00447B9A"/>
    <w:rsid w:val="00453D5A"/>
    <w:rsid w:val="004614FE"/>
    <w:rsid w:val="00465364"/>
    <w:rsid w:val="004A59CA"/>
    <w:rsid w:val="004B0F3C"/>
    <w:rsid w:val="004D73C4"/>
    <w:rsid w:val="004F005E"/>
    <w:rsid w:val="00505B44"/>
    <w:rsid w:val="00526CCC"/>
    <w:rsid w:val="00582EBB"/>
    <w:rsid w:val="00591683"/>
    <w:rsid w:val="005B2FE6"/>
    <w:rsid w:val="005B34A6"/>
    <w:rsid w:val="005D7834"/>
    <w:rsid w:val="00601EC3"/>
    <w:rsid w:val="00602FAB"/>
    <w:rsid w:val="006048B4"/>
    <w:rsid w:val="00611DEA"/>
    <w:rsid w:val="00637913"/>
    <w:rsid w:val="00642C6D"/>
    <w:rsid w:val="00661996"/>
    <w:rsid w:val="00692192"/>
    <w:rsid w:val="006C2FBE"/>
    <w:rsid w:val="006E2D10"/>
    <w:rsid w:val="0072736E"/>
    <w:rsid w:val="00727686"/>
    <w:rsid w:val="007356B7"/>
    <w:rsid w:val="0073643D"/>
    <w:rsid w:val="00772515"/>
    <w:rsid w:val="00786CD8"/>
    <w:rsid w:val="00806331"/>
    <w:rsid w:val="008441F0"/>
    <w:rsid w:val="00897705"/>
    <w:rsid w:val="008B6BA7"/>
    <w:rsid w:val="008D373D"/>
    <w:rsid w:val="008F285B"/>
    <w:rsid w:val="00902F94"/>
    <w:rsid w:val="00922A5B"/>
    <w:rsid w:val="00925825"/>
    <w:rsid w:val="009300F2"/>
    <w:rsid w:val="00962410"/>
    <w:rsid w:val="00967AE1"/>
    <w:rsid w:val="00967F98"/>
    <w:rsid w:val="009D2FD0"/>
    <w:rsid w:val="009F2CBF"/>
    <w:rsid w:val="00A00AA9"/>
    <w:rsid w:val="00A01256"/>
    <w:rsid w:val="00A20794"/>
    <w:rsid w:val="00A42772"/>
    <w:rsid w:val="00A62A92"/>
    <w:rsid w:val="00A86B7F"/>
    <w:rsid w:val="00AB3FAA"/>
    <w:rsid w:val="00AF7EBE"/>
    <w:rsid w:val="00B65F28"/>
    <w:rsid w:val="00B702A2"/>
    <w:rsid w:val="00B83872"/>
    <w:rsid w:val="00BA5085"/>
    <w:rsid w:val="00BB2DA5"/>
    <w:rsid w:val="00BD1E42"/>
    <w:rsid w:val="00BE61CE"/>
    <w:rsid w:val="00BF65D4"/>
    <w:rsid w:val="00BF7A6D"/>
    <w:rsid w:val="00C50B7E"/>
    <w:rsid w:val="00C67906"/>
    <w:rsid w:val="00C94A5F"/>
    <w:rsid w:val="00CA1FC2"/>
    <w:rsid w:val="00CB4E80"/>
    <w:rsid w:val="00CB5453"/>
    <w:rsid w:val="00CC4D60"/>
    <w:rsid w:val="00CC73AD"/>
    <w:rsid w:val="00CD37D3"/>
    <w:rsid w:val="00CE676E"/>
    <w:rsid w:val="00CE6C00"/>
    <w:rsid w:val="00CF027E"/>
    <w:rsid w:val="00D0057D"/>
    <w:rsid w:val="00D13132"/>
    <w:rsid w:val="00D31450"/>
    <w:rsid w:val="00D36CDA"/>
    <w:rsid w:val="00D75E7E"/>
    <w:rsid w:val="00D91BD8"/>
    <w:rsid w:val="00DD27EF"/>
    <w:rsid w:val="00DD3030"/>
    <w:rsid w:val="00DE0F88"/>
    <w:rsid w:val="00E346DA"/>
    <w:rsid w:val="00E6303D"/>
    <w:rsid w:val="00E9177D"/>
    <w:rsid w:val="00EA5715"/>
    <w:rsid w:val="00ED6F5E"/>
    <w:rsid w:val="00EE1EAC"/>
    <w:rsid w:val="00EF47D8"/>
    <w:rsid w:val="00F22CFB"/>
    <w:rsid w:val="00F85984"/>
    <w:rsid w:val="00F92A8B"/>
    <w:rsid w:val="00FA2A77"/>
    <w:rsid w:val="00FA6F59"/>
    <w:rsid w:val="00FC18D2"/>
    <w:rsid w:val="00FE6A40"/>
    <w:rsid w:val="00FF0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EC6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CA"/>
    <w:pPr>
      <w:keepNext/>
      <w:keepLines/>
      <w:numPr>
        <w:numId w:val="3"/>
      </w:numPr>
      <w:spacing w:after="240" w:line="240" w:lineRule="auto"/>
      <w:ind w:hanging="72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A59CA"/>
    <w:pPr>
      <w:tabs>
        <w:tab w:val="left" w:pos="709"/>
      </w:tabs>
      <w:spacing w:after="240" w:line="240" w:lineRule="auto"/>
      <w:ind w:left="851"/>
      <w:jc w:val="both"/>
      <w:outlineLvl w:val="1"/>
    </w:pPr>
    <w:rPr>
      <w:rFonts w:ascii="Arial" w:hAnsi="Arial" w:cs="Arial"/>
      <w:b/>
    </w:rPr>
  </w:style>
  <w:style w:type="paragraph" w:styleId="Heading3">
    <w:name w:val="heading 3"/>
    <w:basedOn w:val="Default"/>
    <w:next w:val="Normal"/>
    <w:link w:val="Heading3Char"/>
    <w:uiPriority w:val="9"/>
    <w:unhideWhenUsed/>
    <w:qFormat/>
    <w:rsid w:val="004A59CA"/>
    <w:pPr>
      <w:numPr>
        <w:ilvl w:val="2"/>
        <w:numId w:val="5"/>
      </w:numPr>
      <w:spacing w:after="240"/>
      <w:ind w:left="709" w:firstLine="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DA"/>
  </w:style>
  <w:style w:type="paragraph" w:styleId="Footer">
    <w:name w:val="footer"/>
    <w:basedOn w:val="Normal"/>
    <w:link w:val="FooterChar"/>
    <w:uiPriority w:val="99"/>
    <w:unhideWhenUsed/>
    <w:rsid w:val="00E3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DA"/>
  </w:style>
  <w:style w:type="paragraph" w:styleId="BalloonText">
    <w:name w:val="Balloon Text"/>
    <w:basedOn w:val="Normal"/>
    <w:link w:val="BalloonTextChar"/>
    <w:uiPriority w:val="99"/>
    <w:semiHidden/>
    <w:unhideWhenUsed/>
    <w:rsid w:val="00E34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DA"/>
    <w:rPr>
      <w:rFonts w:ascii="Tahoma" w:hAnsi="Tahoma" w:cs="Tahoma"/>
      <w:sz w:val="16"/>
      <w:szCs w:val="16"/>
    </w:rPr>
  </w:style>
  <w:style w:type="paragraph" w:styleId="ListParagraph">
    <w:name w:val="List Paragraph"/>
    <w:basedOn w:val="Normal"/>
    <w:uiPriority w:val="34"/>
    <w:qFormat/>
    <w:rsid w:val="00E346DA"/>
    <w:pPr>
      <w:ind w:left="720"/>
      <w:contextualSpacing/>
    </w:pPr>
  </w:style>
  <w:style w:type="table" w:styleId="TableGrid">
    <w:name w:val="Table Grid"/>
    <w:basedOn w:val="TableNormal"/>
    <w:uiPriority w:val="59"/>
    <w:rsid w:val="00E3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E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17DD"/>
    <w:rPr>
      <w:sz w:val="16"/>
      <w:szCs w:val="16"/>
    </w:rPr>
  </w:style>
  <w:style w:type="paragraph" w:styleId="CommentText">
    <w:name w:val="annotation text"/>
    <w:basedOn w:val="Normal"/>
    <w:link w:val="CommentTextChar"/>
    <w:uiPriority w:val="99"/>
    <w:semiHidden/>
    <w:unhideWhenUsed/>
    <w:rsid w:val="000717DD"/>
    <w:pPr>
      <w:spacing w:line="240" w:lineRule="auto"/>
    </w:pPr>
    <w:rPr>
      <w:sz w:val="20"/>
      <w:szCs w:val="20"/>
    </w:rPr>
  </w:style>
  <w:style w:type="character" w:customStyle="1" w:styleId="CommentTextChar">
    <w:name w:val="Comment Text Char"/>
    <w:basedOn w:val="DefaultParagraphFont"/>
    <w:link w:val="CommentText"/>
    <w:uiPriority w:val="99"/>
    <w:semiHidden/>
    <w:rsid w:val="000717DD"/>
    <w:rPr>
      <w:sz w:val="20"/>
      <w:szCs w:val="20"/>
    </w:rPr>
  </w:style>
  <w:style w:type="paragraph" w:styleId="CommentSubject">
    <w:name w:val="annotation subject"/>
    <w:basedOn w:val="CommentText"/>
    <w:next w:val="CommentText"/>
    <w:link w:val="CommentSubjectChar"/>
    <w:uiPriority w:val="99"/>
    <w:semiHidden/>
    <w:unhideWhenUsed/>
    <w:rsid w:val="000717DD"/>
    <w:rPr>
      <w:b/>
      <w:bCs/>
    </w:rPr>
  </w:style>
  <w:style w:type="character" w:customStyle="1" w:styleId="CommentSubjectChar">
    <w:name w:val="Comment Subject Char"/>
    <w:basedOn w:val="CommentTextChar"/>
    <w:link w:val="CommentSubject"/>
    <w:uiPriority w:val="99"/>
    <w:semiHidden/>
    <w:rsid w:val="000717DD"/>
    <w:rPr>
      <w:b/>
      <w:bCs/>
      <w:sz w:val="20"/>
      <w:szCs w:val="20"/>
    </w:rPr>
  </w:style>
  <w:style w:type="paragraph" w:styleId="NoSpacing">
    <w:name w:val="No Spacing"/>
    <w:uiPriority w:val="99"/>
    <w:qFormat/>
    <w:rsid w:val="003A5DB4"/>
    <w:pPr>
      <w:spacing w:after="0" w:line="240" w:lineRule="auto"/>
    </w:pPr>
    <w:rPr>
      <w:rFonts w:ascii="Cambria" w:eastAsia="MS Mincho" w:hAnsi="Cambria" w:cs="Times New Roman"/>
      <w:sz w:val="24"/>
      <w:szCs w:val="20"/>
      <w:lang w:val="en-US" w:eastAsia="ja-JP"/>
    </w:rPr>
  </w:style>
  <w:style w:type="paragraph" w:styleId="TOC1">
    <w:name w:val="toc 1"/>
    <w:basedOn w:val="Normal"/>
    <w:next w:val="Normal"/>
    <w:autoRedefine/>
    <w:uiPriority w:val="39"/>
    <w:unhideWhenUsed/>
    <w:rsid w:val="003723F0"/>
    <w:pPr>
      <w:spacing w:before="120" w:after="0"/>
    </w:pPr>
    <w:rPr>
      <w:b/>
      <w:sz w:val="24"/>
      <w:szCs w:val="24"/>
    </w:rPr>
  </w:style>
  <w:style w:type="paragraph" w:styleId="TOC2">
    <w:name w:val="toc 2"/>
    <w:basedOn w:val="Normal"/>
    <w:next w:val="Normal"/>
    <w:autoRedefine/>
    <w:uiPriority w:val="39"/>
    <w:unhideWhenUsed/>
    <w:rsid w:val="003723F0"/>
    <w:pPr>
      <w:spacing w:after="0"/>
      <w:ind w:left="220"/>
    </w:pPr>
    <w:rPr>
      <w:b/>
    </w:rPr>
  </w:style>
  <w:style w:type="paragraph" w:styleId="TOC3">
    <w:name w:val="toc 3"/>
    <w:basedOn w:val="Normal"/>
    <w:next w:val="Normal"/>
    <w:autoRedefine/>
    <w:uiPriority w:val="39"/>
    <w:unhideWhenUsed/>
    <w:rsid w:val="003723F0"/>
    <w:pPr>
      <w:spacing w:after="0"/>
      <w:ind w:left="440"/>
    </w:pPr>
  </w:style>
  <w:style w:type="paragraph" w:styleId="TOC4">
    <w:name w:val="toc 4"/>
    <w:basedOn w:val="Normal"/>
    <w:next w:val="Normal"/>
    <w:autoRedefine/>
    <w:uiPriority w:val="39"/>
    <w:unhideWhenUsed/>
    <w:rsid w:val="003723F0"/>
    <w:pPr>
      <w:spacing w:after="0"/>
      <w:ind w:left="660"/>
    </w:pPr>
    <w:rPr>
      <w:sz w:val="20"/>
      <w:szCs w:val="20"/>
    </w:rPr>
  </w:style>
  <w:style w:type="paragraph" w:styleId="TOC5">
    <w:name w:val="toc 5"/>
    <w:basedOn w:val="Normal"/>
    <w:next w:val="Normal"/>
    <w:autoRedefine/>
    <w:uiPriority w:val="39"/>
    <w:unhideWhenUsed/>
    <w:rsid w:val="003723F0"/>
    <w:pPr>
      <w:spacing w:after="0"/>
      <w:ind w:left="880"/>
    </w:pPr>
    <w:rPr>
      <w:sz w:val="20"/>
      <w:szCs w:val="20"/>
    </w:rPr>
  </w:style>
  <w:style w:type="paragraph" w:styleId="TOC6">
    <w:name w:val="toc 6"/>
    <w:basedOn w:val="Normal"/>
    <w:next w:val="Normal"/>
    <w:autoRedefine/>
    <w:uiPriority w:val="39"/>
    <w:unhideWhenUsed/>
    <w:rsid w:val="003723F0"/>
    <w:pPr>
      <w:spacing w:after="0"/>
      <w:ind w:left="1100"/>
    </w:pPr>
    <w:rPr>
      <w:sz w:val="20"/>
      <w:szCs w:val="20"/>
    </w:rPr>
  </w:style>
  <w:style w:type="paragraph" w:styleId="TOC7">
    <w:name w:val="toc 7"/>
    <w:basedOn w:val="Normal"/>
    <w:next w:val="Normal"/>
    <w:autoRedefine/>
    <w:uiPriority w:val="39"/>
    <w:unhideWhenUsed/>
    <w:rsid w:val="003723F0"/>
    <w:pPr>
      <w:spacing w:after="0"/>
      <w:ind w:left="1320"/>
    </w:pPr>
    <w:rPr>
      <w:sz w:val="20"/>
      <w:szCs w:val="20"/>
    </w:rPr>
  </w:style>
  <w:style w:type="paragraph" w:styleId="TOC8">
    <w:name w:val="toc 8"/>
    <w:basedOn w:val="Normal"/>
    <w:next w:val="Normal"/>
    <w:autoRedefine/>
    <w:uiPriority w:val="39"/>
    <w:unhideWhenUsed/>
    <w:rsid w:val="003723F0"/>
    <w:pPr>
      <w:spacing w:after="0"/>
      <w:ind w:left="1540"/>
    </w:pPr>
    <w:rPr>
      <w:sz w:val="20"/>
      <w:szCs w:val="20"/>
    </w:rPr>
  </w:style>
  <w:style w:type="paragraph" w:styleId="TOC9">
    <w:name w:val="toc 9"/>
    <w:basedOn w:val="Normal"/>
    <w:next w:val="Normal"/>
    <w:autoRedefine/>
    <w:uiPriority w:val="39"/>
    <w:unhideWhenUsed/>
    <w:rsid w:val="003723F0"/>
    <w:pPr>
      <w:spacing w:after="0"/>
      <w:ind w:left="1760"/>
    </w:pPr>
    <w:rPr>
      <w:sz w:val="20"/>
      <w:szCs w:val="20"/>
    </w:rPr>
  </w:style>
  <w:style w:type="character" w:customStyle="1" w:styleId="Heading1Char">
    <w:name w:val="Heading 1 Char"/>
    <w:basedOn w:val="DefaultParagraphFont"/>
    <w:link w:val="Heading1"/>
    <w:uiPriority w:val="9"/>
    <w:rsid w:val="004A59CA"/>
    <w:rPr>
      <w:rFonts w:ascii="Arial" w:eastAsiaTheme="majorEastAsia" w:hAnsi="Arial" w:cs="Arial"/>
      <w:b/>
      <w:bCs/>
    </w:rPr>
  </w:style>
  <w:style w:type="paragraph" w:styleId="TOCHeading">
    <w:name w:val="TOC Heading"/>
    <w:basedOn w:val="Heading1"/>
    <w:next w:val="Normal"/>
    <w:uiPriority w:val="39"/>
    <w:unhideWhenUsed/>
    <w:qFormat/>
    <w:rsid w:val="003723F0"/>
    <w:pPr>
      <w:outlineLvl w:val="9"/>
    </w:pPr>
    <w:rPr>
      <w:color w:val="365F91" w:themeColor="accent1" w:themeShade="BF"/>
      <w:szCs w:val="28"/>
      <w:lang w:val="en-US"/>
    </w:rPr>
  </w:style>
  <w:style w:type="character" w:customStyle="1" w:styleId="Heading2Char">
    <w:name w:val="Heading 2 Char"/>
    <w:basedOn w:val="DefaultParagraphFont"/>
    <w:link w:val="Heading2"/>
    <w:uiPriority w:val="9"/>
    <w:rsid w:val="004A59CA"/>
    <w:rPr>
      <w:rFonts w:ascii="Arial" w:hAnsi="Arial" w:cs="Arial"/>
      <w:b/>
    </w:rPr>
  </w:style>
  <w:style w:type="character" w:customStyle="1" w:styleId="Heading3Char">
    <w:name w:val="Heading 3 Char"/>
    <w:basedOn w:val="DefaultParagraphFont"/>
    <w:link w:val="Heading3"/>
    <w:uiPriority w:val="9"/>
    <w:rsid w:val="004A59CA"/>
    <w:rPr>
      <w:rFonts w:ascii="Arial" w:hAnsi="Arial" w:cs="Arial"/>
      <w:b/>
      <w:bCs/>
      <w:color w:val="000000"/>
    </w:rPr>
  </w:style>
  <w:style w:type="character" w:styleId="Hyperlink">
    <w:name w:val="Hyperlink"/>
    <w:basedOn w:val="DefaultParagraphFont"/>
    <w:uiPriority w:val="99"/>
    <w:unhideWhenUsed/>
    <w:rsid w:val="004142D5"/>
    <w:rPr>
      <w:color w:val="0000FF" w:themeColor="hyperlink"/>
      <w:u w:val="single"/>
    </w:rPr>
  </w:style>
  <w:style w:type="character" w:styleId="FollowedHyperlink">
    <w:name w:val="FollowedHyperlink"/>
    <w:basedOn w:val="DefaultParagraphFont"/>
    <w:uiPriority w:val="99"/>
    <w:semiHidden/>
    <w:unhideWhenUsed/>
    <w:rsid w:val="00727686"/>
    <w:rPr>
      <w:color w:val="800080" w:themeColor="followedHyperlink"/>
      <w:u w:val="single"/>
    </w:rPr>
  </w:style>
  <w:style w:type="paragraph" w:styleId="FootnoteText">
    <w:name w:val="footnote text"/>
    <w:basedOn w:val="Normal"/>
    <w:link w:val="FootnoteTextChar"/>
    <w:uiPriority w:val="99"/>
    <w:semiHidden/>
    <w:unhideWhenUsed/>
    <w:rsid w:val="00461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4FE"/>
    <w:rPr>
      <w:sz w:val="20"/>
      <w:szCs w:val="20"/>
    </w:rPr>
  </w:style>
  <w:style w:type="character" w:styleId="FootnoteReference">
    <w:name w:val="footnote reference"/>
    <w:basedOn w:val="DefaultParagraphFont"/>
    <w:uiPriority w:val="99"/>
    <w:semiHidden/>
    <w:unhideWhenUsed/>
    <w:rsid w:val="004614FE"/>
    <w:rPr>
      <w:vertAlign w:val="superscript"/>
    </w:rPr>
  </w:style>
  <w:style w:type="character" w:customStyle="1" w:styleId="prod-title2">
    <w:name w:val="prod-title2"/>
    <w:basedOn w:val="DefaultParagraphFont"/>
    <w:rsid w:val="0072736E"/>
  </w:style>
  <w:style w:type="character" w:customStyle="1" w:styleId="published-date4">
    <w:name w:val="published-date4"/>
    <w:basedOn w:val="DefaultParagraphFont"/>
    <w:rsid w:val="0072736E"/>
  </w:style>
  <w:style w:type="paragraph" w:styleId="EndnoteText">
    <w:name w:val="endnote text"/>
    <w:basedOn w:val="Normal"/>
    <w:link w:val="EndnoteTextChar"/>
    <w:uiPriority w:val="99"/>
    <w:semiHidden/>
    <w:unhideWhenUsed/>
    <w:rsid w:val="00727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36E"/>
    <w:rPr>
      <w:sz w:val="20"/>
      <w:szCs w:val="20"/>
    </w:rPr>
  </w:style>
  <w:style w:type="character" w:styleId="EndnoteReference">
    <w:name w:val="endnote reference"/>
    <w:basedOn w:val="DefaultParagraphFont"/>
    <w:uiPriority w:val="99"/>
    <w:semiHidden/>
    <w:unhideWhenUsed/>
    <w:rsid w:val="007273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59CA"/>
    <w:pPr>
      <w:keepNext/>
      <w:keepLines/>
      <w:numPr>
        <w:numId w:val="3"/>
      </w:numPr>
      <w:spacing w:after="240" w:line="240" w:lineRule="auto"/>
      <w:ind w:hanging="72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A59CA"/>
    <w:pPr>
      <w:tabs>
        <w:tab w:val="left" w:pos="709"/>
      </w:tabs>
      <w:spacing w:after="240" w:line="240" w:lineRule="auto"/>
      <w:ind w:left="851"/>
      <w:jc w:val="both"/>
      <w:outlineLvl w:val="1"/>
    </w:pPr>
    <w:rPr>
      <w:rFonts w:ascii="Arial" w:hAnsi="Arial" w:cs="Arial"/>
      <w:b/>
    </w:rPr>
  </w:style>
  <w:style w:type="paragraph" w:styleId="Heading3">
    <w:name w:val="heading 3"/>
    <w:basedOn w:val="Default"/>
    <w:next w:val="Normal"/>
    <w:link w:val="Heading3Char"/>
    <w:uiPriority w:val="9"/>
    <w:unhideWhenUsed/>
    <w:qFormat/>
    <w:rsid w:val="004A59CA"/>
    <w:pPr>
      <w:numPr>
        <w:ilvl w:val="2"/>
        <w:numId w:val="5"/>
      </w:numPr>
      <w:spacing w:after="240"/>
      <w:ind w:left="709" w:firstLine="0"/>
      <w:jc w:val="both"/>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6DA"/>
  </w:style>
  <w:style w:type="paragraph" w:styleId="Footer">
    <w:name w:val="footer"/>
    <w:basedOn w:val="Normal"/>
    <w:link w:val="FooterChar"/>
    <w:uiPriority w:val="99"/>
    <w:unhideWhenUsed/>
    <w:rsid w:val="00E3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DA"/>
  </w:style>
  <w:style w:type="paragraph" w:styleId="BalloonText">
    <w:name w:val="Balloon Text"/>
    <w:basedOn w:val="Normal"/>
    <w:link w:val="BalloonTextChar"/>
    <w:uiPriority w:val="99"/>
    <w:semiHidden/>
    <w:unhideWhenUsed/>
    <w:rsid w:val="00E34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6DA"/>
    <w:rPr>
      <w:rFonts w:ascii="Tahoma" w:hAnsi="Tahoma" w:cs="Tahoma"/>
      <w:sz w:val="16"/>
      <w:szCs w:val="16"/>
    </w:rPr>
  </w:style>
  <w:style w:type="paragraph" w:styleId="ListParagraph">
    <w:name w:val="List Paragraph"/>
    <w:basedOn w:val="Normal"/>
    <w:uiPriority w:val="34"/>
    <w:qFormat/>
    <w:rsid w:val="00E346DA"/>
    <w:pPr>
      <w:ind w:left="720"/>
      <w:contextualSpacing/>
    </w:pPr>
  </w:style>
  <w:style w:type="table" w:styleId="TableGrid">
    <w:name w:val="Table Grid"/>
    <w:basedOn w:val="TableNormal"/>
    <w:uiPriority w:val="59"/>
    <w:rsid w:val="00E3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1E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717DD"/>
    <w:rPr>
      <w:sz w:val="16"/>
      <w:szCs w:val="16"/>
    </w:rPr>
  </w:style>
  <w:style w:type="paragraph" w:styleId="CommentText">
    <w:name w:val="annotation text"/>
    <w:basedOn w:val="Normal"/>
    <w:link w:val="CommentTextChar"/>
    <w:uiPriority w:val="99"/>
    <w:semiHidden/>
    <w:unhideWhenUsed/>
    <w:rsid w:val="000717DD"/>
    <w:pPr>
      <w:spacing w:line="240" w:lineRule="auto"/>
    </w:pPr>
    <w:rPr>
      <w:sz w:val="20"/>
      <w:szCs w:val="20"/>
    </w:rPr>
  </w:style>
  <w:style w:type="character" w:customStyle="1" w:styleId="CommentTextChar">
    <w:name w:val="Comment Text Char"/>
    <w:basedOn w:val="DefaultParagraphFont"/>
    <w:link w:val="CommentText"/>
    <w:uiPriority w:val="99"/>
    <w:semiHidden/>
    <w:rsid w:val="000717DD"/>
    <w:rPr>
      <w:sz w:val="20"/>
      <w:szCs w:val="20"/>
    </w:rPr>
  </w:style>
  <w:style w:type="paragraph" w:styleId="CommentSubject">
    <w:name w:val="annotation subject"/>
    <w:basedOn w:val="CommentText"/>
    <w:next w:val="CommentText"/>
    <w:link w:val="CommentSubjectChar"/>
    <w:uiPriority w:val="99"/>
    <w:semiHidden/>
    <w:unhideWhenUsed/>
    <w:rsid w:val="000717DD"/>
    <w:rPr>
      <w:b/>
      <w:bCs/>
    </w:rPr>
  </w:style>
  <w:style w:type="character" w:customStyle="1" w:styleId="CommentSubjectChar">
    <w:name w:val="Comment Subject Char"/>
    <w:basedOn w:val="CommentTextChar"/>
    <w:link w:val="CommentSubject"/>
    <w:uiPriority w:val="99"/>
    <w:semiHidden/>
    <w:rsid w:val="000717DD"/>
    <w:rPr>
      <w:b/>
      <w:bCs/>
      <w:sz w:val="20"/>
      <w:szCs w:val="20"/>
    </w:rPr>
  </w:style>
  <w:style w:type="paragraph" w:styleId="NoSpacing">
    <w:name w:val="No Spacing"/>
    <w:uiPriority w:val="99"/>
    <w:qFormat/>
    <w:rsid w:val="003A5DB4"/>
    <w:pPr>
      <w:spacing w:after="0" w:line="240" w:lineRule="auto"/>
    </w:pPr>
    <w:rPr>
      <w:rFonts w:ascii="Cambria" w:eastAsia="MS Mincho" w:hAnsi="Cambria" w:cs="Times New Roman"/>
      <w:sz w:val="24"/>
      <w:szCs w:val="20"/>
      <w:lang w:val="en-US" w:eastAsia="ja-JP"/>
    </w:rPr>
  </w:style>
  <w:style w:type="paragraph" w:styleId="TOC1">
    <w:name w:val="toc 1"/>
    <w:basedOn w:val="Normal"/>
    <w:next w:val="Normal"/>
    <w:autoRedefine/>
    <w:uiPriority w:val="39"/>
    <w:unhideWhenUsed/>
    <w:rsid w:val="003723F0"/>
    <w:pPr>
      <w:spacing w:before="120" w:after="0"/>
    </w:pPr>
    <w:rPr>
      <w:b/>
      <w:sz w:val="24"/>
      <w:szCs w:val="24"/>
    </w:rPr>
  </w:style>
  <w:style w:type="paragraph" w:styleId="TOC2">
    <w:name w:val="toc 2"/>
    <w:basedOn w:val="Normal"/>
    <w:next w:val="Normal"/>
    <w:autoRedefine/>
    <w:uiPriority w:val="39"/>
    <w:unhideWhenUsed/>
    <w:rsid w:val="003723F0"/>
    <w:pPr>
      <w:spacing w:after="0"/>
      <w:ind w:left="220"/>
    </w:pPr>
    <w:rPr>
      <w:b/>
    </w:rPr>
  </w:style>
  <w:style w:type="paragraph" w:styleId="TOC3">
    <w:name w:val="toc 3"/>
    <w:basedOn w:val="Normal"/>
    <w:next w:val="Normal"/>
    <w:autoRedefine/>
    <w:uiPriority w:val="39"/>
    <w:unhideWhenUsed/>
    <w:rsid w:val="003723F0"/>
    <w:pPr>
      <w:spacing w:after="0"/>
      <w:ind w:left="440"/>
    </w:pPr>
  </w:style>
  <w:style w:type="paragraph" w:styleId="TOC4">
    <w:name w:val="toc 4"/>
    <w:basedOn w:val="Normal"/>
    <w:next w:val="Normal"/>
    <w:autoRedefine/>
    <w:uiPriority w:val="39"/>
    <w:unhideWhenUsed/>
    <w:rsid w:val="003723F0"/>
    <w:pPr>
      <w:spacing w:after="0"/>
      <w:ind w:left="660"/>
    </w:pPr>
    <w:rPr>
      <w:sz w:val="20"/>
      <w:szCs w:val="20"/>
    </w:rPr>
  </w:style>
  <w:style w:type="paragraph" w:styleId="TOC5">
    <w:name w:val="toc 5"/>
    <w:basedOn w:val="Normal"/>
    <w:next w:val="Normal"/>
    <w:autoRedefine/>
    <w:uiPriority w:val="39"/>
    <w:unhideWhenUsed/>
    <w:rsid w:val="003723F0"/>
    <w:pPr>
      <w:spacing w:after="0"/>
      <w:ind w:left="880"/>
    </w:pPr>
    <w:rPr>
      <w:sz w:val="20"/>
      <w:szCs w:val="20"/>
    </w:rPr>
  </w:style>
  <w:style w:type="paragraph" w:styleId="TOC6">
    <w:name w:val="toc 6"/>
    <w:basedOn w:val="Normal"/>
    <w:next w:val="Normal"/>
    <w:autoRedefine/>
    <w:uiPriority w:val="39"/>
    <w:unhideWhenUsed/>
    <w:rsid w:val="003723F0"/>
    <w:pPr>
      <w:spacing w:after="0"/>
      <w:ind w:left="1100"/>
    </w:pPr>
    <w:rPr>
      <w:sz w:val="20"/>
      <w:szCs w:val="20"/>
    </w:rPr>
  </w:style>
  <w:style w:type="paragraph" w:styleId="TOC7">
    <w:name w:val="toc 7"/>
    <w:basedOn w:val="Normal"/>
    <w:next w:val="Normal"/>
    <w:autoRedefine/>
    <w:uiPriority w:val="39"/>
    <w:unhideWhenUsed/>
    <w:rsid w:val="003723F0"/>
    <w:pPr>
      <w:spacing w:after="0"/>
      <w:ind w:left="1320"/>
    </w:pPr>
    <w:rPr>
      <w:sz w:val="20"/>
      <w:szCs w:val="20"/>
    </w:rPr>
  </w:style>
  <w:style w:type="paragraph" w:styleId="TOC8">
    <w:name w:val="toc 8"/>
    <w:basedOn w:val="Normal"/>
    <w:next w:val="Normal"/>
    <w:autoRedefine/>
    <w:uiPriority w:val="39"/>
    <w:unhideWhenUsed/>
    <w:rsid w:val="003723F0"/>
    <w:pPr>
      <w:spacing w:after="0"/>
      <w:ind w:left="1540"/>
    </w:pPr>
    <w:rPr>
      <w:sz w:val="20"/>
      <w:szCs w:val="20"/>
    </w:rPr>
  </w:style>
  <w:style w:type="paragraph" w:styleId="TOC9">
    <w:name w:val="toc 9"/>
    <w:basedOn w:val="Normal"/>
    <w:next w:val="Normal"/>
    <w:autoRedefine/>
    <w:uiPriority w:val="39"/>
    <w:unhideWhenUsed/>
    <w:rsid w:val="003723F0"/>
    <w:pPr>
      <w:spacing w:after="0"/>
      <w:ind w:left="1760"/>
    </w:pPr>
    <w:rPr>
      <w:sz w:val="20"/>
      <w:szCs w:val="20"/>
    </w:rPr>
  </w:style>
  <w:style w:type="character" w:customStyle="1" w:styleId="Heading1Char">
    <w:name w:val="Heading 1 Char"/>
    <w:basedOn w:val="DefaultParagraphFont"/>
    <w:link w:val="Heading1"/>
    <w:uiPriority w:val="9"/>
    <w:rsid w:val="004A59CA"/>
    <w:rPr>
      <w:rFonts w:ascii="Arial" w:eastAsiaTheme="majorEastAsia" w:hAnsi="Arial" w:cs="Arial"/>
      <w:b/>
      <w:bCs/>
    </w:rPr>
  </w:style>
  <w:style w:type="paragraph" w:styleId="TOCHeading">
    <w:name w:val="TOC Heading"/>
    <w:basedOn w:val="Heading1"/>
    <w:next w:val="Normal"/>
    <w:uiPriority w:val="39"/>
    <w:unhideWhenUsed/>
    <w:qFormat/>
    <w:rsid w:val="003723F0"/>
    <w:pPr>
      <w:outlineLvl w:val="9"/>
    </w:pPr>
    <w:rPr>
      <w:color w:val="365F91" w:themeColor="accent1" w:themeShade="BF"/>
      <w:szCs w:val="28"/>
      <w:lang w:val="en-US"/>
    </w:rPr>
  </w:style>
  <w:style w:type="character" w:customStyle="1" w:styleId="Heading2Char">
    <w:name w:val="Heading 2 Char"/>
    <w:basedOn w:val="DefaultParagraphFont"/>
    <w:link w:val="Heading2"/>
    <w:uiPriority w:val="9"/>
    <w:rsid w:val="004A59CA"/>
    <w:rPr>
      <w:rFonts w:ascii="Arial" w:hAnsi="Arial" w:cs="Arial"/>
      <w:b/>
    </w:rPr>
  </w:style>
  <w:style w:type="character" w:customStyle="1" w:styleId="Heading3Char">
    <w:name w:val="Heading 3 Char"/>
    <w:basedOn w:val="DefaultParagraphFont"/>
    <w:link w:val="Heading3"/>
    <w:uiPriority w:val="9"/>
    <w:rsid w:val="004A59CA"/>
    <w:rPr>
      <w:rFonts w:ascii="Arial" w:hAnsi="Arial" w:cs="Arial"/>
      <w:b/>
      <w:bCs/>
      <w:color w:val="000000"/>
    </w:rPr>
  </w:style>
  <w:style w:type="character" w:styleId="Hyperlink">
    <w:name w:val="Hyperlink"/>
    <w:basedOn w:val="DefaultParagraphFont"/>
    <w:uiPriority w:val="99"/>
    <w:unhideWhenUsed/>
    <w:rsid w:val="004142D5"/>
    <w:rPr>
      <w:color w:val="0000FF" w:themeColor="hyperlink"/>
      <w:u w:val="single"/>
    </w:rPr>
  </w:style>
  <w:style w:type="character" w:styleId="FollowedHyperlink">
    <w:name w:val="FollowedHyperlink"/>
    <w:basedOn w:val="DefaultParagraphFont"/>
    <w:uiPriority w:val="99"/>
    <w:semiHidden/>
    <w:unhideWhenUsed/>
    <w:rsid w:val="00727686"/>
    <w:rPr>
      <w:color w:val="800080" w:themeColor="followedHyperlink"/>
      <w:u w:val="single"/>
    </w:rPr>
  </w:style>
  <w:style w:type="paragraph" w:styleId="FootnoteText">
    <w:name w:val="footnote text"/>
    <w:basedOn w:val="Normal"/>
    <w:link w:val="FootnoteTextChar"/>
    <w:uiPriority w:val="99"/>
    <w:semiHidden/>
    <w:unhideWhenUsed/>
    <w:rsid w:val="00461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4FE"/>
    <w:rPr>
      <w:sz w:val="20"/>
      <w:szCs w:val="20"/>
    </w:rPr>
  </w:style>
  <w:style w:type="character" w:styleId="FootnoteReference">
    <w:name w:val="footnote reference"/>
    <w:basedOn w:val="DefaultParagraphFont"/>
    <w:uiPriority w:val="99"/>
    <w:semiHidden/>
    <w:unhideWhenUsed/>
    <w:rsid w:val="004614FE"/>
    <w:rPr>
      <w:vertAlign w:val="superscript"/>
    </w:rPr>
  </w:style>
  <w:style w:type="character" w:customStyle="1" w:styleId="prod-title2">
    <w:name w:val="prod-title2"/>
    <w:basedOn w:val="DefaultParagraphFont"/>
    <w:rsid w:val="0072736E"/>
  </w:style>
  <w:style w:type="character" w:customStyle="1" w:styleId="published-date4">
    <w:name w:val="published-date4"/>
    <w:basedOn w:val="DefaultParagraphFont"/>
    <w:rsid w:val="0072736E"/>
  </w:style>
  <w:style w:type="paragraph" w:styleId="EndnoteText">
    <w:name w:val="endnote text"/>
    <w:basedOn w:val="Normal"/>
    <w:link w:val="EndnoteTextChar"/>
    <w:uiPriority w:val="99"/>
    <w:semiHidden/>
    <w:unhideWhenUsed/>
    <w:rsid w:val="00727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36E"/>
    <w:rPr>
      <w:sz w:val="20"/>
      <w:szCs w:val="20"/>
    </w:rPr>
  </w:style>
  <w:style w:type="character" w:styleId="EndnoteReference">
    <w:name w:val="endnote reference"/>
    <w:basedOn w:val="DefaultParagraphFont"/>
    <w:uiPriority w:val="99"/>
    <w:semiHidden/>
    <w:unhideWhenUsed/>
    <w:rsid w:val="007273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629">
      <w:bodyDiv w:val="1"/>
      <w:marLeft w:val="0"/>
      <w:marRight w:val="0"/>
      <w:marTop w:val="0"/>
      <w:marBottom w:val="0"/>
      <w:divBdr>
        <w:top w:val="none" w:sz="0" w:space="0" w:color="auto"/>
        <w:left w:val="none" w:sz="0" w:space="0" w:color="auto"/>
        <w:bottom w:val="none" w:sz="0" w:space="0" w:color="auto"/>
        <w:right w:val="none" w:sz="0" w:space="0" w:color="auto"/>
      </w:divBdr>
      <w:divsChild>
        <w:div w:id="256795697">
          <w:marLeft w:val="1166"/>
          <w:marRight w:val="0"/>
          <w:marTop w:val="0"/>
          <w:marBottom w:val="0"/>
          <w:divBdr>
            <w:top w:val="none" w:sz="0" w:space="0" w:color="auto"/>
            <w:left w:val="none" w:sz="0" w:space="0" w:color="auto"/>
            <w:bottom w:val="none" w:sz="0" w:space="0" w:color="auto"/>
            <w:right w:val="none" w:sz="0" w:space="0" w:color="auto"/>
          </w:divBdr>
        </w:div>
        <w:div w:id="1882278903">
          <w:marLeft w:val="1166"/>
          <w:marRight w:val="0"/>
          <w:marTop w:val="0"/>
          <w:marBottom w:val="0"/>
          <w:divBdr>
            <w:top w:val="none" w:sz="0" w:space="0" w:color="auto"/>
            <w:left w:val="none" w:sz="0" w:space="0" w:color="auto"/>
            <w:bottom w:val="none" w:sz="0" w:space="0" w:color="auto"/>
            <w:right w:val="none" w:sz="0" w:space="0" w:color="auto"/>
          </w:divBdr>
        </w:div>
        <w:div w:id="156654480">
          <w:marLeft w:val="1166"/>
          <w:marRight w:val="0"/>
          <w:marTop w:val="0"/>
          <w:marBottom w:val="0"/>
          <w:divBdr>
            <w:top w:val="none" w:sz="0" w:space="0" w:color="auto"/>
            <w:left w:val="none" w:sz="0" w:space="0" w:color="auto"/>
            <w:bottom w:val="none" w:sz="0" w:space="0" w:color="auto"/>
            <w:right w:val="none" w:sz="0" w:space="0" w:color="auto"/>
          </w:divBdr>
        </w:div>
        <w:div w:id="148985583">
          <w:marLeft w:val="1166"/>
          <w:marRight w:val="0"/>
          <w:marTop w:val="0"/>
          <w:marBottom w:val="0"/>
          <w:divBdr>
            <w:top w:val="none" w:sz="0" w:space="0" w:color="auto"/>
            <w:left w:val="none" w:sz="0" w:space="0" w:color="auto"/>
            <w:bottom w:val="none" w:sz="0" w:space="0" w:color="auto"/>
            <w:right w:val="none" w:sz="0" w:space="0" w:color="auto"/>
          </w:divBdr>
        </w:div>
        <w:div w:id="1897665215">
          <w:marLeft w:val="1166"/>
          <w:marRight w:val="0"/>
          <w:marTop w:val="0"/>
          <w:marBottom w:val="0"/>
          <w:divBdr>
            <w:top w:val="none" w:sz="0" w:space="0" w:color="auto"/>
            <w:left w:val="none" w:sz="0" w:space="0" w:color="auto"/>
            <w:bottom w:val="none" w:sz="0" w:space="0" w:color="auto"/>
            <w:right w:val="none" w:sz="0" w:space="0" w:color="auto"/>
          </w:divBdr>
        </w:div>
        <w:div w:id="1776636036">
          <w:marLeft w:val="1166"/>
          <w:marRight w:val="0"/>
          <w:marTop w:val="0"/>
          <w:marBottom w:val="0"/>
          <w:divBdr>
            <w:top w:val="none" w:sz="0" w:space="0" w:color="auto"/>
            <w:left w:val="none" w:sz="0" w:space="0" w:color="auto"/>
            <w:bottom w:val="none" w:sz="0" w:space="0" w:color="auto"/>
            <w:right w:val="none" w:sz="0" w:space="0" w:color="auto"/>
          </w:divBdr>
        </w:div>
        <w:div w:id="1022245798">
          <w:marLeft w:val="1166"/>
          <w:marRight w:val="0"/>
          <w:marTop w:val="0"/>
          <w:marBottom w:val="0"/>
          <w:divBdr>
            <w:top w:val="none" w:sz="0" w:space="0" w:color="auto"/>
            <w:left w:val="none" w:sz="0" w:space="0" w:color="auto"/>
            <w:bottom w:val="none" w:sz="0" w:space="0" w:color="auto"/>
            <w:right w:val="none" w:sz="0" w:space="0" w:color="auto"/>
          </w:divBdr>
        </w:div>
        <w:div w:id="807557010">
          <w:marLeft w:val="1166"/>
          <w:marRight w:val="0"/>
          <w:marTop w:val="0"/>
          <w:marBottom w:val="0"/>
          <w:divBdr>
            <w:top w:val="none" w:sz="0" w:space="0" w:color="auto"/>
            <w:left w:val="none" w:sz="0" w:space="0" w:color="auto"/>
            <w:bottom w:val="none" w:sz="0" w:space="0" w:color="auto"/>
            <w:right w:val="none" w:sz="0" w:space="0" w:color="auto"/>
          </w:divBdr>
        </w:div>
        <w:div w:id="395320185">
          <w:marLeft w:val="1166"/>
          <w:marRight w:val="0"/>
          <w:marTop w:val="0"/>
          <w:marBottom w:val="0"/>
          <w:divBdr>
            <w:top w:val="none" w:sz="0" w:space="0" w:color="auto"/>
            <w:left w:val="none" w:sz="0" w:space="0" w:color="auto"/>
            <w:bottom w:val="none" w:sz="0" w:space="0" w:color="auto"/>
            <w:right w:val="none" w:sz="0" w:space="0" w:color="auto"/>
          </w:divBdr>
        </w:div>
      </w:divsChild>
    </w:div>
    <w:div w:id="235013603">
      <w:bodyDiv w:val="1"/>
      <w:marLeft w:val="0"/>
      <w:marRight w:val="0"/>
      <w:marTop w:val="0"/>
      <w:marBottom w:val="0"/>
      <w:divBdr>
        <w:top w:val="none" w:sz="0" w:space="0" w:color="auto"/>
        <w:left w:val="none" w:sz="0" w:space="0" w:color="auto"/>
        <w:bottom w:val="none" w:sz="0" w:space="0" w:color="auto"/>
        <w:right w:val="none" w:sz="0" w:space="0" w:color="auto"/>
      </w:divBdr>
      <w:divsChild>
        <w:div w:id="141436057">
          <w:marLeft w:val="1166"/>
          <w:marRight w:val="0"/>
          <w:marTop w:val="0"/>
          <w:marBottom w:val="0"/>
          <w:divBdr>
            <w:top w:val="none" w:sz="0" w:space="0" w:color="auto"/>
            <w:left w:val="none" w:sz="0" w:space="0" w:color="auto"/>
            <w:bottom w:val="none" w:sz="0" w:space="0" w:color="auto"/>
            <w:right w:val="none" w:sz="0" w:space="0" w:color="auto"/>
          </w:divBdr>
        </w:div>
        <w:div w:id="95754177">
          <w:marLeft w:val="1166"/>
          <w:marRight w:val="0"/>
          <w:marTop w:val="0"/>
          <w:marBottom w:val="0"/>
          <w:divBdr>
            <w:top w:val="none" w:sz="0" w:space="0" w:color="auto"/>
            <w:left w:val="none" w:sz="0" w:space="0" w:color="auto"/>
            <w:bottom w:val="none" w:sz="0" w:space="0" w:color="auto"/>
            <w:right w:val="none" w:sz="0" w:space="0" w:color="auto"/>
          </w:divBdr>
        </w:div>
        <w:div w:id="344601159">
          <w:marLeft w:val="1166"/>
          <w:marRight w:val="0"/>
          <w:marTop w:val="0"/>
          <w:marBottom w:val="0"/>
          <w:divBdr>
            <w:top w:val="none" w:sz="0" w:space="0" w:color="auto"/>
            <w:left w:val="none" w:sz="0" w:space="0" w:color="auto"/>
            <w:bottom w:val="none" w:sz="0" w:space="0" w:color="auto"/>
            <w:right w:val="none" w:sz="0" w:space="0" w:color="auto"/>
          </w:divBdr>
        </w:div>
        <w:div w:id="2059428288">
          <w:marLeft w:val="1166"/>
          <w:marRight w:val="0"/>
          <w:marTop w:val="0"/>
          <w:marBottom w:val="0"/>
          <w:divBdr>
            <w:top w:val="none" w:sz="0" w:space="0" w:color="auto"/>
            <w:left w:val="none" w:sz="0" w:space="0" w:color="auto"/>
            <w:bottom w:val="none" w:sz="0" w:space="0" w:color="auto"/>
            <w:right w:val="none" w:sz="0" w:space="0" w:color="auto"/>
          </w:divBdr>
        </w:div>
        <w:div w:id="2046638397">
          <w:marLeft w:val="1166"/>
          <w:marRight w:val="0"/>
          <w:marTop w:val="0"/>
          <w:marBottom w:val="0"/>
          <w:divBdr>
            <w:top w:val="none" w:sz="0" w:space="0" w:color="auto"/>
            <w:left w:val="none" w:sz="0" w:space="0" w:color="auto"/>
            <w:bottom w:val="none" w:sz="0" w:space="0" w:color="auto"/>
            <w:right w:val="none" w:sz="0" w:space="0" w:color="auto"/>
          </w:divBdr>
        </w:div>
        <w:div w:id="513033662">
          <w:marLeft w:val="1166"/>
          <w:marRight w:val="0"/>
          <w:marTop w:val="0"/>
          <w:marBottom w:val="0"/>
          <w:divBdr>
            <w:top w:val="none" w:sz="0" w:space="0" w:color="auto"/>
            <w:left w:val="none" w:sz="0" w:space="0" w:color="auto"/>
            <w:bottom w:val="none" w:sz="0" w:space="0" w:color="auto"/>
            <w:right w:val="none" w:sz="0" w:space="0" w:color="auto"/>
          </w:divBdr>
        </w:div>
        <w:div w:id="1103454499">
          <w:marLeft w:val="1166"/>
          <w:marRight w:val="0"/>
          <w:marTop w:val="0"/>
          <w:marBottom w:val="0"/>
          <w:divBdr>
            <w:top w:val="none" w:sz="0" w:space="0" w:color="auto"/>
            <w:left w:val="none" w:sz="0" w:space="0" w:color="auto"/>
            <w:bottom w:val="none" w:sz="0" w:space="0" w:color="auto"/>
            <w:right w:val="none" w:sz="0" w:space="0" w:color="auto"/>
          </w:divBdr>
        </w:div>
        <w:div w:id="2015447898">
          <w:marLeft w:val="1166"/>
          <w:marRight w:val="0"/>
          <w:marTop w:val="0"/>
          <w:marBottom w:val="0"/>
          <w:divBdr>
            <w:top w:val="none" w:sz="0" w:space="0" w:color="auto"/>
            <w:left w:val="none" w:sz="0" w:space="0" w:color="auto"/>
            <w:bottom w:val="none" w:sz="0" w:space="0" w:color="auto"/>
            <w:right w:val="none" w:sz="0" w:space="0" w:color="auto"/>
          </w:divBdr>
        </w:div>
        <w:div w:id="2041470661">
          <w:marLeft w:val="1166"/>
          <w:marRight w:val="0"/>
          <w:marTop w:val="0"/>
          <w:marBottom w:val="0"/>
          <w:divBdr>
            <w:top w:val="none" w:sz="0" w:space="0" w:color="auto"/>
            <w:left w:val="none" w:sz="0" w:space="0" w:color="auto"/>
            <w:bottom w:val="none" w:sz="0" w:space="0" w:color="auto"/>
            <w:right w:val="none" w:sz="0" w:space="0" w:color="auto"/>
          </w:divBdr>
        </w:div>
        <w:div w:id="1045105371">
          <w:marLeft w:val="1166"/>
          <w:marRight w:val="0"/>
          <w:marTop w:val="0"/>
          <w:marBottom w:val="0"/>
          <w:divBdr>
            <w:top w:val="none" w:sz="0" w:space="0" w:color="auto"/>
            <w:left w:val="none" w:sz="0" w:space="0" w:color="auto"/>
            <w:bottom w:val="none" w:sz="0" w:space="0" w:color="auto"/>
            <w:right w:val="none" w:sz="0" w:space="0" w:color="auto"/>
          </w:divBdr>
        </w:div>
      </w:divsChild>
    </w:div>
    <w:div w:id="296883224">
      <w:bodyDiv w:val="1"/>
      <w:marLeft w:val="0"/>
      <w:marRight w:val="0"/>
      <w:marTop w:val="0"/>
      <w:marBottom w:val="0"/>
      <w:divBdr>
        <w:top w:val="none" w:sz="0" w:space="0" w:color="auto"/>
        <w:left w:val="none" w:sz="0" w:space="0" w:color="auto"/>
        <w:bottom w:val="none" w:sz="0" w:space="0" w:color="auto"/>
        <w:right w:val="none" w:sz="0" w:space="0" w:color="auto"/>
      </w:divBdr>
      <w:divsChild>
        <w:div w:id="1423644547">
          <w:marLeft w:val="1166"/>
          <w:marRight w:val="0"/>
          <w:marTop w:val="0"/>
          <w:marBottom w:val="0"/>
          <w:divBdr>
            <w:top w:val="none" w:sz="0" w:space="0" w:color="auto"/>
            <w:left w:val="none" w:sz="0" w:space="0" w:color="auto"/>
            <w:bottom w:val="none" w:sz="0" w:space="0" w:color="auto"/>
            <w:right w:val="none" w:sz="0" w:space="0" w:color="auto"/>
          </w:divBdr>
        </w:div>
      </w:divsChild>
    </w:div>
    <w:div w:id="366418691">
      <w:bodyDiv w:val="1"/>
      <w:marLeft w:val="0"/>
      <w:marRight w:val="0"/>
      <w:marTop w:val="0"/>
      <w:marBottom w:val="0"/>
      <w:divBdr>
        <w:top w:val="none" w:sz="0" w:space="0" w:color="auto"/>
        <w:left w:val="none" w:sz="0" w:space="0" w:color="auto"/>
        <w:bottom w:val="none" w:sz="0" w:space="0" w:color="auto"/>
        <w:right w:val="none" w:sz="0" w:space="0" w:color="auto"/>
      </w:divBdr>
      <w:divsChild>
        <w:div w:id="559831313">
          <w:marLeft w:val="1166"/>
          <w:marRight w:val="0"/>
          <w:marTop w:val="0"/>
          <w:marBottom w:val="0"/>
          <w:divBdr>
            <w:top w:val="none" w:sz="0" w:space="0" w:color="auto"/>
            <w:left w:val="none" w:sz="0" w:space="0" w:color="auto"/>
            <w:bottom w:val="none" w:sz="0" w:space="0" w:color="auto"/>
            <w:right w:val="none" w:sz="0" w:space="0" w:color="auto"/>
          </w:divBdr>
        </w:div>
      </w:divsChild>
    </w:div>
    <w:div w:id="396705184">
      <w:bodyDiv w:val="1"/>
      <w:marLeft w:val="0"/>
      <w:marRight w:val="0"/>
      <w:marTop w:val="0"/>
      <w:marBottom w:val="0"/>
      <w:divBdr>
        <w:top w:val="none" w:sz="0" w:space="0" w:color="auto"/>
        <w:left w:val="none" w:sz="0" w:space="0" w:color="auto"/>
        <w:bottom w:val="none" w:sz="0" w:space="0" w:color="auto"/>
        <w:right w:val="none" w:sz="0" w:space="0" w:color="auto"/>
      </w:divBdr>
      <w:divsChild>
        <w:div w:id="1714961033">
          <w:marLeft w:val="446"/>
          <w:marRight w:val="0"/>
          <w:marTop w:val="0"/>
          <w:marBottom w:val="0"/>
          <w:divBdr>
            <w:top w:val="none" w:sz="0" w:space="0" w:color="auto"/>
            <w:left w:val="none" w:sz="0" w:space="0" w:color="auto"/>
            <w:bottom w:val="none" w:sz="0" w:space="0" w:color="auto"/>
            <w:right w:val="none" w:sz="0" w:space="0" w:color="auto"/>
          </w:divBdr>
        </w:div>
        <w:div w:id="932975801">
          <w:marLeft w:val="446"/>
          <w:marRight w:val="0"/>
          <w:marTop w:val="0"/>
          <w:marBottom w:val="0"/>
          <w:divBdr>
            <w:top w:val="none" w:sz="0" w:space="0" w:color="auto"/>
            <w:left w:val="none" w:sz="0" w:space="0" w:color="auto"/>
            <w:bottom w:val="none" w:sz="0" w:space="0" w:color="auto"/>
            <w:right w:val="none" w:sz="0" w:space="0" w:color="auto"/>
          </w:divBdr>
        </w:div>
        <w:div w:id="561449568">
          <w:marLeft w:val="446"/>
          <w:marRight w:val="0"/>
          <w:marTop w:val="0"/>
          <w:marBottom w:val="0"/>
          <w:divBdr>
            <w:top w:val="none" w:sz="0" w:space="0" w:color="auto"/>
            <w:left w:val="none" w:sz="0" w:space="0" w:color="auto"/>
            <w:bottom w:val="none" w:sz="0" w:space="0" w:color="auto"/>
            <w:right w:val="none" w:sz="0" w:space="0" w:color="auto"/>
          </w:divBdr>
        </w:div>
        <w:div w:id="494226144">
          <w:marLeft w:val="446"/>
          <w:marRight w:val="0"/>
          <w:marTop w:val="0"/>
          <w:marBottom w:val="0"/>
          <w:divBdr>
            <w:top w:val="none" w:sz="0" w:space="0" w:color="auto"/>
            <w:left w:val="none" w:sz="0" w:space="0" w:color="auto"/>
            <w:bottom w:val="none" w:sz="0" w:space="0" w:color="auto"/>
            <w:right w:val="none" w:sz="0" w:space="0" w:color="auto"/>
          </w:divBdr>
        </w:div>
        <w:div w:id="1813980944">
          <w:marLeft w:val="446"/>
          <w:marRight w:val="0"/>
          <w:marTop w:val="0"/>
          <w:marBottom w:val="0"/>
          <w:divBdr>
            <w:top w:val="none" w:sz="0" w:space="0" w:color="auto"/>
            <w:left w:val="none" w:sz="0" w:space="0" w:color="auto"/>
            <w:bottom w:val="none" w:sz="0" w:space="0" w:color="auto"/>
            <w:right w:val="none" w:sz="0" w:space="0" w:color="auto"/>
          </w:divBdr>
        </w:div>
      </w:divsChild>
    </w:div>
    <w:div w:id="646470309">
      <w:bodyDiv w:val="1"/>
      <w:marLeft w:val="0"/>
      <w:marRight w:val="0"/>
      <w:marTop w:val="0"/>
      <w:marBottom w:val="0"/>
      <w:divBdr>
        <w:top w:val="none" w:sz="0" w:space="0" w:color="auto"/>
        <w:left w:val="none" w:sz="0" w:space="0" w:color="auto"/>
        <w:bottom w:val="none" w:sz="0" w:space="0" w:color="auto"/>
        <w:right w:val="none" w:sz="0" w:space="0" w:color="auto"/>
      </w:divBdr>
      <w:divsChild>
        <w:div w:id="1953704025">
          <w:marLeft w:val="446"/>
          <w:marRight w:val="0"/>
          <w:marTop w:val="0"/>
          <w:marBottom w:val="0"/>
          <w:divBdr>
            <w:top w:val="none" w:sz="0" w:space="0" w:color="auto"/>
            <w:left w:val="none" w:sz="0" w:space="0" w:color="auto"/>
            <w:bottom w:val="none" w:sz="0" w:space="0" w:color="auto"/>
            <w:right w:val="none" w:sz="0" w:space="0" w:color="auto"/>
          </w:divBdr>
        </w:div>
        <w:div w:id="273513342">
          <w:marLeft w:val="446"/>
          <w:marRight w:val="0"/>
          <w:marTop w:val="0"/>
          <w:marBottom w:val="0"/>
          <w:divBdr>
            <w:top w:val="none" w:sz="0" w:space="0" w:color="auto"/>
            <w:left w:val="none" w:sz="0" w:space="0" w:color="auto"/>
            <w:bottom w:val="none" w:sz="0" w:space="0" w:color="auto"/>
            <w:right w:val="none" w:sz="0" w:space="0" w:color="auto"/>
          </w:divBdr>
        </w:div>
        <w:div w:id="79062622">
          <w:marLeft w:val="1166"/>
          <w:marRight w:val="0"/>
          <w:marTop w:val="0"/>
          <w:marBottom w:val="0"/>
          <w:divBdr>
            <w:top w:val="none" w:sz="0" w:space="0" w:color="auto"/>
            <w:left w:val="none" w:sz="0" w:space="0" w:color="auto"/>
            <w:bottom w:val="none" w:sz="0" w:space="0" w:color="auto"/>
            <w:right w:val="none" w:sz="0" w:space="0" w:color="auto"/>
          </w:divBdr>
        </w:div>
        <w:div w:id="378165839">
          <w:marLeft w:val="1166"/>
          <w:marRight w:val="0"/>
          <w:marTop w:val="0"/>
          <w:marBottom w:val="0"/>
          <w:divBdr>
            <w:top w:val="none" w:sz="0" w:space="0" w:color="auto"/>
            <w:left w:val="none" w:sz="0" w:space="0" w:color="auto"/>
            <w:bottom w:val="none" w:sz="0" w:space="0" w:color="auto"/>
            <w:right w:val="none" w:sz="0" w:space="0" w:color="auto"/>
          </w:divBdr>
        </w:div>
        <w:div w:id="114448427">
          <w:marLeft w:val="1166"/>
          <w:marRight w:val="0"/>
          <w:marTop w:val="0"/>
          <w:marBottom w:val="0"/>
          <w:divBdr>
            <w:top w:val="none" w:sz="0" w:space="0" w:color="auto"/>
            <w:left w:val="none" w:sz="0" w:space="0" w:color="auto"/>
            <w:bottom w:val="none" w:sz="0" w:space="0" w:color="auto"/>
            <w:right w:val="none" w:sz="0" w:space="0" w:color="auto"/>
          </w:divBdr>
        </w:div>
        <w:div w:id="281227183">
          <w:marLeft w:val="1166"/>
          <w:marRight w:val="0"/>
          <w:marTop w:val="0"/>
          <w:marBottom w:val="0"/>
          <w:divBdr>
            <w:top w:val="none" w:sz="0" w:space="0" w:color="auto"/>
            <w:left w:val="none" w:sz="0" w:space="0" w:color="auto"/>
            <w:bottom w:val="none" w:sz="0" w:space="0" w:color="auto"/>
            <w:right w:val="none" w:sz="0" w:space="0" w:color="auto"/>
          </w:divBdr>
        </w:div>
        <w:div w:id="639770914">
          <w:marLeft w:val="446"/>
          <w:marRight w:val="0"/>
          <w:marTop w:val="0"/>
          <w:marBottom w:val="0"/>
          <w:divBdr>
            <w:top w:val="none" w:sz="0" w:space="0" w:color="auto"/>
            <w:left w:val="none" w:sz="0" w:space="0" w:color="auto"/>
            <w:bottom w:val="none" w:sz="0" w:space="0" w:color="auto"/>
            <w:right w:val="none" w:sz="0" w:space="0" w:color="auto"/>
          </w:divBdr>
        </w:div>
      </w:divsChild>
    </w:div>
    <w:div w:id="800195692">
      <w:bodyDiv w:val="1"/>
      <w:marLeft w:val="0"/>
      <w:marRight w:val="0"/>
      <w:marTop w:val="0"/>
      <w:marBottom w:val="0"/>
      <w:divBdr>
        <w:top w:val="none" w:sz="0" w:space="0" w:color="auto"/>
        <w:left w:val="none" w:sz="0" w:space="0" w:color="auto"/>
        <w:bottom w:val="none" w:sz="0" w:space="0" w:color="auto"/>
        <w:right w:val="none" w:sz="0" w:space="0" w:color="auto"/>
      </w:divBdr>
    </w:div>
    <w:div w:id="1098405555">
      <w:bodyDiv w:val="1"/>
      <w:marLeft w:val="0"/>
      <w:marRight w:val="0"/>
      <w:marTop w:val="0"/>
      <w:marBottom w:val="0"/>
      <w:divBdr>
        <w:top w:val="none" w:sz="0" w:space="0" w:color="auto"/>
        <w:left w:val="none" w:sz="0" w:space="0" w:color="auto"/>
        <w:bottom w:val="none" w:sz="0" w:space="0" w:color="auto"/>
        <w:right w:val="none" w:sz="0" w:space="0" w:color="auto"/>
      </w:divBdr>
    </w:div>
    <w:div w:id="1233782894">
      <w:bodyDiv w:val="1"/>
      <w:marLeft w:val="0"/>
      <w:marRight w:val="0"/>
      <w:marTop w:val="0"/>
      <w:marBottom w:val="0"/>
      <w:divBdr>
        <w:top w:val="none" w:sz="0" w:space="0" w:color="auto"/>
        <w:left w:val="none" w:sz="0" w:space="0" w:color="auto"/>
        <w:bottom w:val="none" w:sz="0" w:space="0" w:color="auto"/>
        <w:right w:val="none" w:sz="0" w:space="0" w:color="auto"/>
      </w:divBdr>
      <w:divsChild>
        <w:div w:id="1312296051">
          <w:marLeft w:val="446"/>
          <w:marRight w:val="0"/>
          <w:marTop w:val="0"/>
          <w:marBottom w:val="0"/>
          <w:divBdr>
            <w:top w:val="none" w:sz="0" w:space="0" w:color="auto"/>
            <w:left w:val="none" w:sz="0" w:space="0" w:color="auto"/>
            <w:bottom w:val="none" w:sz="0" w:space="0" w:color="auto"/>
            <w:right w:val="none" w:sz="0" w:space="0" w:color="auto"/>
          </w:divBdr>
        </w:div>
        <w:div w:id="839274169">
          <w:marLeft w:val="1886"/>
          <w:marRight w:val="0"/>
          <w:marTop w:val="0"/>
          <w:marBottom w:val="0"/>
          <w:divBdr>
            <w:top w:val="none" w:sz="0" w:space="0" w:color="auto"/>
            <w:left w:val="none" w:sz="0" w:space="0" w:color="auto"/>
            <w:bottom w:val="none" w:sz="0" w:space="0" w:color="auto"/>
            <w:right w:val="none" w:sz="0" w:space="0" w:color="auto"/>
          </w:divBdr>
        </w:div>
        <w:div w:id="112985577">
          <w:marLeft w:val="1886"/>
          <w:marRight w:val="0"/>
          <w:marTop w:val="0"/>
          <w:marBottom w:val="0"/>
          <w:divBdr>
            <w:top w:val="none" w:sz="0" w:space="0" w:color="auto"/>
            <w:left w:val="none" w:sz="0" w:space="0" w:color="auto"/>
            <w:bottom w:val="none" w:sz="0" w:space="0" w:color="auto"/>
            <w:right w:val="none" w:sz="0" w:space="0" w:color="auto"/>
          </w:divBdr>
        </w:div>
        <w:div w:id="2004047749">
          <w:marLeft w:val="1886"/>
          <w:marRight w:val="0"/>
          <w:marTop w:val="0"/>
          <w:marBottom w:val="0"/>
          <w:divBdr>
            <w:top w:val="none" w:sz="0" w:space="0" w:color="auto"/>
            <w:left w:val="none" w:sz="0" w:space="0" w:color="auto"/>
            <w:bottom w:val="none" w:sz="0" w:space="0" w:color="auto"/>
            <w:right w:val="none" w:sz="0" w:space="0" w:color="auto"/>
          </w:divBdr>
        </w:div>
        <w:div w:id="444424721">
          <w:marLeft w:val="446"/>
          <w:marRight w:val="0"/>
          <w:marTop w:val="0"/>
          <w:marBottom w:val="0"/>
          <w:divBdr>
            <w:top w:val="none" w:sz="0" w:space="0" w:color="auto"/>
            <w:left w:val="none" w:sz="0" w:space="0" w:color="auto"/>
            <w:bottom w:val="none" w:sz="0" w:space="0" w:color="auto"/>
            <w:right w:val="none" w:sz="0" w:space="0" w:color="auto"/>
          </w:divBdr>
        </w:div>
        <w:div w:id="1721316815">
          <w:marLeft w:val="1886"/>
          <w:marRight w:val="0"/>
          <w:marTop w:val="0"/>
          <w:marBottom w:val="0"/>
          <w:divBdr>
            <w:top w:val="none" w:sz="0" w:space="0" w:color="auto"/>
            <w:left w:val="none" w:sz="0" w:space="0" w:color="auto"/>
            <w:bottom w:val="none" w:sz="0" w:space="0" w:color="auto"/>
            <w:right w:val="none" w:sz="0" w:space="0" w:color="auto"/>
          </w:divBdr>
        </w:div>
        <w:div w:id="1453204239">
          <w:marLeft w:val="1886"/>
          <w:marRight w:val="0"/>
          <w:marTop w:val="0"/>
          <w:marBottom w:val="0"/>
          <w:divBdr>
            <w:top w:val="none" w:sz="0" w:space="0" w:color="auto"/>
            <w:left w:val="none" w:sz="0" w:space="0" w:color="auto"/>
            <w:bottom w:val="none" w:sz="0" w:space="0" w:color="auto"/>
            <w:right w:val="none" w:sz="0" w:space="0" w:color="auto"/>
          </w:divBdr>
        </w:div>
        <w:div w:id="112092286">
          <w:marLeft w:val="1886"/>
          <w:marRight w:val="0"/>
          <w:marTop w:val="0"/>
          <w:marBottom w:val="0"/>
          <w:divBdr>
            <w:top w:val="none" w:sz="0" w:space="0" w:color="auto"/>
            <w:left w:val="none" w:sz="0" w:space="0" w:color="auto"/>
            <w:bottom w:val="none" w:sz="0" w:space="0" w:color="auto"/>
            <w:right w:val="none" w:sz="0" w:space="0" w:color="auto"/>
          </w:divBdr>
        </w:div>
      </w:divsChild>
    </w:div>
    <w:div w:id="1348750759">
      <w:bodyDiv w:val="1"/>
      <w:marLeft w:val="0"/>
      <w:marRight w:val="0"/>
      <w:marTop w:val="0"/>
      <w:marBottom w:val="0"/>
      <w:divBdr>
        <w:top w:val="none" w:sz="0" w:space="0" w:color="auto"/>
        <w:left w:val="none" w:sz="0" w:space="0" w:color="auto"/>
        <w:bottom w:val="none" w:sz="0" w:space="0" w:color="auto"/>
        <w:right w:val="none" w:sz="0" w:space="0" w:color="auto"/>
      </w:divBdr>
      <w:divsChild>
        <w:div w:id="184440109">
          <w:marLeft w:val="1166"/>
          <w:marRight w:val="0"/>
          <w:marTop w:val="0"/>
          <w:marBottom w:val="0"/>
          <w:divBdr>
            <w:top w:val="none" w:sz="0" w:space="0" w:color="auto"/>
            <w:left w:val="none" w:sz="0" w:space="0" w:color="auto"/>
            <w:bottom w:val="none" w:sz="0" w:space="0" w:color="auto"/>
            <w:right w:val="none" w:sz="0" w:space="0" w:color="auto"/>
          </w:divBdr>
        </w:div>
      </w:divsChild>
    </w:div>
    <w:div w:id="1663971028">
      <w:bodyDiv w:val="1"/>
      <w:marLeft w:val="0"/>
      <w:marRight w:val="0"/>
      <w:marTop w:val="0"/>
      <w:marBottom w:val="0"/>
      <w:divBdr>
        <w:top w:val="none" w:sz="0" w:space="0" w:color="auto"/>
        <w:left w:val="none" w:sz="0" w:space="0" w:color="auto"/>
        <w:bottom w:val="none" w:sz="0" w:space="0" w:color="auto"/>
        <w:right w:val="none" w:sz="0" w:space="0" w:color="auto"/>
      </w:divBdr>
    </w:div>
    <w:div w:id="1716347568">
      <w:bodyDiv w:val="1"/>
      <w:marLeft w:val="0"/>
      <w:marRight w:val="0"/>
      <w:marTop w:val="0"/>
      <w:marBottom w:val="0"/>
      <w:divBdr>
        <w:top w:val="none" w:sz="0" w:space="0" w:color="auto"/>
        <w:left w:val="none" w:sz="0" w:space="0" w:color="auto"/>
        <w:bottom w:val="none" w:sz="0" w:space="0" w:color="auto"/>
        <w:right w:val="none" w:sz="0" w:space="0" w:color="auto"/>
      </w:divBdr>
      <w:divsChild>
        <w:div w:id="1772234405">
          <w:marLeft w:val="1166"/>
          <w:marRight w:val="0"/>
          <w:marTop w:val="0"/>
          <w:marBottom w:val="0"/>
          <w:divBdr>
            <w:top w:val="none" w:sz="0" w:space="0" w:color="auto"/>
            <w:left w:val="none" w:sz="0" w:space="0" w:color="auto"/>
            <w:bottom w:val="none" w:sz="0" w:space="0" w:color="auto"/>
            <w:right w:val="none" w:sz="0" w:space="0" w:color="auto"/>
          </w:divBdr>
        </w:div>
        <w:div w:id="1891108170">
          <w:marLeft w:val="1166"/>
          <w:marRight w:val="0"/>
          <w:marTop w:val="0"/>
          <w:marBottom w:val="0"/>
          <w:divBdr>
            <w:top w:val="none" w:sz="0" w:space="0" w:color="auto"/>
            <w:left w:val="none" w:sz="0" w:space="0" w:color="auto"/>
            <w:bottom w:val="none" w:sz="0" w:space="0" w:color="auto"/>
            <w:right w:val="none" w:sz="0" w:space="0" w:color="auto"/>
          </w:divBdr>
        </w:div>
        <w:div w:id="1075053596">
          <w:marLeft w:val="1166"/>
          <w:marRight w:val="0"/>
          <w:marTop w:val="0"/>
          <w:marBottom w:val="0"/>
          <w:divBdr>
            <w:top w:val="none" w:sz="0" w:space="0" w:color="auto"/>
            <w:left w:val="none" w:sz="0" w:space="0" w:color="auto"/>
            <w:bottom w:val="none" w:sz="0" w:space="0" w:color="auto"/>
            <w:right w:val="none" w:sz="0" w:space="0" w:color="auto"/>
          </w:divBdr>
        </w:div>
        <w:div w:id="948705381">
          <w:marLeft w:val="1166"/>
          <w:marRight w:val="0"/>
          <w:marTop w:val="0"/>
          <w:marBottom w:val="0"/>
          <w:divBdr>
            <w:top w:val="none" w:sz="0" w:space="0" w:color="auto"/>
            <w:left w:val="none" w:sz="0" w:space="0" w:color="auto"/>
            <w:bottom w:val="none" w:sz="0" w:space="0" w:color="auto"/>
            <w:right w:val="none" w:sz="0" w:space="0" w:color="auto"/>
          </w:divBdr>
        </w:div>
        <w:div w:id="1535921773">
          <w:marLeft w:val="1166"/>
          <w:marRight w:val="0"/>
          <w:marTop w:val="0"/>
          <w:marBottom w:val="0"/>
          <w:divBdr>
            <w:top w:val="none" w:sz="0" w:space="0" w:color="auto"/>
            <w:left w:val="none" w:sz="0" w:space="0" w:color="auto"/>
            <w:bottom w:val="none" w:sz="0" w:space="0" w:color="auto"/>
            <w:right w:val="none" w:sz="0" w:space="0" w:color="auto"/>
          </w:divBdr>
        </w:div>
        <w:div w:id="493422894">
          <w:marLeft w:val="1166"/>
          <w:marRight w:val="0"/>
          <w:marTop w:val="0"/>
          <w:marBottom w:val="0"/>
          <w:divBdr>
            <w:top w:val="none" w:sz="0" w:space="0" w:color="auto"/>
            <w:left w:val="none" w:sz="0" w:space="0" w:color="auto"/>
            <w:bottom w:val="none" w:sz="0" w:space="0" w:color="auto"/>
            <w:right w:val="none" w:sz="0" w:space="0" w:color="auto"/>
          </w:divBdr>
        </w:div>
        <w:div w:id="712268756">
          <w:marLeft w:val="1166"/>
          <w:marRight w:val="0"/>
          <w:marTop w:val="0"/>
          <w:marBottom w:val="0"/>
          <w:divBdr>
            <w:top w:val="none" w:sz="0" w:space="0" w:color="auto"/>
            <w:left w:val="none" w:sz="0" w:space="0" w:color="auto"/>
            <w:bottom w:val="none" w:sz="0" w:space="0" w:color="auto"/>
            <w:right w:val="none" w:sz="0" w:space="0" w:color="auto"/>
          </w:divBdr>
        </w:div>
        <w:div w:id="293564912">
          <w:marLeft w:val="1166"/>
          <w:marRight w:val="0"/>
          <w:marTop w:val="0"/>
          <w:marBottom w:val="0"/>
          <w:divBdr>
            <w:top w:val="none" w:sz="0" w:space="0" w:color="auto"/>
            <w:left w:val="none" w:sz="0" w:space="0" w:color="auto"/>
            <w:bottom w:val="none" w:sz="0" w:space="0" w:color="auto"/>
            <w:right w:val="none" w:sz="0" w:space="0" w:color="auto"/>
          </w:divBdr>
        </w:div>
        <w:div w:id="602960049">
          <w:marLeft w:val="1166"/>
          <w:marRight w:val="0"/>
          <w:marTop w:val="0"/>
          <w:marBottom w:val="0"/>
          <w:divBdr>
            <w:top w:val="none" w:sz="0" w:space="0" w:color="auto"/>
            <w:left w:val="none" w:sz="0" w:space="0" w:color="auto"/>
            <w:bottom w:val="none" w:sz="0" w:space="0" w:color="auto"/>
            <w:right w:val="none" w:sz="0" w:space="0" w:color="auto"/>
          </w:divBdr>
        </w:div>
      </w:divsChild>
    </w:div>
    <w:div w:id="1722898614">
      <w:bodyDiv w:val="1"/>
      <w:marLeft w:val="0"/>
      <w:marRight w:val="0"/>
      <w:marTop w:val="0"/>
      <w:marBottom w:val="0"/>
      <w:divBdr>
        <w:top w:val="none" w:sz="0" w:space="0" w:color="auto"/>
        <w:left w:val="none" w:sz="0" w:space="0" w:color="auto"/>
        <w:bottom w:val="none" w:sz="0" w:space="0" w:color="auto"/>
        <w:right w:val="none" w:sz="0" w:space="0" w:color="auto"/>
      </w:divBdr>
      <w:divsChild>
        <w:div w:id="1749839950">
          <w:marLeft w:val="547"/>
          <w:marRight w:val="0"/>
          <w:marTop w:val="0"/>
          <w:marBottom w:val="0"/>
          <w:divBdr>
            <w:top w:val="none" w:sz="0" w:space="0" w:color="auto"/>
            <w:left w:val="none" w:sz="0" w:space="0" w:color="auto"/>
            <w:bottom w:val="none" w:sz="0" w:space="0" w:color="auto"/>
            <w:right w:val="none" w:sz="0" w:space="0" w:color="auto"/>
          </w:divBdr>
        </w:div>
        <w:div w:id="215823333">
          <w:marLeft w:val="547"/>
          <w:marRight w:val="0"/>
          <w:marTop w:val="0"/>
          <w:marBottom w:val="0"/>
          <w:divBdr>
            <w:top w:val="none" w:sz="0" w:space="0" w:color="auto"/>
            <w:left w:val="none" w:sz="0" w:space="0" w:color="auto"/>
            <w:bottom w:val="none" w:sz="0" w:space="0" w:color="auto"/>
            <w:right w:val="none" w:sz="0" w:space="0" w:color="auto"/>
          </w:divBdr>
        </w:div>
        <w:div w:id="1762216151">
          <w:marLeft w:val="547"/>
          <w:marRight w:val="0"/>
          <w:marTop w:val="0"/>
          <w:marBottom w:val="0"/>
          <w:divBdr>
            <w:top w:val="none" w:sz="0" w:space="0" w:color="auto"/>
            <w:left w:val="none" w:sz="0" w:space="0" w:color="auto"/>
            <w:bottom w:val="none" w:sz="0" w:space="0" w:color="auto"/>
            <w:right w:val="none" w:sz="0" w:space="0" w:color="auto"/>
          </w:divBdr>
        </w:div>
        <w:div w:id="1132793429">
          <w:marLeft w:val="547"/>
          <w:marRight w:val="0"/>
          <w:marTop w:val="0"/>
          <w:marBottom w:val="0"/>
          <w:divBdr>
            <w:top w:val="none" w:sz="0" w:space="0" w:color="auto"/>
            <w:left w:val="none" w:sz="0" w:space="0" w:color="auto"/>
            <w:bottom w:val="none" w:sz="0" w:space="0" w:color="auto"/>
            <w:right w:val="none" w:sz="0" w:space="0" w:color="auto"/>
          </w:divBdr>
        </w:div>
        <w:div w:id="560140657">
          <w:marLeft w:val="547"/>
          <w:marRight w:val="0"/>
          <w:marTop w:val="0"/>
          <w:marBottom w:val="0"/>
          <w:divBdr>
            <w:top w:val="none" w:sz="0" w:space="0" w:color="auto"/>
            <w:left w:val="none" w:sz="0" w:space="0" w:color="auto"/>
            <w:bottom w:val="none" w:sz="0" w:space="0" w:color="auto"/>
            <w:right w:val="none" w:sz="0" w:space="0" w:color="auto"/>
          </w:divBdr>
        </w:div>
        <w:div w:id="1168863880">
          <w:marLeft w:val="547"/>
          <w:marRight w:val="0"/>
          <w:marTop w:val="0"/>
          <w:marBottom w:val="0"/>
          <w:divBdr>
            <w:top w:val="none" w:sz="0" w:space="0" w:color="auto"/>
            <w:left w:val="none" w:sz="0" w:space="0" w:color="auto"/>
            <w:bottom w:val="none" w:sz="0" w:space="0" w:color="auto"/>
            <w:right w:val="none" w:sz="0" w:space="0" w:color="auto"/>
          </w:divBdr>
        </w:div>
      </w:divsChild>
    </w:div>
    <w:div w:id="1893806644">
      <w:bodyDiv w:val="1"/>
      <w:marLeft w:val="0"/>
      <w:marRight w:val="0"/>
      <w:marTop w:val="0"/>
      <w:marBottom w:val="0"/>
      <w:divBdr>
        <w:top w:val="none" w:sz="0" w:space="0" w:color="auto"/>
        <w:left w:val="none" w:sz="0" w:space="0" w:color="auto"/>
        <w:bottom w:val="none" w:sz="0" w:space="0" w:color="auto"/>
        <w:right w:val="none" w:sz="0" w:space="0" w:color="auto"/>
      </w:divBdr>
    </w:div>
    <w:div w:id="1911235509">
      <w:bodyDiv w:val="1"/>
      <w:marLeft w:val="0"/>
      <w:marRight w:val="0"/>
      <w:marTop w:val="0"/>
      <w:marBottom w:val="0"/>
      <w:divBdr>
        <w:top w:val="none" w:sz="0" w:space="0" w:color="auto"/>
        <w:left w:val="none" w:sz="0" w:space="0" w:color="auto"/>
        <w:bottom w:val="none" w:sz="0" w:space="0" w:color="auto"/>
        <w:right w:val="none" w:sz="0" w:space="0" w:color="auto"/>
      </w:divBdr>
      <w:divsChild>
        <w:div w:id="532811750">
          <w:marLeft w:val="446"/>
          <w:marRight w:val="0"/>
          <w:marTop w:val="0"/>
          <w:marBottom w:val="0"/>
          <w:divBdr>
            <w:top w:val="none" w:sz="0" w:space="0" w:color="auto"/>
            <w:left w:val="none" w:sz="0" w:space="0" w:color="auto"/>
            <w:bottom w:val="none" w:sz="0" w:space="0" w:color="auto"/>
            <w:right w:val="none" w:sz="0" w:space="0" w:color="auto"/>
          </w:divBdr>
        </w:div>
      </w:divsChild>
    </w:div>
    <w:div w:id="1968506810">
      <w:bodyDiv w:val="1"/>
      <w:marLeft w:val="0"/>
      <w:marRight w:val="0"/>
      <w:marTop w:val="0"/>
      <w:marBottom w:val="0"/>
      <w:divBdr>
        <w:top w:val="none" w:sz="0" w:space="0" w:color="auto"/>
        <w:left w:val="none" w:sz="0" w:space="0" w:color="auto"/>
        <w:bottom w:val="none" w:sz="0" w:space="0" w:color="auto"/>
        <w:right w:val="none" w:sz="0" w:space="0" w:color="auto"/>
      </w:divBdr>
      <w:divsChild>
        <w:div w:id="406726374">
          <w:marLeft w:val="1166"/>
          <w:marRight w:val="0"/>
          <w:marTop w:val="0"/>
          <w:marBottom w:val="0"/>
          <w:divBdr>
            <w:top w:val="none" w:sz="0" w:space="0" w:color="auto"/>
            <w:left w:val="none" w:sz="0" w:space="0" w:color="auto"/>
            <w:bottom w:val="none" w:sz="0" w:space="0" w:color="auto"/>
            <w:right w:val="none" w:sz="0" w:space="0" w:color="auto"/>
          </w:divBdr>
        </w:div>
        <w:div w:id="1642613734">
          <w:marLeft w:val="1166"/>
          <w:marRight w:val="0"/>
          <w:marTop w:val="0"/>
          <w:marBottom w:val="0"/>
          <w:divBdr>
            <w:top w:val="none" w:sz="0" w:space="0" w:color="auto"/>
            <w:left w:val="none" w:sz="0" w:space="0" w:color="auto"/>
            <w:bottom w:val="none" w:sz="0" w:space="0" w:color="auto"/>
            <w:right w:val="none" w:sz="0" w:space="0" w:color="auto"/>
          </w:divBdr>
        </w:div>
        <w:div w:id="463158629">
          <w:marLeft w:val="1166"/>
          <w:marRight w:val="0"/>
          <w:marTop w:val="0"/>
          <w:marBottom w:val="0"/>
          <w:divBdr>
            <w:top w:val="none" w:sz="0" w:space="0" w:color="auto"/>
            <w:left w:val="none" w:sz="0" w:space="0" w:color="auto"/>
            <w:bottom w:val="none" w:sz="0" w:space="0" w:color="auto"/>
            <w:right w:val="none" w:sz="0" w:space="0" w:color="auto"/>
          </w:divBdr>
        </w:div>
        <w:div w:id="280571732">
          <w:marLeft w:val="1166"/>
          <w:marRight w:val="0"/>
          <w:marTop w:val="0"/>
          <w:marBottom w:val="0"/>
          <w:divBdr>
            <w:top w:val="none" w:sz="0" w:space="0" w:color="auto"/>
            <w:left w:val="none" w:sz="0" w:space="0" w:color="auto"/>
            <w:bottom w:val="none" w:sz="0" w:space="0" w:color="auto"/>
            <w:right w:val="none" w:sz="0" w:space="0" w:color="auto"/>
          </w:divBdr>
        </w:div>
        <w:div w:id="1899051973">
          <w:marLeft w:val="1166"/>
          <w:marRight w:val="0"/>
          <w:marTop w:val="0"/>
          <w:marBottom w:val="0"/>
          <w:divBdr>
            <w:top w:val="none" w:sz="0" w:space="0" w:color="auto"/>
            <w:left w:val="none" w:sz="0" w:space="0" w:color="auto"/>
            <w:bottom w:val="none" w:sz="0" w:space="0" w:color="auto"/>
            <w:right w:val="none" w:sz="0" w:space="0" w:color="auto"/>
          </w:divBdr>
        </w:div>
        <w:div w:id="1062869063">
          <w:marLeft w:val="1166"/>
          <w:marRight w:val="0"/>
          <w:marTop w:val="0"/>
          <w:marBottom w:val="0"/>
          <w:divBdr>
            <w:top w:val="none" w:sz="0" w:space="0" w:color="auto"/>
            <w:left w:val="none" w:sz="0" w:space="0" w:color="auto"/>
            <w:bottom w:val="none" w:sz="0" w:space="0" w:color="auto"/>
            <w:right w:val="none" w:sz="0" w:space="0" w:color="auto"/>
          </w:divBdr>
        </w:div>
        <w:div w:id="1748069540">
          <w:marLeft w:val="1166"/>
          <w:marRight w:val="0"/>
          <w:marTop w:val="0"/>
          <w:marBottom w:val="0"/>
          <w:divBdr>
            <w:top w:val="none" w:sz="0" w:space="0" w:color="auto"/>
            <w:left w:val="none" w:sz="0" w:space="0" w:color="auto"/>
            <w:bottom w:val="none" w:sz="0" w:space="0" w:color="auto"/>
            <w:right w:val="none" w:sz="0" w:space="0" w:color="auto"/>
          </w:divBdr>
        </w:div>
      </w:divsChild>
    </w:div>
    <w:div w:id="2049723947">
      <w:bodyDiv w:val="1"/>
      <w:marLeft w:val="0"/>
      <w:marRight w:val="0"/>
      <w:marTop w:val="0"/>
      <w:marBottom w:val="0"/>
      <w:divBdr>
        <w:top w:val="none" w:sz="0" w:space="0" w:color="auto"/>
        <w:left w:val="none" w:sz="0" w:space="0" w:color="auto"/>
        <w:bottom w:val="none" w:sz="0" w:space="0" w:color="auto"/>
        <w:right w:val="none" w:sz="0" w:space="0" w:color="auto"/>
      </w:divBdr>
      <w:divsChild>
        <w:div w:id="430124960">
          <w:marLeft w:val="446"/>
          <w:marRight w:val="0"/>
          <w:marTop w:val="0"/>
          <w:marBottom w:val="0"/>
          <w:divBdr>
            <w:top w:val="none" w:sz="0" w:space="0" w:color="auto"/>
            <w:left w:val="none" w:sz="0" w:space="0" w:color="auto"/>
            <w:bottom w:val="none" w:sz="0" w:space="0" w:color="auto"/>
            <w:right w:val="none" w:sz="0" w:space="0" w:color="auto"/>
          </w:divBdr>
        </w:div>
        <w:div w:id="1813398532">
          <w:marLeft w:val="446"/>
          <w:marRight w:val="0"/>
          <w:marTop w:val="0"/>
          <w:marBottom w:val="0"/>
          <w:divBdr>
            <w:top w:val="none" w:sz="0" w:space="0" w:color="auto"/>
            <w:left w:val="none" w:sz="0" w:space="0" w:color="auto"/>
            <w:bottom w:val="none" w:sz="0" w:space="0" w:color="auto"/>
            <w:right w:val="none" w:sz="0" w:space="0" w:color="auto"/>
          </w:divBdr>
        </w:div>
      </w:divsChild>
    </w:div>
    <w:div w:id="2050447289">
      <w:bodyDiv w:val="1"/>
      <w:marLeft w:val="0"/>
      <w:marRight w:val="0"/>
      <w:marTop w:val="0"/>
      <w:marBottom w:val="0"/>
      <w:divBdr>
        <w:top w:val="none" w:sz="0" w:space="0" w:color="auto"/>
        <w:left w:val="none" w:sz="0" w:space="0" w:color="auto"/>
        <w:bottom w:val="none" w:sz="0" w:space="0" w:color="auto"/>
        <w:right w:val="none" w:sz="0" w:space="0" w:color="auto"/>
      </w:divBdr>
    </w:div>
    <w:div w:id="2052803326">
      <w:bodyDiv w:val="1"/>
      <w:marLeft w:val="0"/>
      <w:marRight w:val="0"/>
      <w:marTop w:val="0"/>
      <w:marBottom w:val="0"/>
      <w:divBdr>
        <w:top w:val="none" w:sz="0" w:space="0" w:color="auto"/>
        <w:left w:val="none" w:sz="0" w:space="0" w:color="auto"/>
        <w:bottom w:val="none" w:sz="0" w:space="0" w:color="auto"/>
        <w:right w:val="none" w:sz="0" w:space="0" w:color="auto"/>
      </w:divBdr>
      <w:divsChild>
        <w:div w:id="1050039279">
          <w:marLeft w:val="1166"/>
          <w:marRight w:val="0"/>
          <w:marTop w:val="0"/>
          <w:marBottom w:val="0"/>
          <w:divBdr>
            <w:top w:val="none" w:sz="0" w:space="0" w:color="auto"/>
            <w:left w:val="none" w:sz="0" w:space="0" w:color="auto"/>
            <w:bottom w:val="none" w:sz="0" w:space="0" w:color="auto"/>
            <w:right w:val="none" w:sz="0" w:space="0" w:color="auto"/>
          </w:divBdr>
        </w:div>
        <w:div w:id="1055088113">
          <w:marLeft w:val="1166"/>
          <w:marRight w:val="0"/>
          <w:marTop w:val="0"/>
          <w:marBottom w:val="0"/>
          <w:divBdr>
            <w:top w:val="none" w:sz="0" w:space="0" w:color="auto"/>
            <w:left w:val="none" w:sz="0" w:space="0" w:color="auto"/>
            <w:bottom w:val="none" w:sz="0" w:space="0" w:color="auto"/>
            <w:right w:val="none" w:sz="0" w:space="0" w:color="auto"/>
          </w:divBdr>
        </w:div>
        <w:div w:id="1435831654">
          <w:marLeft w:val="1166"/>
          <w:marRight w:val="0"/>
          <w:marTop w:val="0"/>
          <w:marBottom w:val="0"/>
          <w:divBdr>
            <w:top w:val="none" w:sz="0" w:space="0" w:color="auto"/>
            <w:left w:val="none" w:sz="0" w:space="0" w:color="auto"/>
            <w:bottom w:val="none" w:sz="0" w:space="0" w:color="auto"/>
            <w:right w:val="none" w:sz="0" w:space="0" w:color="auto"/>
          </w:divBdr>
        </w:div>
        <w:div w:id="1542740431">
          <w:marLeft w:val="1166"/>
          <w:marRight w:val="0"/>
          <w:marTop w:val="0"/>
          <w:marBottom w:val="0"/>
          <w:divBdr>
            <w:top w:val="none" w:sz="0" w:space="0" w:color="auto"/>
            <w:left w:val="none" w:sz="0" w:space="0" w:color="auto"/>
            <w:bottom w:val="none" w:sz="0" w:space="0" w:color="auto"/>
            <w:right w:val="none" w:sz="0" w:space="0" w:color="auto"/>
          </w:divBdr>
        </w:div>
        <w:div w:id="63843125">
          <w:marLeft w:val="1166"/>
          <w:marRight w:val="0"/>
          <w:marTop w:val="0"/>
          <w:marBottom w:val="0"/>
          <w:divBdr>
            <w:top w:val="none" w:sz="0" w:space="0" w:color="auto"/>
            <w:left w:val="none" w:sz="0" w:space="0" w:color="auto"/>
            <w:bottom w:val="none" w:sz="0" w:space="0" w:color="auto"/>
            <w:right w:val="none" w:sz="0" w:space="0" w:color="auto"/>
          </w:divBdr>
        </w:div>
        <w:div w:id="181012183">
          <w:marLeft w:val="1166"/>
          <w:marRight w:val="0"/>
          <w:marTop w:val="0"/>
          <w:marBottom w:val="0"/>
          <w:divBdr>
            <w:top w:val="none" w:sz="0" w:space="0" w:color="auto"/>
            <w:left w:val="none" w:sz="0" w:space="0" w:color="auto"/>
            <w:bottom w:val="none" w:sz="0" w:space="0" w:color="auto"/>
            <w:right w:val="none" w:sz="0" w:space="0" w:color="auto"/>
          </w:divBdr>
        </w:div>
        <w:div w:id="1636372111">
          <w:marLeft w:val="1166"/>
          <w:marRight w:val="0"/>
          <w:marTop w:val="0"/>
          <w:marBottom w:val="0"/>
          <w:divBdr>
            <w:top w:val="none" w:sz="0" w:space="0" w:color="auto"/>
            <w:left w:val="none" w:sz="0" w:space="0" w:color="auto"/>
            <w:bottom w:val="none" w:sz="0" w:space="0" w:color="auto"/>
            <w:right w:val="none" w:sz="0" w:space="0" w:color="auto"/>
          </w:divBdr>
        </w:div>
        <w:div w:id="221987941">
          <w:marLeft w:val="1166"/>
          <w:marRight w:val="0"/>
          <w:marTop w:val="0"/>
          <w:marBottom w:val="0"/>
          <w:divBdr>
            <w:top w:val="none" w:sz="0" w:space="0" w:color="auto"/>
            <w:left w:val="none" w:sz="0" w:space="0" w:color="auto"/>
            <w:bottom w:val="none" w:sz="0" w:space="0" w:color="auto"/>
            <w:right w:val="none" w:sz="0" w:space="0" w:color="auto"/>
          </w:divBdr>
        </w:div>
        <w:div w:id="1239438408">
          <w:marLeft w:val="1166"/>
          <w:marRight w:val="0"/>
          <w:marTop w:val="0"/>
          <w:marBottom w:val="0"/>
          <w:divBdr>
            <w:top w:val="none" w:sz="0" w:space="0" w:color="auto"/>
            <w:left w:val="none" w:sz="0" w:space="0" w:color="auto"/>
            <w:bottom w:val="none" w:sz="0" w:space="0" w:color="auto"/>
            <w:right w:val="none" w:sz="0" w:space="0" w:color="auto"/>
          </w:divBdr>
        </w:div>
      </w:divsChild>
    </w:div>
    <w:div w:id="20588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ngland.nhs.uk/publication/template-sub-contract-for-the-provision-of-clinical-services-for-use-with-nhs-standard-contract-full-length-201718-and-201819-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gital.nhs.uk/media/289/NHSDigitalMiniGuide/pdf/hscicminigui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hsemployers.org/your-workforce/recruit/employmentcheck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cg85?unlid=601025008201729161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96B54-7B3B-4311-AB6D-7DA531A0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16383E72</Template>
  <TotalTime>67</TotalTime>
  <Pages>17</Pages>
  <Words>5347</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Fertig</dc:creator>
  <cp:lastModifiedBy>Pam Kelsall</cp:lastModifiedBy>
  <cp:revision>10</cp:revision>
  <cp:lastPrinted>2017-09-11T10:00:00Z</cp:lastPrinted>
  <dcterms:created xsi:type="dcterms:W3CDTF">2017-09-26T13:25:00Z</dcterms:created>
  <dcterms:modified xsi:type="dcterms:W3CDTF">2017-10-05T15:58:00Z</dcterms:modified>
</cp:coreProperties>
</file>