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418" w:rsidRPr="005F59FD" w:rsidRDefault="00F64686" w:rsidP="008C6418">
      <w:pPr>
        <w:pStyle w:val="NoSpacing"/>
        <w:rPr>
          <w:rFonts w:ascii="Arial" w:hAnsi="Arial" w:cs="Arial"/>
          <w:b/>
          <w:bCs/>
        </w:rPr>
      </w:pPr>
      <w:r w:rsidRPr="005F59FD">
        <w:rPr>
          <w:rFonts w:ascii="Arial" w:hAnsi="Arial" w:cs="Arial"/>
          <w:b/>
          <w:bCs/>
        </w:rPr>
        <w:t>Appendix B – Specification</w:t>
      </w:r>
    </w:p>
    <w:p w:rsidR="00F64686" w:rsidRDefault="00F64686" w:rsidP="008C6418">
      <w:pPr>
        <w:pStyle w:val="NoSpacing"/>
        <w:rPr>
          <w:rFonts w:ascii="Arial" w:hAnsi="Arial" w:cs="Arial"/>
        </w:rPr>
      </w:pPr>
    </w:p>
    <w:p w:rsidR="00F64686" w:rsidRDefault="00F64686" w:rsidP="008C6418">
      <w:pPr>
        <w:pStyle w:val="NoSpacing"/>
        <w:rPr>
          <w:rFonts w:ascii="Arial" w:hAnsi="Arial" w:cs="Arial"/>
        </w:rPr>
      </w:pPr>
      <w:r>
        <w:rPr>
          <w:rFonts w:ascii="Arial" w:hAnsi="Arial" w:cs="Arial"/>
        </w:rPr>
        <w:t xml:space="preserve">Appendix B is made up of this introductory </w:t>
      </w:r>
      <w:r w:rsidR="00254E6E">
        <w:rPr>
          <w:rFonts w:ascii="Arial" w:hAnsi="Arial" w:cs="Arial"/>
        </w:rPr>
        <w:t>document</w:t>
      </w:r>
      <w:r>
        <w:rPr>
          <w:rFonts w:ascii="Arial" w:hAnsi="Arial" w:cs="Arial"/>
        </w:rPr>
        <w:t xml:space="preserve"> and the following documents:</w:t>
      </w:r>
    </w:p>
    <w:p w:rsidR="00F64686" w:rsidRDefault="00F64686" w:rsidP="008C6418">
      <w:pPr>
        <w:pStyle w:val="NoSpacing"/>
        <w:rPr>
          <w:rFonts w:ascii="Arial" w:hAnsi="Arial" w:cs="Arial"/>
        </w:rPr>
      </w:pPr>
    </w:p>
    <w:tbl>
      <w:tblPr>
        <w:tblStyle w:val="TableGrid"/>
        <w:tblW w:w="9016" w:type="dxa"/>
        <w:tblLook w:val="04A0" w:firstRow="1" w:lastRow="0" w:firstColumn="1" w:lastColumn="0" w:noHBand="0" w:noVBand="1"/>
      </w:tblPr>
      <w:tblGrid>
        <w:gridCol w:w="389"/>
        <w:gridCol w:w="2349"/>
        <w:gridCol w:w="2073"/>
        <w:gridCol w:w="2160"/>
        <w:gridCol w:w="2045"/>
      </w:tblGrid>
      <w:tr w:rsidR="002D0D86" w:rsidTr="0156DC94">
        <w:tc>
          <w:tcPr>
            <w:tcW w:w="389" w:type="dxa"/>
          </w:tcPr>
          <w:p w:rsidR="002D0D86" w:rsidRPr="251ED39B" w:rsidRDefault="002D0D86" w:rsidP="251ED39B">
            <w:pPr>
              <w:pStyle w:val="NoSpacing"/>
              <w:rPr>
                <w:rFonts w:ascii="Arial" w:hAnsi="Arial" w:cs="Arial"/>
                <w:b/>
                <w:bCs/>
              </w:rPr>
            </w:pPr>
          </w:p>
        </w:tc>
        <w:tc>
          <w:tcPr>
            <w:tcW w:w="2349" w:type="dxa"/>
          </w:tcPr>
          <w:p w:rsidR="002D0D86" w:rsidRDefault="002D0D86" w:rsidP="251ED39B">
            <w:pPr>
              <w:pStyle w:val="NoSpacing"/>
              <w:rPr>
                <w:rFonts w:ascii="Arial" w:hAnsi="Arial" w:cs="Arial"/>
                <w:b/>
                <w:bCs/>
              </w:rPr>
            </w:pPr>
            <w:r w:rsidRPr="251ED39B">
              <w:rPr>
                <w:rFonts w:ascii="Arial" w:hAnsi="Arial" w:cs="Arial"/>
                <w:b/>
                <w:bCs/>
              </w:rPr>
              <w:t>Document</w:t>
            </w:r>
          </w:p>
        </w:tc>
        <w:tc>
          <w:tcPr>
            <w:tcW w:w="2073" w:type="dxa"/>
          </w:tcPr>
          <w:p w:rsidR="002D0D86" w:rsidRDefault="002D0D86" w:rsidP="251ED39B">
            <w:pPr>
              <w:pStyle w:val="NoSpacing"/>
              <w:rPr>
                <w:rFonts w:ascii="Arial" w:hAnsi="Arial" w:cs="Arial"/>
                <w:b/>
                <w:bCs/>
              </w:rPr>
            </w:pPr>
            <w:r w:rsidRPr="251ED39B">
              <w:rPr>
                <w:rFonts w:ascii="Arial" w:hAnsi="Arial" w:cs="Arial"/>
                <w:b/>
                <w:bCs/>
              </w:rPr>
              <w:t>Relevance</w:t>
            </w:r>
          </w:p>
        </w:tc>
        <w:tc>
          <w:tcPr>
            <w:tcW w:w="2160" w:type="dxa"/>
          </w:tcPr>
          <w:p w:rsidR="002D0D86" w:rsidRDefault="002D0D86" w:rsidP="251ED39B">
            <w:pPr>
              <w:pStyle w:val="NoSpacing"/>
              <w:rPr>
                <w:rFonts w:ascii="Arial" w:hAnsi="Arial" w:cs="Arial"/>
                <w:b/>
                <w:bCs/>
              </w:rPr>
            </w:pPr>
            <w:r w:rsidRPr="251ED39B">
              <w:rPr>
                <w:rFonts w:ascii="Arial" w:hAnsi="Arial" w:cs="Arial"/>
                <w:b/>
                <w:bCs/>
              </w:rPr>
              <w:t>Description</w:t>
            </w:r>
          </w:p>
        </w:tc>
        <w:tc>
          <w:tcPr>
            <w:tcW w:w="2045" w:type="dxa"/>
          </w:tcPr>
          <w:p w:rsidR="002D0D86" w:rsidRPr="005F59FD" w:rsidRDefault="002D0D86" w:rsidP="008C6418">
            <w:pPr>
              <w:pStyle w:val="NoSpacing"/>
              <w:rPr>
                <w:rFonts w:ascii="Arial" w:hAnsi="Arial" w:cs="Arial"/>
                <w:b/>
                <w:bCs/>
              </w:rPr>
            </w:pPr>
            <w:r w:rsidRPr="005F59FD">
              <w:rPr>
                <w:rFonts w:ascii="Arial" w:hAnsi="Arial" w:cs="Arial"/>
                <w:b/>
                <w:bCs/>
              </w:rPr>
              <w:t>Date/ Ref</w:t>
            </w:r>
          </w:p>
        </w:tc>
      </w:tr>
      <w:tr w:rsidR="002D0D86" w:rsidTr="0156DC94">
        <w:tc>
          <w:tcPr>
            <w:tcW w:w="389" w:type="dxa"/>
          </w:tcPr>
          <w:p w:rsidR="002D0D86" w:rsidRDefault="002D0D86" w:rsidP="008C6418">
            <w:pPr>
              <w:pStyle w:val="NoSpacing"/>
              <w:rPr>
                <w:rFonts w:ascii="Arial" w:hAnsi="Arial" w:cs="Arial"/>
              </w:rPr>
            </w:pPr>
            <w:r>
              <w:rPr>
                <w:rFonts w:ascii="Arial" w:hAnsi="Arial" w:cs="Arial"/>
              </w:rPr>
              <w:t>1</w:t>
            </w:r>
          </w:p>
        </w:tc>
        <w:tc>
          <w:tcPr>
            <w:tcW w:w="2349" w:type="dxa"/>
          </w:tcPr>
          <w:p w:rsidR="002D0D86" w:rsidRDefault="002D0D86" w:rsidP="008C6418">
            <w:pPr>
              <w:pStyle w:val="NoSpacing"/>
              <w:rPr>
                <w:rFonts w:ascii="Arial" w:hAnsi="Arial" w:cs="Arial"/>
              </w:rPr>
            </w:pPr>
            <w:r>
              <w:rPr>
                <w:rFonts w:ascii="Arial" w:hAnsi="Arial" w:cs="Arial"/>
              </w:rPr>
              <w:t>PV Solar Specification</w:t>
            </w:r>
          </w:p>
        </w:tc>
        <w:tc>
          <w:tcPr>
            <w:tcW w:w="2073" w:type="dxa"/>
          </w:tcPr>
          <w:p w:rsidR="002D0D86" w:rsidRDefault="002D0D86" w:rsidP="008C6418">
            <w:pPr>
              <w:pStyle w:val="NoSpacing"/>
              <w:rPr>
                <w:rFonts w:ascii="Arial" w:hAnsi="Arial" w:cs="Arial"/>
              </w:rPr>
            </w:pPr>
            <w:r>
              <w:rPr>
                <w:rFonts w:ascii="Arial" w:hAnsi="Arial" w:cs="Arial"/>
              </w:rPr>
              <w:t>Applicable to all lots</w:t>
            </w:r>
          </w:p>
        </w:tc>
        <w:tc>
          <w:tcPr>
            <w:tcW w:w="2160" w:type="dxa"/>
          </w:tcPr>
          <w:p w:rsidR="002D0D86" w:rsidRDefault="002D0D86" w:rsidP="008C6418">
            <w:pPr>
              <w:pStyle w:val="NoSpacing"/>
              <w:rPr>
                <w:rFonts w:ascii="Arial" w:hAnsi="Arial" w:cs="Arial"/>
              </w:rPr>
            </w:pPr>
            <w:r>
              <w:rPr>
                <w:rFonts w:ascii="Arial" w:hAnsi="Arial" w:cs="Arial"/>
              </w:rPr>
              <w:t>Specification for the project</w:t>
            </w:r>
          </w:p>
        </w:tc>
        <w:tc>
          <w:tcPr>
            <w:tcW w:w="2045" w:type="dxa"/>
          </w:tcPr>
          <w:p w:rsidR="002D0D86" w:rsidRDefault="002D0D86" w:rsidP="008C6418">
            <w:pPr>
              <w:pStyle w:val="NoSpacing"/>
              <w:rPr>
                <w:rFonts w:ascii="Arial" w:hAnsi="Arial" w:cs="Arial"/>
              </w:rPr>
            </w:pPr>
            <w:r w:rsidRPr="000127E0">
              <w:rPr>
                <w:rFonts w:ascii="Arial" w:hAnsi="Arial" w:cs="Arial"/>
              </w:rPr>
              <w:t>XXXXXX-XXXX-MAC-MOJ-XX SP-SPEC-001_R04</w:t>
            </w:r>
          </w:p>
        </w:tc>
      </w:tr>
      <w:tr w:rsidR="0156DC94" w:rsidTr="0156DC94">
        <w:tc>
          <w:tcPr>
            <w:tcW w:w="389" w:type="dxa"/>
          </w:tcPr>
          <w:p w:rsidR="7C4DB501" w:rsidRDefault="7C4DB501" w:rsidP="0156DC94">
            <w:pPr>
              <w:pStyle w:val="NoSpacing"/>
              <w:rPr>
                <w:rFonts w:ascii="Arial" w:hAnsi="Arial" w:cs="Arial"/>
              </w:rPr>
            </w:pPr>
            <w:r w:rsidRPr="0156DC94">
              <w:rPr>
                <w:rFonts w:ascii="Arial" w:hAnsi="Arial" w:cs="Arial"/>
              </w:rPr>
              <w:t>2</w:t>
            </w:r>
          </w:p>
        </w:tc>
        <w:tc>
          <w:tcPr>
            <w:tcW w:w="2349" w:type="dxa"/>
          </w:tcPr>
          <w:p w:rsidR="0156DC94" w:rsidRDefault="0156DC94" w:rsidP="0156DC94">
            <w:pPr>
              <w:pStyle w:val="NoSpacing"/>
              <w:rPr>
                <w:rFonts w:ascii="Arial" w:hAnsi="Arial" w:cs="Arial"/>
              </w:rPr>
            </w:pPr>
            <w:r w:rsidRPr="0156DC94">
              <w:rPr>
                <w:rFonts w:ascii="Arial" w:hAnsi="Arial" w:cs="Arial"/>
              </w:rPr>
              <w:t xml:space="preserve">List of sites in each region </w:t>
            </w:r>
          </w:p>
        </w:tc>
        <w:tc>
          <w:tcPr>
            <w:tcW w:w="2073" w:type="dxa"/>
          </w:tcPr>
          <w:p w:rsidR="0156DC94" w:rsidRDefault="0156DC94" w:rsidP="0156DC94">
            <w:pPr>
              <w:pStyle w:val="NoSpacing"/>
              <w:rPr>
                <w:rFonts w:ascii="Arial" w:hAnsi="Arial" w:cs="Arial"/>
              </w:rPr>
            </w:pPr>
            <w:r w:rsidRPr="0156DC94">
              <w:rPr>
                <w:rFonts w:ascii="Arial" w:hAnsi="Arial" w:cs="Arial"/>
              </w:rPr>
              <w:t>Applicable to all lots</w:t>
            </w:r>
          </w:p>
          <w:p w:rsidR="0156DC94" w:rsidRDefault="0156DC94" w:rsidP="0156DC94">
            <w:pPr>
              <w:pStyle w:val="NoSpacing"/>
              <w:rPr>
                <w:rFonts w:ascii="Arial" w:hAnsi="Arial" w:cs="Arial"/>
              </w:rPr>
            </w:pPr>
          </w:p>
        </w:tc>
        <w:tc>
          <w:tcPr>
            <w:tcW w:w="2160" w:type="dxa"/>
          </w:tcPr>
          <w:p w:rsidR="0156DC94" w:rsidRDefault="0156DC94" w:rsidP="0156DC94">
            <w:pPr>
              <w:pStyle w:val="NoSpacing"/>
              <w:rPr>
                <w:rFonts w:ascii="Arial" w:hAnsi="Arial" w:cs="Arial"/>
              </w:rPr>
            </w:pPr>
            <w:r w:rsidRPr="0156DC94">
              <w:rPr>
                <w:rFonts w:ascii="Arial" w:hAnsi="Arial" w:cs="Arial"/>
              </w:rPr>
              <w:t>Defines which sites are in which Lot</w:t>
            </w:r>
          </w:p>
        </w:tc>
        <w:tc>
          <w:tcPr>
            <w:tcW w:w="2045" w:type="dxa"/>
          </w:tcPr>
          <w:p w:rsidR="0156DC94" w:rsidRDefault="0156DC94" w:rsidP="0156DC94">
            <w:pPr>
              <w:pStyle w:val="NoSpacing"/>
              <w:rPr>
                <w:rFonts w:ascii="Arial" w:hAnsi="Arial" w:cs="Arial"/>
              </w:rPr>
            </w:pPr>
            <w:r w:rsidRPr="0156DC94">
              <w:rPr>
                <w:rFonts w:ascii="Arial" w:hAnsi="Arial" w:cs="Arial"/>
              </w:rPr>
              <w:t>Solar PV Sites and Regions - Rev 1</w:t>
            </w:r>
          </w:p>
        </w:tc>
      </w:tr>
      <w:tr w:rsidR="002D0D86" w:rsidTr="0156DC94">
        <w:tc>
          <w:tcPr>
            <w:tcW w:w="389" w:type="dxa"/>
          </w:tcPr>
          <w:p w:rsidR="002D0D86" w:rsidRPr="565C1159" w:rsidRDefault="27D84AAC" w:rsidP="008C6418">
            <w:pPr>
              <w:pStyle w:val="NoSpacing"/>
              <w:rPr>
                <w:rFonts w:ascii="Arial" w:hAnsi="Arial" w:cs="Arial"/>
              </w:rPr>
            </w:pPr>
            <w:r w:rsidRPr="0156DC94">
              <w:rPr>
                <w:rFonts w:ascii="Arial" w:hAnsi="Arial" w:cs="Arial"/>
              </w:rPr>
              <w:t>3</w:t>
            </w:r>
          </w:p>
        </w:tc>
        <w:tc>
          <w:tcPr>
            <w:tcW w:w="2349" w:type="dxa"/>
          </w:tcPr>
          <w:p w:rsidR="002D0D86" w:rsidRDefault="002D0D86" w:rsidP="008C6418">
            <w:pPr>
              <w:pStyle w:val="NoSpacing"/>
              <w:rPr>
                <w:rFonts w:ascii="Arial" w:hAnsi="Arial" w:cs="Arial"/>
              </w:rPr>
            </w:pPr>
            <w:r w:rsidRPr="565C1159">
              <w:rPr>
                <w:rFonts w:ascii="Arial" w:hAnsi="Arial" w:cs="Arial"/>
              </w:rPr>
              <w:t>17 Feasibility Reports - Ground Mounted Solar Sites</w:t>
            </w:r>
          </w:p>
        </w:tc>
        <w:tc>
          <w:tcPr>
            <w:tcW w:w="2073" w:type="dxa"/>
          </w:tcPr>
          <w:p w:rsidR="002D0D86" w:rsidRDefault="002D0D86" w:rsidP="008C6418">
            <w:pPr>
              <w:pStyle w:val="NoSpacing"/>
              <w:rPr>
                <w:rFonts w:ascii="Arial" w:hAnsi="Arial" w:cs="Arial"/>
              </w:rPr>
            </w:pPr>
            <w:r>
              <w:rPr>
                <w:rFonts w:ascii="Arial" w:hAnsi="Arial" w:cs="Arial"/>
              </w:rPr>
              <w:t>Applicable to Lot 1 only</w:t>
            </w:r>
          </w:p>
        </w:tc>
        <w:tc>
          <w:tcPr>
            <w:tcW w:w="2160" w:type="dxa"/>
          </w:tcPr>
          <w:p w:rsidR="002D0D86" w:rsidRDefault="002D0D86" w:rsidP="008C6418">
            <w:pPr>
              <w:pStyle w:val="NoSpacing"/>
              <w:rPr>
                <w:rFonts w:ascii="Arial" w:hAnsi="Arial" w:cs="Arial"/>
              </w:rPr>
            </w:pPr>
            <w:r w:rsidRPr="565C1159">
              <w:rPr>
                <w:rFonts w:ascii="Arial" w:hAnsi="Arial" w:cs="Arial"/>
              </w:rPr>
              <w:t>The initial feasibility studies for each site</w:t>
            </w:r>
          </w:p>
        </w:tc>
        <w:tc>
          <w:tcPr>
            <w:tcW w:w="2045" w:type="dxa"/>
          </w:tcPr>
          <w:p w:rsidR="002D0D86" w:rsidRDefault="4BF0A274" w:rsidP="2AC61398">
            <w:pPr>
              <w:rPr>
                <w:rFonts w:ascii="Arial" w:eastAsia="Arial" w:hAnsi="Arial" w:cs="Arial"/>
              </w:rPr>
            </w:pPr>
            <w:r w:rsidRPr="0584F84F">
              <w:rPr>
                <w:rFonts w:ascii="Arial" w:eastAsia="Arial" w:hAnsi="Arial" w:cs="Arial"/>
              </w:rPr>
              <w:t xml:space="preserve">HMP Werrington, HMP Eastwood Park, HMP Bullingdon, HMP Littlehey, HMP Onley, HMP Wayland, HMP Stocken, HMP East Sutton Park, HMP Erlestoke, HMP Parkhurst, HMP Ford, HMP Haverigg, HMP Lindholme &amp; </w:t>
            </w:r>
            <w:r w:rsidR="61E275AE" w:rsidRPr="0584F84F">
              <w:rPr>
                <w:rFonts w:ascii="Arial" w:eastAsia="Arial" w:hAnsi="Arial" w:cs="Arial"/>
              </w:rPr>
              <w:t>Moorland,</w:t>
            </w:r>
            <w:r w:rsidRPr="0584F84F">
              <w:rPr>
                <w:rFonts w:ascii="Arial" w:eastAsia="Arial" w:hAnsi="Arial" w:cs="Arial"/>
              </w:rPr>
              <w:t xml:space="preserve"> HMP New Hall, HMP Portland, HMP Whatton, HMP Leyhill</w:t>
            </w:r>
          </w:p>
        </w:tc>
      </w:tr>
      <w:tr w:rsidR="002D0D86" w:rsidTr="0156DC94">
        <w:tc>
          <w:tcPr>
            <w:tcW w:w="389" w:type="dxa"/>
          </w:tcPr>
          <w:p w:rsidR="002D0D86" w:rsidRPr="000127E0" w:rsidRDefault="332C0014" w:rsidP="00AC7BB1">
            <w:pPr>
              <w:pStyle w:val="NoSpacing"/>
              <w:rPr>
                <w:rFonts w:ascii="Arial" w:hAnsi="Arial" w:cs="Arial"/>
              </w:rPr>
            </w:pPr>
            <w:r w:rsidRPr="0156DC94">
              <w:rPr>
                <w:rFonts w:ascii="Arial" w:hAnsi="Arial" w:cs="Arial"/>
              </w:rPr>
              <w:t>4</w:t>
            </w:r>
          </w:p>
        </w:tc>
        <w:tc>
          <w:tcPr>
            <w:tcW w:w="2349" w:type="dxa"/>
          </w:tcPr>
          <w:p w:rsidR="002D0D86" w:rsidRDefault="002D0D86" w:rsidP="00AC7BB1">
            <w:pPr>
              <w:pStyle w:val="NoSpacing"/>
              <w:rPr>
                <w:rFonts w:ascii="Arial" w:hAnsi="Arial" w:cs="Arial"/>
              </w:rPr>
            </w:pPr>
            <w:r w:rsidRPr="000127E0">
              <w:rPr>
                <w:rFonts w:ascii="Arial" w:hAnsi="Arial" w:cs="Arial"/>
              </w:rPr>
              <w:t>HM</w:t>
            </w:r>
            <w:r>
              <w:rPr>
                <w:rFonts w:ascii="Arial" w:hAnsi="Arial" w:cs="Arial"/>
              </w:rPr>
              <w:t>PPS</w:t>
            </w:r>
            <w:r w:rsidRPr="000127E0">
              <w:rPr>
                <w:rFonts w:ascii="Arial" w:hAnsi="Arial" w:cs="Arial"/>
              </w:rPr>
              <w:t xml:space="preserve"> Solar Desktop Audit for Tender</w:t>
            </w:r>
          </w:p>
        </w:tc>
        <w:tc>
          <w:tcPr>
            <w:tcW w:w="2073" w:type="dxa"/>
          </w:tcPr>
          <w:p w:rsidR="002D0D86" w:rsidRDefault="002D0D86" w:rsidP="00AC7BB1">
            <w:pPr>
              <w:pStyle w:val="NoSpacing"/>
              <w:rPr>
                <w:rFonts w:ascii="Arial" w:hAnsi="Arial" w:cs="Arial"/>
              </w:rPr>
            </w:pPr>
            <w:r>
              <w:rPr>
                <w:rFonts w:ascii="Arial" w:hAnsi="Arial" w:cs="Arial"/>
              </w:rPr>
              <w:t>Applicable to Lot 1 only</w:t>
            </w:r>
          </w:p>
        </w:tc>
        <w:tc>
          <w:tcPr>
            <w:tcW w:w="2160" w:type="dxa"/>
          </w:tcPr>
          <w:p w:rsidR="002D0D86" w:rsidRDefault="002D0D86" w:rsidP="00AC7BB1">
            <w:pPr>
              <w:pStyle w:val="NoSpacing"/>
              <w:rPr>
                <w:rFonts w:ascii="Arial" w:hAnsi="Arial" w:cs="Arial"/>
              </w:rPr>
            </w:pPr>
            <w:r>
              <w:rPr>
                <w:rFonts w:ascii="Arial" w:hAnsi="Arial" w:cs="Arial"/>
              </w:rPr>
              <w:t>Spreadsheet of all available data on each site</w:t>
            </w:r>
            <w:r w:rsidR="007A54FA">
              <w:rPr>
                <w:rFonts w:ascii="Arial" w:hAnsi="Arial" w:cs="Arial"/>
              </w:rPr>
              <w:t xml:space="preserve"> and recalculated array size at 75% min daytime load</w:t>
            </w:r>
          </w:p>
        </w:tc>
        <w:tc>
          <w:tcPr>
            <w:tcW w:w="2045" w:type="dxa"/>
          </w:tcPr>
          <w:p w:rsidR="002D0D86" w:rsidRDefault="002D0D86" w:rsidP="00AC7BB1">
            <w:pPr>
              <w:pStyle w:val="NoSpacing"/>
              <w:rPr>
                <w:rFonts w:ascii="Arial" w:hAnsi="Arial" w:cs="Arial"/>
              </w:rPr>
            </w:pPr>
            <w:r w:rsidRPr="000A20A2">
              <w:rPr>
                <w:rFonts w:ascii="Arial" w:hAnsi="Arial" w:cs="Arial"/>
              </w:rPr>
              <w:t>201015 MOJ PV Ground Summary for Tender - V3</w:t>
            </w:r>
          </w:p>
        </w:tc>
      </w:tr>
      <w:tr w:rsidR="002D0D86" w:rsidTr="0156DC94">
        <w:tc>
          <w:tcPr>
            <w:tcW w:w="389" w:type="dxa"/>
          </w:tcPr>
          <w:p w:rsidR="002D0D86" w:rsidRDefault="2F470423" w:rsidP="008C6418">
            <w:pPr>
              <w:pStyle w:val="NoSpacing"/>
              <w:rPr>
                <w:rFonts w:ascii="Arial" w:hAnsi="Arial" w:cs="Arial"/>
              </w:rPr>
            </w:pPr>
            <w:r w:rsidRPr="0156DC94">
              <w:rPr>
                <w:rFonts w:ascii="Arial" w:hAnsi="Arial" w:cs="Arial"/>
              </w:rPr>
              <w:t>5</w:t>
            </w:r>
          </w:p>
        </w:tc>
        <w:tc>
          <w:tcPr>
            <w:tcW w:w="2349" w:type="dxa"/>
          </w:tcPr>
          <w:p w:rsidR="002D0D86" w:rsidRDefault="002D0D86" w:rsidP="008C6418">
            <w:pPr>
              <w:pStyle w:val="NoSpacing"/>
              <w:rPr>
                <w:rFonts w:ascii="Arial" w:hAnsi="Arial" w:cs="Arial"/>
              </w:rPr>
            </w:pPr>
            <w:r w:rsidRPr="0156DC94">
              <w:rPr>
                <w:rFonts w:ascii="Arial" w:hAnsi="Arial" w:cs="Arial"/>
              </w:rPr>
              <w:t xml:space="preserve">List of sites in each region </w:t>
            </w:r>
          </w:p>
        </w:tc>
        <w:tc>
          <w:tcPr>
            <w:tcW w:w="2073" w:type="dxa"/>
          </w:tcPr>
          <w:p w:rsidR="002D0D86" w:rsidRDefault="1E68C97D" w:rsidP="0156DC94">
            <w:pPr>
              <w:pStyle w:val="NoSpacing"/>
              <w:rPr>
                <w:rFonts w:ascii="Arial" w:hAnsi="Arial" w:cs="Arial"/>
              </w:rPr>
            </w:pPr>
            <w:r w:rsidRPr="0156DC94">
              <w:rPr>
                <w:rFonts w:ascii="Arial" w:hAnsi="Arial" w:cs="Arial"/>
              </w:rPr>
              <w:t>Applicable to all lots</w:t>
            </w:r>
          </w:p>
          <w:p w:rsidR="002D0D86" w:rsidRDefault="002D0D86" w:rsidP="008C6418">
            <w:pPr>
              <w:pStyle w:val="NoSpacing"/>
              <w:rPr>
                <w:rFonts w:ascii="Arial" w:hAnsi="Arial" w:cs="Arial"/>
              </w:rPr>
            </w:pPr>
          </w:p>
        </w:tc>
        <w:tc>
          <w:tcPr>
            <w:tcW w:w="2160" w:type="dxa"/>
          </w:tcPr>
          <w:p w:rsidR="002D0D86" w:rsidRDefault="002D0D86" w:rsidP="008C6418">
            <w:pPr>
              <w:pStyle w:val="NoSpacing"/>
              <w:rPr>
                <w:rFonts w:ascii="Arial" w:hAnsi="Arial" w:cs="Arial"/>
              </w:rPr>
            </w:pPr>
            <w:r>
              <w:rPr>
                <w:rFonts w:ascii="Arial" w:hAnsi="Arial" w:cs="Arial"/>
              </w:rPr>
              <w:t>Defines which sites are in which Lot</w:t>
            </w:r>
          </w:p>
        </w:tc>
        <w:tc>
          <w:tcPr>
            <w:tcW w:w="2045" w:type="dxa"/>
          </w:tcPr>
          <w:p w:rsidR="002D0D86" w:rsidRDefault="002D0D86" w:rsidP="008C6418">
            <w:pPr>
              <w:pStyle w:val="NoSpacing"/>
              <w:rPr>
                <w:rFonts w:ascii="Arial" w:hAnsi="Arial" w:cs="Arial"/>
              </w:rPr>
            </w:pPr>
            <w:r w:rsidRPr="0156DC94">
              <w:rPr>
                <w:rFonts w:ascii="Arial" w:hAnsi="Arial" w:cs="Arial"/>
              </w:rPr>
              <w:t>HMCTS Solar PV Sites and Regions</w:t>
            </w:r>
            <w:r w:rsidR="7A097D6D" w:rsidRPr="0156DC94">
              <w:rPr>
                <w:rFonts w:ascii="Arial" w:hAnsi="Arial" w:cs="Arial"/>
              </w:rPr>
              <w:t xml:space="preserve"> - Rev 1</w:t>
            </w:r>
          </w:p>
        </w:tc>
      </w:tr>
      <w:tr w:rsidR="002D0D86" w:rsidTr="0156DC94">
        <w:tc>
          <w:tcPr>
            <w:tcW w:w="389" w:type="dxa"/>
          </w:tcPr>
          <w:p w:rsidR="002D0D86" w:rsidRDefault="3E7CB36C" w:rsidP="008C6418">
            <w:pPr>
              <w:pStyle w:val="NoSpacing"/>
              <w:rPr>
                <w:rFonts w:ascii="Arial" w:hAnsi="Arial" w:cs="Arial"/>
              </w:rPr>
            </w:pPr>
            <w:r w:rsidRPr="0156DC94">
              <w:rPr>
                <w:rFonts w:ascii="Arial" w:hAnsi="Arial" w:cs="Arial"/>
              </w:rPr>
              <w:t>6</w:t>
            </w:r>
          </w:p>
        </w:tc>
        <w:tc>
          <w:tcPr>
            <w:tcW w:w="2349" w:type="dxa"/>
          </w:tcPr>
          <w:p w:rsidR="002D0D86" w:rsidRDefault="002D0D86" w:rsidP="008C6418">
            <w:pPr>
              <w:pStyle w:val="NoSpacing"/>
              <w:rPr>
                <w:rFonts w:ascii="Arial" w:hAnsi="Arial" w:cs="Arial"/>
              </w:rPr>
            </w:pPr>
            <w:r>
              <w:rPr>
                <w:rFonts w:ascii="Arial" w:hAnsi="Arial" w:cs="Arial"/>
              </w:rPr>
              <w:t>HMCTS Report with photos</w:t>
            </w:r>
          </w:p>
        </w:tc>
        <w:tc>
          <w:tcPr>
            <w:tcW w:w="2073" w:type="dxa"/>
          </w:tcPr>
          <w:p w:rsidR="002D0D86" w:rsidRDefault="002D0D86" w:rsidP="008C6418">
            <w:pPr>
              <w:pStyle w:val="NoSpacing"/>
              <w:rPr>
                <w:rFonts w:ascii="Arial" w:hAnsi="Arial" w:cs="Arial"/>
              </w:rPr>
            </w:pPr>
            <w:r w:rsidRPr="0156DC94">
              <w:rPr>
                <w:rFonts w:ascii="Arial" w:hAnsi="Arial" w:cs="Arial"/>
              </w:rPr>
              <w:t>Applicable to lots 2-</w:t>
            </w:r>
            <w:r w:rsidR="4D2D10D4" w:rsidRPr="0156DC94">
              <w:rPr>
                <w:rFonts w:ascii="Arial" w:hAnsi="Arial" w:cs="Arial"/>
              </w:rPr>
              <w:t>7</w:t>
            </w:r>
          </w:p>
        </w:tc>
        <w:tc>
          <w:tcPr>
            <w:tcW w:w="2160" w:type="dxa"/>
          </w:tcPr>
          <w:p w:rsidR="002D0D86" w:rsidRDefault="002D0D86" w:rsidP="008C6418">
            <w:pPr>
              <w:pStyle w:val="NoSpacing"/>
              <w:rPr>
                <w:rFonts w:ascii="Arial" w:hAnsi="Arial" w:cs="Arial"/>
              </w:rPr>
            </w:pPr>
            <w:r>
              <w:rPr>
                <w:rFonts w:ascii="Arial" w:hAnsi="Arial" w:cs="Arial"/>
              </w:rPr>
              <w:t>An aerial photo of each site</w:t>
            </w:r>
          </w:p>
        </w:tc>
        <w:tc>
          <w:tcPr>
            <w:tcW w:w="2045" w:type="dxa"/>
          </w:tcPr>
          <w:p w:rsidR="002D0D86" w:rsidRDefault="002D0D86" w:rsidP="008C6418">
            <w:pPr>
              <w:pStyle w:val="NoSpacing"/>
              <w:rPr>
                <w:rFonts w:ascii="Arial" w:hAnsi="Arial" w:cs="Arial"/>
              </w:rPr>
            </w:pPr>
          </w:p>
        </w:tc>
      </w:tr>
      <w:tr w:rsidR="002D0D86" w:rsidTr="0156DC94">
        <w:tc>
          <w:tcPr>
            <w:tcW w:w="389" w:type="dxa"/>
          </w:tcPr>
          <w:p w:rsidR="002D0D86" w:rsidRPr="000127E0" w:rsidRDefault="3E7CB36C" w:rsidP="008C6418">
            <w:pPr>
              <w:pStyle w:val="NoSpacing"/>
              <w:rPr>
                <w:rFonts w:ascii="Arial" w:hAnsi="Arial" w:cs="Arial"/>
              </w:rPr>
            </w:pPr>
            <w:r w:rsidRPr="0156DC94">
              <w:rPr>
                <w:rFonts w:ascii="Arial" w:hAnsi="Arial" w:cs="Arial"/>
              </w:rPr>
              <w:t>7</w:t>
            </w:r>
          </w:p>
        </w:tc>
        <w:tc>
          <w:tcPr>
            <w:tcW w:w="2349" w:type="dxa"/>
          </w:tcPr>
          <w:p w:rsidR="002D0D86" w:rsidRDefault="002D0D86" w:rsidP="008C6418">
            <w:pPr>
              <w:pStyle w:val="NoSpacing"/>
              <w:rPr>
                <w:rFonts w:ascii="Arial" w:hAnsi="Arial" w:cs="Arial"/>
              </w:rPr>
            </w:pPr>
            <w:r w:rsidRPr="000127E0">
              <w:rPr>
                <w:rFonts w:ascii="Arial" w:hAnsi="Arial" w:cs="Arial"/>
              </w:rPr>
              <w:t>HMCTS Solar Desktop Audit for Tender</w:t>
            </w:r>
          </w:p>
        </w:tc>
        <w:tc>
          <w:tcPr>
            <w:tcW w:w="2073" w:type="dxa"/>
          </w:tcPr>
          <w:p w:rsidR="002D0D86" w:rsidRDefault="002D0D86" w:rsidP="008C6418">
            <w:pPr>
              <w:pStyle w:val="NoSpacing"/>
              <w:rPr>
                <w:rFonts w:ascii="Arial" w:hAnsi="Arial" w:cs="Arial"/>
              </w:rPr>
            </w:pPr>
            <w:r w:rsidRPr="0156DC94">
              <w:rPr>
                <w:rFonts w:ascii="Arial" w:hAnsi="Arial" w:cs="Arial"/>
              </w:rPr>
              <w:t>Applicable to lots 2-</w:t>
            </w:r>
            <w:r w:rsidR="103FBF27" w:rsidRPr="0156DC94">
              <w:rPr>
                <w:rFonts w:ascii="Arial" w:hAnsi="Arial" w:cs="Arial"/>
              </w:rPr>
              <w:t>7</w:t>
            </w:r>
          </w:p>
        </w:tc>
        <w:tc>
          <w:tcPr>
            <w:tcW w:w="2160" w:type="dxa"/>
          </w:tcPr>
          <w:p w:rsidR="002D0D86" w:rsidRDefault="002D0D86" w:rsidP="008C6418">
            <w:pPr>
              <w:pStyle w:val="NoSpacing"/>
              <w:rPr>
                <w:rFonts w:ascii="Arial" w:hAnsi="Arial" w:cs="Arial"/>
              </w:rPr>
            </w:pPr>
            <w:r>
              <w:rPr>
                <w:rFonts w:ascii="Arial" w:hAnsi="Arial" w:cs="Arial"/>
              </w:rPr>
              <w:t>Spreadsheet of all available data on each site</w:t>
            </w:r>
          </w:p>
        </w:tc>
        <w:tc>
          <w:tcPr>
            <w:tcW w:w="2045" w:type="dxa"/>
          </w:tcPr>
          <w:p w:rsidR="002D0D86" w:rsidRDefault="002D0D86" w:rsidP="008C6418">
            <w:pPr>
              <w:pStyle w:val="NoSpacing"/>
              <w:rPr>
                <w:rFonts w:ascii="Arial" w:hAnsi="Arial" w:cs="Arial"/>
              </w:rPr>
            </w:pPr>
            <w:r w:rsidRPr="000127E0">
              <w:rPr>
                <w:rFonts w:ascii="Arial" w:hAnsi="Arial" w:cs="Arial"/>
              </w:rPr>
              <w:t>201014 HMCTS Solar Desktop Audit for Tender</w:t>
            </w:r>
          </w:p>
        </w:tc>
      </w:tr>
    </w:tbl>
    <w:p w:rsidR="00F64686" w:rsidRPr="00AE72B4" w:rsidRDefault="00F64686" w:rsidP="00F64686">
      <w:pPr>
        <w:pStyle w:val="NoSpacing"/>
        <w:rPr>
          <w:rFonts w:ascii="Arial" w:hAnsi="Arial" w:cs="Arial"/>
        </w:rPr>
      </w:pPr>
    </w:p>
    <w:p w:rsidR="2A32DCFC" w:rsidRDefault="2A32DCFC" w:rsidP="565C1159">
      <w:pPr>
        <w:spacing w:line="360" w:lineRule="auto"/>
        <w:rPr>
          <w:rFonts w:ascii="Arial" w:eastAsia="Arial" w:hAnsi="Arial" w:cs="Arial"/>
          <w:b/>
          <w:bCs/>
          <w:color w:val="000000" w:themeColor="text1"/>
          <w:u w:val="single"/>
        </w:rPr>
      </w:pPr>
      <w:r w:rsidRPr="4E07EE27">
        <w:rPr>
          <w:rFonts w:ascii="Arial" w:eastAsia="Arial" w:hAnsi="Arial" w:cs="Arial"/>
          <w:b/>
          <w:bCs/>
          <w:color w:val="000000" w:themeColor="text1"/>
          <w:u w:val="single"/>
        </w:rPr>
        <w:t>HMPPS - Ground Mounted</w:t>
      </w:r>
      <w:r w:rsidR="3E595560" w:rsidRPr="4E07EE27">
        <w:rPr>
          <w:rFonts w:ascii="Arial" w:eastAsia="Arial" w:hAnsi="Arial" w:cs="Arial"/>
          <w:b/>
          <w:bCs/>
          <w:color w:val="000000" w:themeColor="text1"/>
          <w:u w:val="single"/>
        </w:rPr>
        <w:t xml:space="preserve"> Lot 1</w:t>
      </w:r>
    </w:p>
    <w:p w:rsidR="37F402C6" w:rsidRDefault="37F402C6" w:rsidP="005F6C05">
      <w:pPr>
        <w:jc w:val="both"/>
        <w:rPr>
          <w:rFonts w:ascii="Arial" w:eastAsia="Arial" w:hAnsi="Arial" w:cs="Arial"/>
          <w:color w:val="000000" w:themeColor="text1"/>
          <w:u w:val="single"/>
        </w:rPr>
      </w:pPr>
      <w:r w:rsidRPr="4E07EE27">
        <w:rPr>
          <w:rFonts w:ascii="Arial" w:eastAsia="Arial" w:hAnsi="Arial" w:cs="Arial"/>
          <w:color w:val="000000" w:themeColor="text1"/>
          <w:u w:val="single"/>
        </w:rPr>
        <w:t>General</w:t>
      </w:r>
    </w:p>
    <w:p w:rsidR="56A13F5F" w:rsidRPr="005F6C05" w:rsidRDefault="56A13F5F" w:rsidP="005F6C05">
      <w:pPr>
        <w:jc w:val="both"/>
        <w:rPr>
          <w:rFonts w:ascii="Arial" w:eastAsia="Arial" w:hAnsi="Arial" w:cs="Arial"/>
          <w:color w:val="000000" w:themeColor="text1"/>
        </w:rPr>
      </w:pPr>
      <w:r w:rsidRPr="005F6C05">
        <w:rPr>
          <w:rFonts w:ascii="Arial" w:eastAsia="Arial" w:hAnsi="Arial" w:cs="Arial"/>
          <w:color w:val="000000" w:themeColor="text1"/>
        </w:rPr>
        <w:t xml:space="preserve">Arcadis has undertaken a desktop analysis to assess the feasibility of ground mounted solar PV outside the wire at various prison sites. The analysis has been undertaken based on information provided by MoJ on the red line boundary of the prison and parcels of land owned by MoJ outside the prison that have been identified for potential various uses. </w:t>
      </w:r>
    </w:p>
    <w:p w:rsidR="56A13F5F" w:rsidRPr="005F6C05" w:rsidRDefault="56A13F5F" w:rsidP="005F6C05">
      <w:pPr>
        <w:jc w:val="both"/>
        <w:rPr>
          <w:rFonts w:ascii="Arial" w:eastAsia="Arial" w:hAnsi="Arial" w:cs="Arial"/>
          <w:color w:val="000000" w:themeColor="text1"/>
        </w:rPr>
      </w:pPr>
      <w:r w:rsidRPr="005F6C05">
        <w:rPr>
          <w:rFonts w:ascii="Arial" w:eastAsia="Arial" w:hAnsi="Arial" w:cs="Arial"/>
          <w:color w:val="000000" w:themeColor="text1"/>
        </w:rPr>
        <w:t>T</w:t>
      </w:r>
      <w:r w:rsidR="1EA1D7EF" w:rsidRPr="005F6C05">
        <w:rPr>
          <w:rFonts w:ascii="Arial" w:eastAsia="Arial" w:hAnsi="Arial" w:cs="Arial"/>
          <w:color w:val="000000" w:themeColor="text1"/>
        </w:rPr>
        <w:t xml:space="preserve">he scenarios </w:t>
      </w:r>
      <w:r w:rsidRPr="005F6C05">
        <w:rPr>
          <w:rFonts w:ascii="Arial" w:eastAsia="Arial" w:hAnsi="Arial" w:cs="Arial"/>
          <w:color w:val="000000" w:themeColor="text1"/>
        </w:rPr>
        <w:t xml:space="preserve">have been modelled using PV solar software. </w:t>
      </w:r>
    </w:p>
    <w:p w:rsidR="56A13F5F" w:rsidRPr="005F6C05" w:rsidRDefault="56A13F5F" w:rsidP="005F6C05">
      <w:pPr>
        <w:jc w:val="both"/>
        <w:rPr>
          <w:rFonts w:ascii="Arial" w:eastAsia="Arial" w:hAnsi="Arial" w:cs="Arial"/>
          <w:color w:val="000000" w:themeColor="text1"/>
        </w:rPr>
      </w:pPr>
      <w:r w:rsidRPr="005F6C05">
        <w:rPr>
          <w:rFonts w:ascii="Arial" w:eastAsia="Arial" w:hAnsi="Arial" w:cs="Arial"/>
          <w:color w:val="000000" w:themeColor="text1"/>
        </w:rPr>
        <w:t>The assessment also includes a review of potential barriers to installation of solar ground mounted such as environmental designation, land type and local airports. The assessment also includes a review of potential barriers to installation of solar ground mounted such as environmental designation, land type and local airports.</w:t>
      </w:r>
    </w:p>
    <w:p w:rsidR="741680B3" w:rsidRPr="005F6C05" w:rsidRDefault="741680B3" w:rsidP="005F6C05">
      <w:pPr>
        <w:jc w:val="both"/>
        <w:rPr>
          <w:rFonts w:ascii="Arial" w:eastAsia="Arial" w:hAnsi="Arial" w:cs="Arial"/>
          <w:color w:val="000000" w:themeColor="text1"/>
        </w:rPr>
      </w:pPr>
      <w:r w:rsidRPr="005F6C05">
        <w:rPr>
          <w:rFonts w:ascii="Arial" w:eastAsia="Arial" w:hAnsi="Arial" w:cs="Arial"/>
          <w:color w:val="000000" w:themeColor="text1"/>
        </w:rPr>
        <w:t>The scenarios in the Arcadis reports are based on maximising the area of solar panels and where possible exporting to the grid. MoJ have now decided to focus on delivering solar panels to meet the demands of the prison establishment only without exporting to the grid.</w:t>
      </w:r>
      <w:r w:rsidR="02B47B93" w:rsidRPr="005F6C05">
        <w:rPr>
          <w:rFonts w:ascii="Arial" w:eastAsia="Arial" w:hAnsi="Arial" w:cs="Arial"/>
          <w:color w:val="000000" w:themeColor="text1"/>
        </w:rPr>
        <w:t xml:space="preserve"> </w:t>
      </w:r>
      <w:r w:rsidRPr="005F6C05">
        <w:rPr>
          <w:rFonts w:ascii="Arial" w:eastAsia="Arial" w:hAnsi="Arial" w:cs="Arial"/>
          <w:color w:val="000000" w:themeColor="text1"/>
        </w:rPr>
        <w:t>Mace have recalculated the kW size of the arrays</w:t>
      </w:r>
      <w:r w:rsidR="45EDD45F" w:rsidRPr="005F6C05">
        <w:rPr>
          <w:rFonts w:ascii="Arial" w:eastAsia="Arial" w:hAnsi="Arial" w:cs="Arial"/>
          <w:color w:val="000000" w:themeColor="text1"/>
        </w:rPr>
        <w:t xml:space="preserve"> </w:t>
      </w:r>
      <w:r w:rsidR="0D8AADCA" w:rsidRPr="005F6C05">
        <w:rPr>
          <w:rFonts w:ascii="Arial" w:eastAsia="Arial" w:hAnsi="Arial" w:cs="Arial"/>
          <w:color w:val="000000" w:themeColor="text1"/>
        </w:rPr>
        <w:t>based on 75% of the Min Daytime Load (kW)</w:t>
      </w:r>
      <w:r w:rsidR="4B6B3DCA" w:rsidRPr="005F6C05">
        <w:rPr>
          <w:rFonts w:ascii="Arial" w:eastAsia="Arial" w:hAnsi="Arial" w:cs="Arial"/>
          <w:color w:val="000000" w:themeColor="text1"/>
        </w:rPr>
        <w:t xml:space="preserve">. </w:t>
      </w:r>
    </w:p>
    <w:p w:rsidR="41F395E1" w:rsidRPr="005F6C05" w:rsidRDefault="1773EFD7" w:rsidP="005F6C05">
      <w:pPr>
        <w:jc w:val="both"/>
        <w:rPr>
          <w:rFonts w:ascii="Arial" w:eastAsia="Arial" w:hAnsi="Arial" w:cs="Arial"/>
          <w:color w:val="000000" w:themeColor="text1"/>
          <w:u w:val="single"/>
        </w:rPr>
      </w:pPr>
      <w:r w:rsidRPr="005F6C05">
        <w:rPr>
          <w:rFonts w:ascii="Arial" w:eastAsia="Arial" w:hAnsi="Arial" w:cs="Arial"/>
          <w:color w:val="000000" w:themeColor="text1"/>
          <w:u w:val="single"/>
        </w:rPr>
        <w:t xml:space="preserve">Planning approval </w:t>
      </w:r>
    </w:p>
    <w:p w:rsidR="00303A69" w:rsidRPr="005F6C05" w:rsidRDefault="00303A69" w:rsidP="005F6C05">
      <w:pPr>
        <w:jc w:val="both"/>
        <w:rPr>
          <w:rFonts w:ascii="Arial" w:eastAsia="Arial" w:hAnsi="Arial" w:cs="Arial"/>
          <w:color w:val="000000" w:themeColor="text1"/>
        </w:rPr>
      </w:pPr>
      <w:r w:rsidRPr="005F6C05">
        <w:rPr>
          <w:rFonts w:ascii="Arial" w:eastAsia="Arial" w:hAnsi="Arial" w:cs="Arial"/>
          <w:color w:val="000000" w:themeColor="text1"/>
        </w:rPr>
        <w:t>Further to the Arcadis reports, Cushman &amp; Wakefield have advised on planning risks and opportunities and MoJ have had further discussions with the Regional Estates Manager for</w:t>
      </w:r>
      <w:r w:rsidRPr="251ED39B">
        <w:rPr>
          <w:rFonts w:ascii="Arial" w:eastAsia="Arial" w:hAnsi="Arial" w:cs="Arial"/>
        </w:rPr>
        <w:t xml:space="preserve"> </w:t>
      </w:r>
      <w:r w:rsidRPr="005F6C05">
        <w:rPr>
          <w:rFonts w:ascii="Arial" w:eastAsia="Arial" w:hAnsi="Arial" w:cs="Arial"/>
          <w:color w:val="000000" w:themeColor="text1"/>
        </w:rPr>
        <w:t xml:space="preserve">each site. The initial planning assessment and MoJ notes are included on the Solar PV spreadsheet. Based on these assessments, HMP Littlehey has been selected as the most likely site to be able to be delivered this financial year. </w:t>
      </w:r>
    </w:p>
    <w:p w:rsidR="00303A69" w:rsidRPr="005F6C05" w:rsidRDefault="00303A69" w:rsidP="005F6C05">
      <w:pPr>
        <w:jc w:val="both"/>
        <w:rPr>
          <w:rFonts w:ascii="Arial" w:eastAsia="Arial" w:hAnsi="Arial" w:cs="Arial"/>
          <w:color w:val="000000" w:themeColor="text1"/>
        </w:rPr>
      </w:pPr>
      <w:r w:rsidRPr="005F6C05">
        <w:rPr>
          <w:rFonts w:ascii="Arial" w:eastAsia="Arial" w:hAnsi="Arial" w:cs="Arial"/>
          <w:color w:val="000000" w:themeColor="text1"/>
        </w:rPr>
        <w:t xml:space="preserve">The planning process and preparation of the applications will be undertaken by MoJ’s planning consultant Cushman and Wakefield. The planning process for Littlehey has already commenced. </w:t>
      </w:r>
    </w:p>
    <w:p w:rsidR="3A620FEA" w:rsidRPr="005F6C05" w:rsidRDefault="3A620FEA" w:rsidP="005F6C05">
      <w:pPr>
        <w:jc w:val="both"/>
        <w:rPr>
          <w:rFonts w:ascii="Arial" w:eastAsia="Arial" w:hAnsi="Arial" w:cs="Arial"/>
          <w:color w:val="000000" w:themeColor="text1"/>
        </w:rPr>
      </w:pPr>
      <w:r w:rsidRPr="005F6C05">
        <w:rPr>
          <w:rFonts w:ascii="Arial" w:eastAsia="Arial" w:hAnsi="Arial" w:cs="Arial"/>
          <w:color w:val="000000" w:themeColor="text1"/>
        </w:rPr>
        <w:t xml:space="preserve">Depending on the level of planning complexity and environmental studies that </w:t>
      </w:r>
      <w:r w:rsidR="4097524C" w:rsidRPr="005F6C05">
        <w:rPr>
          <w:rFonts w:ascii="Arial" w:eastAsia="Arial" w:hAnsi="Arial" w:cs="Arial"/>
          <w:color w:val="000000" w:themeColor="text1"/>
        </w:rPr>
        <w:t>are required</w:t>
      </w:r>
      <w:r w:rsidR="2E4B3E66" w:rsidRPr="005F6C05">
        <w:rPr>
          <w:rFonts w:ascii="Arial" w:eastAsia="Arial" w:hAnsi="Arial" w:cs="Arial"/>
          <w:color w:val="000000" w:themeColor="text1"/>
        </w:rPr>
        <w:t>,</w:t>
      </w:r>
      <w:r w:rsidRPr="005F6C05">
        <w:rPr>
          <w:rFonts w:ascii="Arial" w:eastAsia="Arial" w:hAnsi="Arial" w:cs="Arial"/>
          <w:color w:val="000000" w:themeColor="text1"/>
        </w:rPr>
        <w:t xml:space="preserve"> a planning decision </w:t>
      </w:r>
      <w:r w:rsidR="75E45619" w:rsidRPr="005F6C05">
        <w:rPr>
          <w:rFonts w:ascii="Arial" w:eastAsia="Arial" w:hAnsi="Arial" w:cs="Arial"/>
          <w:color w:val="000000" w:themeColor="text1"/>
        </w:rPr>
        <w:t xml:space="preserve">for some sites </w:t>
      </w:r>
      <w:r w:rsidR="104F5E1F" w:rsidRPr="005F6C05">
        <w:rPr>
          <w:rFonts w:ascii="Arial" w:eastAsia="Arial" w:hAnsi="Arial" w:cs="Arial"/>
          <w:color w:val="000000" w:themeColor="text1"/>
        </w:rPr>
        <w:t>could take until</w:t>
      </w:r>
      <w:r w:rsidR="590AA346" w:rsidRPr="005F6C05">
        <w:rPr>
          <w:rFonts w:ascii="Arial" w:eastAsia="Arial" w:hAnsi="Arial" w:cs="Arial"/>
          <w:color w:val="000000" w:themeColor="text1"/>
        </w:rPr>
        <w:t xml:space="preserve"> M</w:t>
      </w:r>
      <w:r w:rsidR="3029D429" w:rsidRPr="005F6C05">
        <w:rPr>
          <w:rFonts w:ascii="Arial" w:eastAsia="Arial" w:hAnsi="Arial" w:cs="Arial"/>
          <w:color w:val="000000" w:themeColor="text1"/>
        </w:rPr>
        <w:t>ay</w:t>
      </w:r>
      <w:r w:rsidR="590AA346" w:rsidRPr="005F6C05">
        <w:rPr>
          <w:rFonts w:ascii="Arial" w:eastAsia="Arial" w:hAnsi="Arial" w:cs="Arial"/>
          <w:color w:val="000000" w:themeColor="text1"/>
        </w:rPr>
        <w:t xml:space="preserve"> 2021</w:t>
      </w:r>
      <w:r w:rsidR="26C50695" w:rsidRPr="005F6C05">
        <w:rPr>
          <w:rFonts w:ascii="Arial" w:eastAsia="Arial" w:hAnsi="Arial" w:cs="Arial"/>
          <w:color w:val="000000" w:themeColor="text1"/>
        </w:rPr>
        <w:t xml:space="preserve">. However, sites </w:t>
      </w:r>
      <w:r w:rsidR="00303A69" w:rsidRPr="005F6C05">
        <w:rPr>
          <w:rFonts w:ascii="Arial" w:eastAsia="Arial" w:hAnsi="Arial" w:cs="Arial"/>
          <w:color w:val="000000" w:themeColor="text1"/>
        </w:rPr>
        <w:t xml:space="preserve">with a Green RAG rating (see the solar PV spreadsheet) </w:t>
      </w:r>
      <w:r w:rsidR="7D6D87AA" w:rsidRPr="005F6C05">
        <w:rPr>
          <w:rFonts w:ascii="Arial" w:eastAsia="Arial" w:hAnsi="Arial" w:cs="Arial"/>
          <w:color w:val="000000" w:themeColor="text1"/>
        </w:rPr>
        <w:t>are not expected to require a</w:t>
      </w:r>
      <w:r w:rsidR="648EB6A3" w:rsidRPr="005F6C05">
        <w:rPr>
          <w:rFonts w:ascii="Arial" w:eastAsia="Arial" w:hAnsi="Arial" w:cs="Arial"/>
          <w:color w:val="000000" w:themeColor="text1"/>
        </w:rPr>
        <w:t xml:space="preserve"> formal </w:t>
      </w:r>
      <w:r w:rsidR="7D6D87AA" w:rsidRPr="005F6C05">
        <w:rPr>
          <w:rFonts w:ascii="Arial" w:eastAsia="Arial" w:hAnsi="Arial" w:cs="Arial"/>
          <w:color w:val="000000" w:themeColor="text1"/>
        </w:rPr>
        <w:t>pre-application period and its hoped that a decision would be made in 8 weeks instead of 13 weeks</w:t>
      </w:r>
      <w:r w:rsidR="00303A69" w:rsidRPr="005F6C05">
        <w:rPr>
          <w:rFonts w:ascii="Arial" w:eastAsia="Arial" w:hAnsi="Arial" w:cs="Arial"/>
          <w:color w:val="000000" w:themeColor="text1"/>
        </w:rPr>
        <w:t xml:space="preserve">. Indicatively this is shown below for HMP Littlehey. </w:t>
      </w:r>
      <w:r w:rsidR="7D6D87AA" w:rsidRPr="005F6C05">
        <w:rPr>
          <w:rFonts w:ascii="Arial" w:eastAsia="Arial" w:hAnsi="Arial" w:cs="Arial"/>
          <w:color w:val="000000" w:themeColor="text1"/>
        </w:rPr>
        <w:t xml:space="preserve"> </w:t>
      </w:r>
    </w:p>
    <w:p w:rsidR="251ED39B" w:rsidRDefault="00303A69" w:rsidP="251ED39B">
      <w:pPr>
        <w:spacing w:line="360" w:lineRule="auto"/>
      </w:pPr>
      <w:r w:rsidRPr="00303A69">
        <w:rPr>
          <w:noProof/>
        </w:rPr>
        <w:drawing>
          <wp:inline distT="0" distB="0" distL="0" distR="0" wp14:anchorId="55E35CD4" wp14:editId="428E3871">
            <wp:extent cx="5731510" cy="4095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09575"/>
                    </a:xfrm>
                    <a:prstGeom prst="rect">
                      <a:avLst/>
                    </a:prstGeom>
                    <a:noFill/>
                    <a:ln>
                      <a:noFill/>
                    </a:ln>
                  </pic:spPr>
                </pic:pic>
              </a:graphicData>
            </a:graphic>
          </wp:inline>
        </w:drawing>
      </w:r>
    </w:p>
    <w:p w:rsidR="00303A69" w:rsidRPr="00303A69" w:rsidRDefault="00303A69" w:rsidP="251ED39B">
      <w:pPr>
        <w:spacing w:line="360" w:lineRule="auto"/>
        <w:rPr>
          <w:rFonts w:ascii="Arial" w:eastAsia="Arial" w:hAnsi="Arial" w:cs="Arial"/>
          <w:color w:val="000000" w:themeColor="text1"/>
          <w:u w:val="single"/>
        </w:rPr>
      </w:pPr>
      <w:r>
        <w:rPr>
          <w:rFonts w:ascii="Arial" w:eastAsia="Arial" w:hAnsi="Arial" w:cs="Arial"/>
          <w:color w:val="000000" w:themeColor="text1"/>
          <w:u w:val="single"/>
        </w:rPr>
        <w:t>Programme and spending</w:t>
      </w:r>
    </w:p>
    <w:p w:rsidR="00303A69" w:rsidRDefault="00303A69" w:rsidP="00552F30">
      <w:pPr>
        <w:rPr>
          <w:rFonts w:eastAsiaTheme="minorEastAsia"/>
          <w:color w:val="000000" w:themeColor="text1"/>
        </w:rPr>
      </w:pPr>
      <w:r>
        <w:rPr>
          <w:rFonts w:ascii="Arial" w:eastAsia="Arial" w:hAnsi="Arial" w:cs="Arial"/>
          <w:color w:val="000000" w:themeColor="text1"/>
        </w:rPr>
        <w:t>Due to the planning approval periods and other factors i</w:t>
      </w:r>
      <w:r w:rsidRPr="565C1159">
        <w:rPr>
          <w:rFonts w:ascii="Arial" w:eastAsia="Arial" w:hAnsi="Arial" w:cs="Arial"/>
          <w:color w:val="000000" w:themeColor="text1"/>
        </w:rPr>
        <w:t xml:space="preserve">t is </w:t>
      </w:r>
      <w:r w:rsidR="00552F30">
        <w:rPr>
          <w:rFonts w:ascii="Arial" w:eastAsia="Arial" w:hAnsi="Arial" w:cs="Arial"/>
          <w:color w:val="000000" w:themeColor="text1"/>
        </w:rPr>
        <w:t xml:space="preserve">unrealistic that all sites can be delivered this financial year. Bearing this in mind it is expected </w:t>
      </w:r>
      <w:r w:rsidRPr="565C1159">
        <w:rPr>
          <w:rFonts w:ascii="Arial" w:eastAsia="Arial" w:hAnsi="Arial" w:cs="Arial"/>
          <w:color w:val="000000" w:themeColor="text1"/>
        </w:rPr>
        <w:t>that</w:t>
      </w:r>
      <w:r w:rsidR="00552F30">
        <w:rPr>
          <w:rFonts w:ascii="Arial" w:eastAsia="Arial" w:hAnsi="Arial" w:cs="Arial"/>
          <w:color w:val="000000" w:themeColor="text1"/>
        </w:rPr>
        <w:t xml:space="preserve"> the supplier will complete at least</w:t>
      </w:r>
      <w:r w:rsidRPr="565C1159">
        <w:rPr>
          <w:rFonts w:ascii="Arial" w:eastAsia="Arial" w:hAnsi="Arial" w:cs="Arial"/>
          <w:color w:val="000000" w:themeColor="text1"/>
        </w:rPr>
        <w:t xml:space="preserve"> </w:t>
      </w:r>
      <w:r w:rsidR="00552F30">
        <w:rPr>
          <w:rFonts w:ascii="Arial" w:eastAsia="Arial" w:hAnsi="Arial" w:cs="Arial"/>
          <w:color w:val="000000" w:themeColor="text1"/>
        </w:rPr>
        <w:t xml:space="preserve">one </w:t>
      </w:r>
      <w:r w:rsidRPr="565C1159">
        <w:rPr>
          <w:rFonts w:ascii="Arial" w:eastAsia="Arial" w:hAnsi="Arial" w:cs="Arial"/>
          <w:color w:val="000000" w:themeColor="text1"/>
        </w:rPr>
        <w:t xml:space="preserve">site </w:t>
      </w:r>
      <w:r w:rsidR="00552F30">
        <w:rPr>
          <w:rFonts w:ascii="Arial" w:eastAsia="Arial" w:hAnsi="Arial" w:cs="Arial"/>
          <w:color w:val="000000" w:themeColor="text1"/>
        </w:rPr>
        <w:t>in</w:t>
      </w:r>
      <w:r w:rsidRPr="565C1159">
        <w:rPr>
          <w:rFonts w:ascii="Arial" w:eastAsia="Arial" w:hAnsi="Arial" w:cs="Arial"/>
          <w:color w:val="000000" w:themeColor="text1"/>
        </w:rPr>
        <w:t xml:space="preserve"> the current FY</w:t>
      </w:r>
      <w:r w:rsidR="00552F30">
        <w:rPr>
          <w:rFonts w:ascii="Arial" w:eastAsia="Arial" w:hAnsi="Arial" w:cs="Arial"/>
          <w:color w:val="000000" w:themeColor="text1"/>
        </w:rPr>
        <w:t>,</w:t>
      </w:r>
      <w:r w:rsidRPr="565C1159">
        <w:rPr>
          <w:rFonts w:ascii="Arial" w:eastAsia="Arial" w:hAnsi="Arial" w:cs="Arial"/>
          <w:color w:val="000000" w:themeColor="text1"/>
        </w:rPr>
        <w:t xml:space="preserve"> before 31 March 2021.</w:t>
      </w:r>
    </w:p>
    <w:p w:rsidR="00552F30" w:rsidRDefault="00552F30" w:rsidP="00552F30">
      <w:pPr>
        <w:rPr>
          <w:rFonts w:ascii="Arial" w:eastAsia="Arial" w:hAnsi="Arial" w:cs="Arial"/>
          <w:color w:val="000000" w:themeColor="text1"/>
        </w:rPr>
      </w:pPr>
      <w:r>
        <w:rPr>
          <w:rFonts w:ascii="Arial" w:eastAsia="Arial" w:hAnsi="Arial" w:cs="Arial"/>
          <w:color w:val="000000" w:themeColor="text1"/>
        </w:rPr>
        <w:t>F</w:t>
      </w:r>
      <w:r w:rsidR="00303A69" w:rsidRPr="00552F30">
        <w:rPr>
          <w:rFonts w:ascii="Arial" w:eastAsia="Arial" w:hAnsi="Arial" w:cs="Arial"/>
          <w:color w:val="000000" w:themeColor="text1"/>
        </w:rPr>
        <w:t xml:space="preserve">or the remaining sites, the works </w:t>
      </w:r>
      <w:r>
        <w:rPr>
          <w:rFonts w:ascii="Arial" w:eastAsia="Arial" w:hAnsi="Arial" w:cs="Arial"/>
          <w:color w:val="000000" w:themeColor="text1"/>
        </w:rPr>
        <w:t xml:space="preserve">shall </w:t>
      </w:r>
      <w:r w:rsidR="00303A69" w:rsidRPr="00552F30">
        <w:rPr>
          <w:rFonts w:ascii="Arial" w:eastAsia="Arial" w:hAnsi="Arial" w:cs="Arial"/>
          <w:color w:val="000000" w:themeColor="text1"/>
        </w:rPr>
        <w:t>be programmed to</w:t>
      </w:r>
      <w:r>
        <w:rPr>
          <w:rFonts w:ascii="Arial" w:eastAsia="Arial" w:hAnsi="Arial" w:cs="Arial"/>
          <w:color w:val="000000" w:themeColor="text1"/>
        </w:rPr>
        <w:t xml:space="preserve"> complete as much of the work </w:t>
      </w:r>
      <w:r w:rsidR="00303A69" w:rsidRPr="00552F30">
        <w:rPr>
          <w:rFonts w:ascii="Arial" w:eastAsia="Arial" w:hAnsi="Arial" w:cs="Arial"/>
          <w:color w:val="000000" w:themeColor="text1"/>
        </w:rPr>
        <w:t>before 31 March 2021</w:t>
      </w:r>
      <w:r>
        <w:rPr>
          <w:rFonts w:ascii="Arial" w:eastAsia="Arial" w:hAnsi="Arial" w:cs="Arial"/>
          <w:color w:val="000000" w:themeColor="text1"/>
        </w:rPr>
        <w:t xml:space="preserve">. This is likely to include </w:t>
      </w:r>
      <w:r w:rsidR="00303A69" w:rsidRPr="00552F30">
        <w:rPr>
          <w:rFonts w:ascii="Arial" w:eastAsia="Arial" w:hAnsi="Arial" w:cs="Arial"/>
          <w:color w:val="000000" w:themeColor="text1"/>
        </w:rPr>
        <w:t>the upfront purchase of PV panels</w:t>
      </w:r>
      <w:r>
        <w:rPr>
          <w:rFonts w:ascii="Arial" w:eastAsia="Arial" w:hAnsi="Arial" w:cs="Arial"/>
          <w:color w:val="000000" w:themeColor="text1"/>
        </w:rPr>
        <w:t xml:space="preserve"> for sites where there is a reasonable level of certainty around DNO negotiations and a positive planning decision. </w:t>
      </w:r>
      <w:r w:rsidR="005F59FD">
        <w:rPr>
          <w:rFonts w:ascii="Arial" w:eastAsia="Arial" w:hAnsi="Arial" w:cs="Arial"/>
          <w:color w:val="000000" w:themeColor="text1"/>
        </w:rPr>
        <w:t xml:space="preserve">MoJ will work with the successful supplier to agree these arrangements. </w:t>
      </w:r>
    </w:p>
    <w:p w:rsidR="00303A69" w:rsidRDefault="00303A69" w:rsidP="0584F84F">
      <w:pPr>
        <w:rPr>
          <w:rFonts w:eastAsiaTheme="minorEastAsia"/>
          <w:color w:val="000000" w:themeColor="text1"/>
        </w:rPr>
      </w:pPr>
      <w:r w:rsidRPr="0584F84F">
        <w:rPr>
          <w:rFonts w:ascii="Arial" w:eastAsia="Arial" w:hAnsi="Arial" w:cs="Arial"/>
          <w:color w:val="000000" w:themeColor="text1"/>
        </w:rPr>
        <w:t>Works will then continue into 2021/22</w:t>
      </w:r>
      <w:r w:rsidR="005F59FD" w:rsidRPr="0584F84F">
        <w:rPr>
          <w:rFonts w:ascii="Arial" w:eastAsia="Arial" w:hAnsi="Arial" w:cs="Arial"/>
          <w:color w:val="000000" w:themeColor="text1"/>
        </w:rPr>
        <w:t>. However, a</w:t>
      </w:r>
      <w:r w:rsidRPr="0584F84F">
        <w:rPr>
          <w:rFonts w:ascii="Arial" w:eastAsia="Arial" w:hAnsi="Arial" w:cs="Arial"/>
          <w:color w:val="000000" w:themeColor="text1"/>
        </w:rPr>
        <w:t xml:space="preserve">s the budget for 2021/22 has not been </w:t>
      </w:r>
      <w:r w:rsidR="3255EC15" w:rsidRPr="0584F84F">
        <w:rPr>
          <w:rFonts w:ascii="Arial" w:eastAsia="Arial" w:hAnsi="Arial" w:cs="Arial"/>
          <w:color w:val="000000" w:themeColor="text1"/>
        </w:rPr>
        <w:t>confirmed,</w:t>
      </w:r>
      <w:r w:rsidRPr="0584F84F">
        <w:rPr>
          <w:rFonts w:ascii="Arial" w:eastAsia="Arial" w:hAnsi="Arial" w:cs="Arial"/>
          <w:color w:val="000000" w:themeColor="text1"/>
        </w:rPr>
        <w:t xml:space="preserve"> the Contracting Authority does not guarantee the volume of works and may terminate the contract at the end of this FY, 31 March 2020.</w:t>
      </w:r>
    </w:p>
    <w:p w:rsidR="00303A69" w:rsidRPr="005F59FD" w:rsidRDefault="005F59FD" w:rsidP="005F59FD">
      <w:pPr>
        <w:rPr>
          <w:rFonts w:eastAsiaTheme="minorEastAsia"/>
          <w:color w:val="000000" w:themeColor="text1"/>
        </w:rPr>
      </w:pPr>
      <w:r>
        <w:rPr>
          <w:rFonts w:ascii="Arial" w:eastAsia="Arial" w:hAnsi="Arial" w:cs="Arial"/>
          <w:color w:val="000000" w:themeColor="text1"/>
        </w:rPr>
        <w:t xml:space="preserve">It is expected that from the initial 17 sites that </w:t>
      </w:r>
      <w:proofErr w:type="gramStart"/>
      <w:r>
        <w:rPr>
          <w:rFonts w:ascii="Arial" w:eastAsia="Arial" w:hAnsi="Arial" w:cs="Arial"/>
          <w:color w:val="000000" w:themeColor="text1"/>
        </w:rPr>
        <w:t>a</w:t>
      </w:r>
      <w:r w:rsidR="00303A69" w:rsidRPr="005F59FD">
        <w:rPr>
          <w:rFonts w:ascii="Arial" w:eastAsia="Arial" w:hAnsi="Arial" w:cs="Arial"/>
          <w:color w:val="000000" w:themeColor="text1"/>
        </w:rPr>
        <w:t xml:space="preserve"> number of</w:t>
      </w:r>
      <w:proofErr w:type="gramEnd"/>
      <w:r w:rsidR="00303A69" w:rsidRPr="005F59FD">
        <w:rPr>
          <w:rFonts w:ascii="Arial" w:eastAsia="Arial" w:hAnsi="Arial" w:cs="Arial"/>
          <w:color w:val="000000" w:themeColor="text1"/>
        </w:rPr>
        <w:t xml:space="preserve"> sites </w:t>
      </w:r>
      <w:r>
        <w:rPr>
          <w:rFonts w:ascii="Arial" w:eastAsia="Arial" w:hAnsi="Arial" w:cs="Arial"/>
          <w:color w:val="000000" w:themeColor="text1"/>
        </w:rPr>
        <w:t xml:space="preserve">may </w:t>
      </w:r>
      <w:r w:rsidR="00303A69" w:rsidRPr="005F59FD">
        <w:rPr>
          <w:rFonts w:ascii="Arial" w:eastAsia="Arial" w:hAnsi="Arial" w:cs="Arial"/>
          <w:color w:val="000000" w:themeColor="text1"/>
        </w:rPr>
        <w:t xml:space="preserve">be ruled out during the initial survey and design process because they cannot be delivered within the budget and timeframes due to for example environmental constraints, lease arrangements and planning constraints. </w:t>
      </w:r>
    </w:p>
    <w:p w:rsidR="2A32DCFC" w:rsidRDefault="005F59FD" w:rsidP="565C1159">
      <w:pPr>
        <w:spacing w:line="360" w:lineRule="auto"/>
      </w:pPr>
      <w:r>
        <w:rPr>
          <w:rFonts w:ascii="Arial" w:eastAsia="Arial" w:hAnsi="Arial" w:cs="Arial"/>
          <w:color w:val="000000" w:themeColor="text1"/>
          <w:u w:val="single"/>
        </w:rPr>
        <w:t>P</w:t>
      </w:r>
      <w:r w:rsidR="2A32DCFC" w:rsidRPr="565C1159">
        <w:rPr>
          <w:rFonts w:ascii="Arial" w:eastAsia="Arial" w:hAnsi="Arial" w:cs="Arial"/>
          <w:color w:val="000000" w:themeColor="text1"/>
          <w:u w:val="single"/>
        </w:rPr>
        <w:t>ackaging</w:t>
      </w:r>
    </w:p>
    <w:p w:rsidR="2A32DCFC" w:rsidRDefault="2A32DCFC" w:rsidP="00303A69">
      <w:pPr>
        <w:rPr>
          <w:rFonts w:eastAsiaTheme="minorEastAsia"/>
          <w:color w:val="000000" w:themeColor="text1"/>
        </w:rPr>
      </w:pPr>
      <w:r w:rsidRPr="565C1159">
        <w:rPr>
          <w:rFonts w:ascii="Arial" w:eastAsia="Arial" w:hAnsi="Arial" w:cs="Arial"/>
          <w:color w:val="000000" w:themeColor="text1"/>
        </w:rPr>
        <w:t xml:space="preserve">17 sites have been identified that are suitable for PV Generation systems. The sites will be packaged into a single lot. </w:t>
      </w:r>
    </w:p>
    <w:p w:rsidR="2A32DCFC" w:rsidRDefault="2A32DCFC" w:rsidP="565C1159">
      <w:pPr>
        <w:spacing w:line="360" w:lineRule="auto"/>
      </w:pPr>
      <w:r w:rsidRPr="565C1159">
        <w:rPr>
          <w:rFonts w:ascii="Arial" w:eastAsia="Arial" w:hAnsi="Arial" w:cs="Arial"/>
          <w:color w:val="000000" w:themeColor="text1"/>
          <w:u w:val="single"/>
        </w:rPr>
        <w:t>Contract value</w:t>
      </w:r>
    </w:p>
    <w:p w:rsidR="2A32DCFC" w:rsidRDefault="2A32DCFC" w:rsidP="565C1159">
      <w:pPr>
        <w:spacing w:line="360" w:lineRule="auto"/>
        <w:rPr>
          <w:rFonts w:ascii="Arial" w:eastAsia="Arial" w:hAnsi="Arial" w:cs="Arial"/>
          <w:color w:val="000000" w:themeColor="text1"/>
        </w:rPr>
      </w:pPr>
      <w:r w:rsidRPr="565C1159">
        <w:rPr>
          <w:rFonts w:ascii="Arial" w:eastAsia="Arial" w:hAnsi="Arial" w:cs="Arial"/>
          <w:color w:val="000000" w:themeColor="text1"/>
        </w:rPr>
        <w:t>The initial contract award/ contract sum will be the price to develop the PV generation proposals</w:t>
      </w:r>
      <w:r w:rsidR="2A3AF6C3" w:rsidRPr="565C1159">
        <w:rPr>
          <w:rFonts w:ascii="Arial" w:eastAsia="Arial" w:hAnsi="Arial" w:cs="Arial"/>
          <w:color w:val="000000" w:themeColor="text1"/>
        </w:rPr>
        <w:t xml:space="preserve"> for </w:t>
      </w:r>
      <w:r w:rsidR="00303A69">
        <w:rPr>
          <w:rFonts w:ascii="Arial" w:eastAsia="Arial" w:hAnsi="Arial" w:cs="Arial"/>
          <w:color w:val="000000" w:themeColor="text1"/>
        </w:rPr>
        <w:t>the 17</w:t>
      </w:r>
      <w:r w:rsidR="2A3AF6C3" w:rsidRPr="565C1159">
        <w:rPr>
          <w:rFonts w:ascii="Arial" w:eastAsia="Arial" w:hAnsi="Arial" w:cs="Arial"/>
          <w:color w:val="000000" w:themeColor="text1"/>
        </w:rPr>
        <w:t xml:space="preserve"> sites</w:t>
      </w:r>
      <w:r w:rsidRPr="565C1159">
        <w:rPr>
          <w:rFonts w:ascii="Arial" w:eastAsia="Arial" w:hAnsi="Arial" w:cs="Arial"/>
          <w:color w:val="000000" w:themeColor="text1"/>
        </w:rPr>
        <w:t xml:space="preserve">. </w:t>
      </w:r>
      <w:r w:rsidR="58179BC7" w:rsidRPr="565C1159">
        <w:rPr>
          <w:rFonts w:ascii="Arial" w:eastAsia="Arial" w:hAnsi="Arial" w:cs="Arial"/>
          <w:color w:val="000000" w:themeColor="text1"/>
        </w:rPr>
        <w:t>The next stage</w:t>
      </w:r>
      <w:r w:rsidR="798E7A44" w:rsidRPr="565C1159">
        <w:rPr>
          <w:rFonts w:ascii="Arial" w:eastAsia="Arial" w:hAnsi="Arial" w:cs="Arial"/>
          <w:color w:val="000000" w:themeColor="text1"/>
        </w:rPr>
        <w:t>/s</w:t>
      </w:r>
      <w:r w:rsidR="58179BC7" w:rsidRPr="565C1159">
        <w:rPr>
          <w:rFonts w:ascii="Arial" w:eastAsia="Arial" w:hAnsi="Arial" w:cs="Arial"/>
          <w:color w:val="000000" w:themeColor="text1"/>
        </w:rPr>
        <w:t xml:space="preserve"> of each project </w:t>
      </w:r>
      <w:r w:rsidR="29890179" w:rsidRPr="565C1159">
        <w:rPr>
          <w:rFonts w:ascii="Arial" w:eastAsia="Arial" w:hAnsi="Arial" w:cs="Arial"/>
          <w:color w:val="000000" w:themeColor="text1"/>
        </w:rPr>
        <w:t>will</w:t>
      </w:r>
      <w:r w:rsidR="58179BC7" w:rsidRPr="565C1159">
        <w:rPr>
          <w:rFonts w:ascii="Arial" w:eastAsia="Arial" w:hAnsi="Arial" w:cs="Arial"/>
          <w:color w:val="000000" w:themeColor="text1"/>
        </w:rPr>
        <w:t xml:space="preserve"> then be awarded as a variation to the contract. </w:t>
      </w:r>
      <w:r w:rsidRPr="565C1159">
        <w:rPr>
          <w:rFonts w:ascii="Arial" w:eastAsia="Arial" w:hAnsi="Arial" w:cs="Arial"/>
          <w:color w:val="1F497D" w:themeColor="text2"/>
        </w:rPr>
        <w:t xml:space="preserve"> </w:t>
      </w:r>
    </w:p>
    <w:p w:rsidR="2A32DCFC" w:rsidRDefault="2A32DCFC" w:rsidP="565C1159">
      <w:pPr>
        <w:rPr>
          <w:rFonts w:ascii="Arial" w:eastAsia="Arial" w:hAnsi="Arial" w:cs="Arial"/>
          <w:b/>
          <w:bCs/>
          <w:color w:val="0B0B0B"/>
          <w:u w:val="single"/>
        </w:rPr>
      </w:pPr>
      <w:r w:rsidRPr="0156DC94">
        <w:rPr>
          <w:rFonts w:ascii="Arial" w:eastAsia="Arial" w:hAnsi="Arial" w:cs="Arial"/>
          <w:color w:val="1F487C"/>
        </w:rPr>
        <w:t xml:space="preserve"> </w:t>
      </w:r>
      <w:r w:rsidRPr="0156DC94">
        <w:rPr>
          <w:rFonts w:ascii="Arial" w:eastAsia="Arial" w:hAnsi="Arial" w:cs="Arial"/>
          <w:b/>
          <w:bCs/>
          <w:color w:val="0B0B0B"/>
          <w:u w:val="single"/>
        </w:rPr>
        <w:t>HMCTS – Roof Mounted</w:t>
      </w:r>
      <w:r w:rsidR="30468C7E" w:rsidRPr="0156DC94">
        <w:rPr>
          <w:rFonts w:ascii="Arial" w:eastAsia="Arial" w:hAnsi="Arial" w:cs="Arial"/>
          <w:b/>
          <w:bCs/>
          <w:color w:val="0B0B0B"/>
          <w:u w:val="single"/>
        </w:rPr>
        <w:t xml:space="preserve"> – Lot</w:t>
      </w:r>
      <w:r w:rsidR="0CD433B2" w:rsidRPr="0156DC94">
        <w:rPr>
          <w:rFonts w:ascii="Arial" w:eastAsia="Arial" w:hAnsi="Arial" w:cs="Arial"/>
          <w:b/>
          <w:bCs/>
          <w:color w:val="0B0B0B"/>
          <w:u w:val="single"/>
        </w:rPr>
        <w:t>s</w:t>
      </w:r>
      <w:r w:rsidR="30468C7E" w:rsidRPr="0156DC94">
        <w:rPr>
          <w:rFonts w:ascii="Arial" w:eastAsia="Arial" w:hAnsi="Arial" w:cs="Arial"/>
          <w:b/>
          <w:bCs/>
          <w:color w:val="0B0B0B"/>
          <w:u w:val="single"/>
        </w:rPr>
        <w:t xml:space="preserve"> 2 - </w:t>
      </w:r>
      <w:r w:rsidR="43BD33A0" w:rsidRPr="0156DC94">
        <w:rPr>
          <w:rFonts w:ascii="Arial" w:eastAsia="Arial" w:hAnsi="Arial" w:cs="Arial"/>
          <w:b/>
          <w:bCs/>
          <w:color w:val="0B0B0B"/>
          <w:u w:val="single"/>
        </w:rPr>
        <w:t>7</w:t>
      </w:r>
    </w:p>
    <w:p w:rsidR="0040AEAB" w:rsidRDefault="0040AEAB" w:rsidP="4E07EE27">
      <w:pPr>
        <w:spacing w:line="360" w:lineRule="auto"/>
        <w:rPr>
          <w:rFonts w:ascii="Arial" w:eastAsia="Arial" w:hAnsi="Arial" w:cs="Arial"/>
          <w:color w:val="0B0B0B"/>
          <w:u w:val="single"/>
        </w:rPr>
      </w:pPr>
      <w:r w:rsidRPr="4E07EE27">
        <w:rPr>
          <w:rFonts w:ascii="Arial" w:eastAsia="Arial" w:hAnsi="Arial" w:cs="Arial"/>
          <w:color w:val="0B0B0B"/>
          <w:u w:val="single"/>
        </w:rPr>
        <w:t>General</w:t>
      </w:r>
    </w:p>
    <w:p w:rsidR="0040AEAB" w:rsidRDefault="0040AEAB" w:rsidP="4E07EE27">
      <w:pPr>
        <w:jc w:val="both"/>
        <w:rPr>
          <w:rFonts w:ascii="Arial" w:eastAsia="Arial" w:hAnsi="Arial" w:cs="Arial"/>
          <w:color w:val="000000" w:themeColor="text1"/>
        </w:rPr>
      </w:pPr>
      <w:r w:rsidRPr="4E07EE27">
        <w:rPr>
          <w:rFonts w:ascii="Arial" w:eastAsia="Arial" w:hAnsi="Arial" w:cs="Arial"/>
          <w:color w:val="000000" w:themeColor="text1"/>
        </w:rPr>
        <w:t xml:space="preserve">MoJ provided a list of priority sites based on HMCTS freehold ownership and large </w:t>
      </w:r>
      <w:r w:rsidR="60C6999C" w:rsidRPr="4E07EE27">
        <w:rPr>
          <w:rFonts w:ascii="Arial" w:eastAsia="Arial" w:hAnsi="Arial" w:cs="Arial"/>
          <w:color w:val="000000" w:themeColor="text1"/>
        </w:rPr>
        <w:t>GIA</w:t>
      </w:r>
      <w:r w:rsidRPr="4E07EE27">
        <w:rPr>
          <w:rFonts w:ascii="Arial" w:eastAsia="Arial" w:hAnsi="Arial" w:cs="Arial"/>
          <w:color w:val="000000" w:themeColor="text1"/>
        </w:rPr>
        <w:t>. Mace have taken the list and determined an indicative kW size and breaker size per site by measuring the roof area from Google maps.</w:t>
      </w:r>
      <w:r w:rsidRPr="4E07EE27">
        <w:rPr>
          <w:rFonts w:ascii="Arial" w:eastAsia="Arial" w:hAnsi="Arial" w:cs="Arial"/>
          <w:color w:val="000000" w:themeColor="text1"/>
          <w:lang w:val="en-US"/>
        </w:rPr>
        <w:t xml:space="preserve"> </w:t>
      </w:r>
    </w:p>
    <w:p w:rsidR="0040AEAB" w:rsidRDefault="0040AEAB" w:rsidP="4E07EE27">
      <w:pPr>
        <w:jc w:val="both"/>
        <w:rPr>
          <w:rFonts w:ascii="Arial" w:eastAsia="Arial" w:hAnsi="Arial" w:cs="Arial"/>
          <w:color w:val="000000" w:themeColor="text1"/>
        </w:rPr>
      </w:pPr>
      <w:r w:rsidRPr="4E07EE27">
        <w:rPr>
          <w:rFonts w:ascii="Arial" w:eastAsia="Arial" w:hAnsi="Arial" w:cs="Arial"/>
          <w:color w:val="000000" w:themeColor="text1"/>
        </w:rPr>
        <w:t>Cushman &amp; Wakefield have advised that site between 50kW and 1 MW require prior approval the statutory time frame for this is 56 days.</w:t>
      </w:r>
      <w:r w:rsidRPr="4E07EE27">
        <w:rPr>
          <w:rFonts w:ascii="Arial" w:eastAsia="Arial" w:hAnsi="Arial" w:cs="Arial"/>
          <w:color w:val="000000" w:themeColor="text1"/>
          <w:lang w:val="en-US"/>
        </w:rPr>
        <w:t xml:space="preserve"> </w:t>
      </w:r>
    </w:p>
    <w:p w:rsidR="7BB32AAE" w:rsidRDefault="7BB32AAE" w:rsidP="461B126D">
      <w:pPr>
        <w:jc w:val="both"/>
        <w:rPr>
          <w:rFonts w:ascii="Arial" w:eastAsia="Arial" w:hAnsi="Arial" w:cs="Arial"/>
          <w:color w:val="000000" w:themeColor="text1"/>
        </w:rPr>
      </w:pPr>
      <w:r w:rsidRPr="461B126D">
        <w:rPr>
          <w:rFonts w:ascii="Arial" w:eastAsia="Arial" w:hAnsi="Arial" w:cs="Arial"/>
          <w:color w:val="000000" w:themeColor="text1"/>
          <w:lang w:val="en-US"/>
        </w:rPr>
        <w:t>We estimate that a</w:t>
      </w:r>
      <w:proofErr w:type="spellStart"/>
      <w:r w:rsidR="0040AEAB" w:rsidRPr="461B126D">
        <w:rPr>
          <w:rFonts w:ascii="Arial" w:eastAsia="Arial" w:hAnsi="Arial" w:cs="Arial"/>
          <w:color w:val="000000" w:themeColor="text1"/>
        </w:rPr>
        <w:t>bout</w:t>
      </w:r>
      <w:proofErr w:type="spellEnd"/>
      <w:r w:rsidR="0040AEAB" w:rsidRPr="461B126D">
        <w:rPr>
          <w:rFonts w:ascii="Arial" w:eastAsia="Arial" w:hAnsi="Arial" w:cs="Arial"/>
          <w:color w:val="000000" w:themeColor="text1"/>
        </w:rPr>
        <w:t xml:space="preserve"> 10 sites would require prior approval. The remaining sites are permitted development but still need to be notified to the local planning authority.</w:t>
      </w:r>
    </w:p>
    <w:p w:rsidR="7BB32AAE" w:rsidRDefault="770FFD11" w:rsidP="461B126D">
      <w:pPr>
        <w:jc w:val="both"/>
        <w:rPr>
          <w:rFonts w:ascii="Arial" w:eastAsia="Arial" w:hAnsi="Arial" w:cs="Arial"/>
          <w:color w:val="000000" w:themeColor="text1"/>
        </w:rPr>
      </w:pPr>
      <w:r w:rsidRPr="461B126D">
        <w:rPr>
          <w:rFonts w:ascii="Arial" w:eastAsia="Arial" w:hAnsi="Arial" w:cs="Arial"/>
          <w:color w:val="000000" w:themeColor="text1"/>
        </w:rPr>
        <w:t>The planning process and preparation of the applications will be undertaken by MoJ’s planning consultant Cushman and Wakefield.</w:t>
      </w:r>
    </w:p>
    <w:p w:rsidR="0D53ECBA" w:rsidRDefault="0D53ECBA" w:rsidP="4E07EE27">
      <w:pPr>
        <w:jc w:val="both"/>
        <w:rPr>
          <w:rFonts w:ascii="Arial" w:eastAsia="Arial" w:hAnsi="Arial" w:cs="Arial"/>
          <w:color w:val="000000" w:themeColor="text1"/>
        </w:rPr>
      </w:pPr>
      <w:r w:rsidRPr="4E07EE27">
        <w:rPr>
          <w:rFonts w:ascii="Arial" w:eastAsia="Arial" w:hAnsi="Arial" w:cs="Arial"/>
          <w:color w:val="000000" w:themeColor="text1"/>
        </w:rPr>
        <w:t>Concurrent with the</w:t>
      </w:r>
      <w:r w:rsidR="33965DC0" w:rsidRPr="4E07EE27">
        <w:rPr>
          <w:rFonts w:ascii="Arial" w:eastAsia="Arial" w:hAnsi="Arial" w:cs="Arial"/>
          <w:color w:val="000000" w:themeColor="text1"/>
        </w:rPr>
        <w:t xml:space="preserve"> tender period surveys are underway</w:t>
      </w:r>
      <w:r w:rsidR="0040AEAB" w:rsidRPr="4E07EE27">
        <w:rPr>
          <w:rFonts w:ascii="Arial" w:eastAsia="Arial" w:hAnsi="Arial" w:cs="Arial"/>
          <w:color w:val="000000" w:themeColor="text1"/>
        </w:rPr>
        <w:t xml:space="preserve"> to determine basic </w:t>
      </w:r>
      <w:r w:rsidR="0AB35E86" w:rsidRPr="4E07EE27">
        <w:rPr>
          <w:rFonts w:ascii="Arial" w:eastAsia="Arial" w:hAnsi="Arial" w:cs="Arial"/>
          <w:color w:val="000000" w:themeColor="text1"/>
        </w:rPr>
        <w:t>suitability of each site</w:t>
      </w:r>
      <w:r w:rsidR="4F1802F8" w:rsidRPr="4E07EE27">
        <w:rPr>
          <w:rFonts w:ascii="Arial" w:eastAsia="Arial" w:hAnsi="Arial" w:cs="Arial"/>
          <w:color w:val="000000" w:themeColor="text1"/>
        </w:rPr>
        <w:t xml:space="preserve"> including:</w:t>
      </w:r>
    </w:p>
    <w:p w:rsidR="31861EA0" w:rsidRDefault="31861EA0" w:rsidP="4E07EE27">
      <w:pPr>
        <w:pStyle w:val="ListParagraph"/>
        <w:numPr>
          <w:ilvl w:val="0"/>
          <w:numId w:val="2"/>
        </w:numPr>
        <w:spacing w:after="0"/>
        <w:jc w:val="both"/>
        <w:rPr>
          <w:rFonts w:eastAsiaTheme="minorEastAsia"/>
          <w:color w:val="000000" w:themeColor="text1"/>
        </w:rPr>
      </w:pPr>
      <w:r w:rsidRPr="4E07EE27">
        <w:rPr>
          <w:rFonts w:ascii="Arial" w:eastAsia="Arial" w:hAnsi="Arial" w:cs="Arial"/>
        </w:rPr>
        <w:t xml:space="preserve">Measurement of the area of the roof that is suitable for PV panels (flat or south facing pitch) </w:t>
      </w:r>
    </w:p>
    <w:p w:rsidR="31861EA0" w:rsidRDefault="31861EA0" w:rsidP="4E07EE27">
      <w:pPr>
        <w:pStyle w:val="ListParagraph"/>
        <w:numPr>
          <w:ilvl w:val="0"/>
          <w:numId w:val="2"/>
        </w:numPr>
        <w:spacing w:after="0"/>
        <w:jc w:val="both"/>
        <w:rPr>
          <w:rFonts w:eastAsiaTheme="minorEastAsia"/>
        </w:rPr>
      </w:pPr>
      <w:r w:rsidRPr="4E07EE27">
        <w:rPr>
          <w:rFonts w:ascii="Arial" w:eastAsia="Arial" w:hAnsi="Arial" w:cs="Arial"/>
        </w:rPr>
        <w:t xml:space="preserve">Location of the nearest electrical supply/ DB/ main switch board, approximate cable length/ route </w:t>
      </w:r>
    </w:p>
    <w:p w:rsidR="31861EA0" w:rsidRDefault="31861EA0" w:rsidP="4E07EE27">
      <w:pPr>
        <w:pStyle w:val="ListParagraph"/>
        <w:numPr>
          <w:ilvl w:val="0"/>
          <w:numId w:val="2"/>
        </w:numPr>
        <w:spacing w:after="0"/>
        <w:jc w:val="both"/>
        <w:rPr>
          <w:rFonts w:eastAsiaTheme="minorEastAsia"/>
        </w:rPr>
      </w:pPr>
      <w:r w:rsidRPr="4E07EE27">
        <w:rPr>
          <w:rFonts w:ascii="Arial" w:eastAsia="Arial" w:hAnsi="Arial" w:cs="Arial"/>
        </w:rPr>
        <w:t xml:space="preserve">Whether the electrical board has space for a suitable connection of the solar panels </w:t>
      </w:r>
    </w:p>
    <w:p w:rsidR="31861EA0" w:rsidRDefault="31861EA0" w:rsidP="4E07EE27">
      <w:pPr>
        <w:pStyle w:val="ListParagraph"/>
        <w:numPr>
          <w:ilvl w:val="0"/>
          <w:numId w:val="2"/>
        </w:numPr>
        <w:jc w:val="both"/>
        <w:rPr>
          <w:rFonts w:eastAsiaTheme="minorEastAsia"/>
        </w:rPr>
      </w:pPr>
      <w:r w:rsidRPr="4E07EE27">
        <w:rPr>
          <w:rFonts w:ascii="Arial" w:eastAsia="Arial" w:hAnsi="Arial" w:cs="Arial"/>
        </w:rPr>
        <w:t xml:space="preserve">Roof accessibility - i.e. is there an internal lift/ goods lift/ staircase. If so, then the number of flights, and/or whether there is a roof safety system present.  </w:t>
      </w:r>
    </w:p>
    <w:p w:rsidR="31861EA0" w:rsidRDefault="31861EA0" w:rsidP="4E07EE27">
      <w:pPr>
        <w:pStyle w:val="ListParagraph"/>
        <w:numPr>
          <w:ilvl w:val="0"/>
          <w:numId w:val="2"/>
        </w:numPr>
        <w:jc w:val="both"/>
        <w:rPr>
          <w:rFonts w:eastAsiaTheme="minorEastAsia"/>
        </w:rPr>
      </w:pPr>
      <w:r w:rsidRPr="4E07EE27">
        <w:rPr>
          <w:rFonts w:ascii="Arial" w:eastAsia="Arial" w:hAnsi="Arial" w:cs="Arial"/>
        </w:rPr>
        <w:t xml:space="preserve">If no internal access to the roof, is there the potential to erect scaffolding, or to utilise a crane to access the roofs? </w:t>
      </w:r>
    </w:p>
    <w:p w:rsidR="31861EA0" w:rsidRDefault="31861EA0" w:rsidP="4E07EE27">
      <w:pPr>
        <w:pStyle w:val="ListParagraph"/>
        <w:numPr>
          <w:ilvl w:val="0"/>
          <w:numId w:val="2"/>
        </w:numPr>
        <w:jc w:val="both"/>
        <w:rPr>
          <w:rFonts w:eastAsiaTheme="minorEastAsia"/>
        </w:rPr>
      </w:pPr>
      <w:r w:rsidRPr="4E07EE27">
        <w:rPr>
          <w:rFonts w:ascii="Arial" w:eastAsia="Arial" w:hAnsi="Arial" w:cs="Arial"/>
        </w:rPr>
        <w:t xml:space="preserve">High level structural suitability/ roof loading capacity – general observations (the load of the panels is flat roof – 20kg per m2 / pitched roof 13kg per m2) </w:t>
      </w:r>
    </w:p>
    <w:p w:rsidR="31861EA0" w:rsidRDefault="31861EA0" w:rsidP="4E07EE27">
      <w:pPr>
        <w:pStyle w:val="ListParagraph"/>
        <w:numPr>
          <w:ilvl w:val="0"/>
          <w:numId w:val="2"/>
        </w:numPr>
        <w:jc w:val="both"/>
        <w:rPr>
          <w:rFonts w:eastAsiaTheme="minorEastAsia"/>
        </w:rPr>
      </w:pPr>
      <w:r w:rsidRPr="4E07EE27">
        <w:rPr>
          <w:rFonts w:ascii="Arial" w:eastAsia="Arial" w:hAnsi="Arial" w:cs="Arial"/>
        </w:rPr>
        <w:t xml:space="preserve">Any other observations / issues that could impact the installation of solar panels on the roof </w:t>
      </w:r>
      <w:proofErr w:type="spellStart"/>
      <w:r w:rsidRPr="4E07EE27">
        <w:rPr>
          <w:rFonts w:ascii="Arial" w:eastAsia="Arial" w:hAnsi="Arial" w:cs="Arial"/>
        </w:rPr>
        <w:t>eg</w:t>
      </w:r>
      <w:proofErr w:type="spellEnd"/>
      <w:r w:rsidRPr="4E07EE27">
        <w:rPr>
          <w:rFonts w:ascii="Arial" w:eastAsia="Arial" w:hAnsi="Arial" w:cs="Arial"/>
        </w:rPr>
        <w:t xml:space="preserve"> asbestos or imminent roof repairs required.  </w:t>
      </w:r>
    </w:p>
    <w:p w:rsidR="22CD93EE" w:rsidRPr="005F6C05" w:rsidRDefault="22CD93EE" w:rsidP="005F6C05">
      <w:pPr>
        <w:jc w:val="both"/>
        <w:rPr>
          <w:rFonts w:ascii="Arial" w:eastAsia="Arial" w:hAnsi="Arial" w:cs="Arial"/>
          <w:color w:val="000000" w:themeColor="text1"/>
        </w:rPr>
      </w:pPr>
      <w:r w:rsidRPr="005F6C05">
        <w:rPr>
          <w:rFonts w:ascii="Arial" w:eastAsia="Arial" w:hAnsi="Arial" w:cs="Arial"/>
          <w:color w:val="000000" w:themeColor="text1"/>
        </w:rPr>
        <w:t xml:space="preserve">These surveys will be made available to the successful tenderer. In addition, half hour </w:t>
      </w:r>
      <w:r w:rsidR="005F59FD" w:rsidRPr="005F6C05">
        <w:rPr>
          <w:rFonts w:ascii="Arial" w:eastAsia="Arial" w:hAnsi="Arial" w:cs="Arial"/>
          <w:color w:val="000000" w:themeColor="text1"/>
        </w:rPr>
        <w:t>e</w:t>
      </w:r>
      <w:r w:rsidRPr="005F6C05">
        <w:rPr>
          <w:rFonts w:ascii="Arial" w:eastAsia="Arial" w:hAnsi="Arial" w:cs="Arial"/>
          <w:color w:val="000000" w:themeColor="text1"/>
        </w:rPr>
        <w:t xml:space="preserve">lectrical data is available for each site. </w:t>
      </w:r>
    </w:p>
    <w:p w:rsidR="005F59FD" w:rsidRPr="005F6C05" w:rsidRDefault="005F59FD" w:rsidP="005F6C05">
      <w:pPr>
        <w:jc w:val="both"/>
        <w:rPr>
          <w:rFonts w:ascii="Arial" w:eastAsia="Arial" w:hAnsi="Arial" w:cs="Arial"/>
          <w:color w:val="000000" w:themeColor="text1"/>
        </w:rPr>
      </w:pPr>
      <w:r w:rsidRPr="005F6C05">
        <w:rPr>
          <w:rFonts w:ascii="Arial" w:eastAsia="Arial" w:hAnsi="Arial" w:cs="Arial"/>
          <w:color w:val="000000" w:themeColor="text1"/>
        </w:rPr>
        <w:t xml:space="preserve">It is expected that from the initial site list that </w:t>
      </w:r>
      <w:proofErr w:type="gramStart"/>
      <w:r w:rsidRPr="005F6C05">
        <w:rPr>
          <w:rFonts w:ascii="Arial" w:eastAsia="Arial" w:hAnsi="Arial" w:cs="Arial"/>
          <w:color w:val="000000" w:themeColor="text1"/>
        </w:rPr>
        <w:t>a number of</w:t>
      </w:r>
      <w:proofErr w:type="gramEnd"/>
      <w:r w:rsidRPr="005F6C05">
        <w:rPr>
          <w:rFonts w:ascii="Arial" w:eastAsia="Arial" w:hAnsi="Arial" w:cs="Arial"/>
          <w:color w:val="000000" w:themeColor="text1"/>
        </w:rPr>
        <w:t xml:space="preserve"> sites may be ruled out during the survey and design process and the volume of work in each lot cannot be guaranteed. If time permits, additional sites could be added to the scope of works subject to overall spending. </w:t>
      </w:r>
    </w:p>
    <w:p w:rsidR="2A32DCFC" w:rsidRDefault="2A32DCFC" w:rsidP="565C1159">
      <w:pPr>
        <w:spacing w:line="360" w:lineRule="auto"/>
      </w:pPr>
      <w:r w:rsidRPr="565C1159">
        <w:rPr>
          <w:rFonts w:ascii="Arial" w:eastAsia="Arial" w:hAnsi="Arial" w:cs="Arial"/>
          <w:color w:val="0B0B0B"/>
          <w:u w:val="single"/>
        </w:rPr>
        <w:t>Packaging</w:t>
      </w:r>
    </w:p>
    <w:p w:rsidR="2A32DCFC" w:rsidRDefault="3023CCD4" w:rsidP="005F6C05">
      <w:pPr>
        <w:jc w:val="both"/>
        <w:rPr>
          <w:rFonts w:ascii="Arial" w:eastAsia="Arial" w:hAnsi="Arial" w:cs="Arial"/>
          <w:color w:val="000000" w:themeColor="text1"/>
        </w:rPr>
      </w:pPr>
      <w:r w:rsidRPr="31F4CF09">
        <w:rPr>
          <w:rFonts w:ascii="Arial" w:eastAsia="Arial" w:hAnsi="Arial" w:cs="Arial"/>
          <w:color w:val="000000" w:themeColor="text1"/>
        </w:rPr>
        <w:t>90</w:t>
      </w:r>
      <w:r w:rsidR="2A32DCFC" w:rsidRPr="31F4CF09">
        <w:rPr>
          <w:rFonts w:ascii="Arial" w:eastAsia="Arial" w:hAnsi="Arial" w:cs="Arial"/>
          <w:color w:val="000000" w:themeColor="text1"/>
        </w:rPr>
        <w:t xml:space="preserve"> sites have been identified that may be suitable for PV Generation systems. The sites will be packaged into </w:t>
      </w:r>
      <w:r w:rsidR="74F7DF83" w:rsidRPr="31F4CF09">
        <w:rPr>
          <w:rFonts w:ascii="Arial" w:eastAsia="Arial" w:hAnsi="Arial" w:cs="Arial"/>
          <w:color w:val="000000" w:themeColor="text1"/>
        </w:rPr>
        <w:t>6</w:t>
      </w:r>
      <w:r w:rsidR="2A32DCFC" w:rsidRPr="31F4CF09">
        <w:rPr>
          <w:rFonts w:ascii="Arial" w:eastAsia="Arial" w:hAnsi="Arial" w:cs="Arial"/>
          <w:color w:val="000000" w:themeColor="text1"/>
        </w:rPr>
        <w:t xml:space="preserve"> lots of approximately 16 sites per lot with the requirement to complete all feasible sites in the current FY</w:t>
      </w:r>
      <w:r w:rsidR="1EE1EAD7" w:rsidRPr="31F4CF09">
        <w:rPr>
          <w:rFonts w:ascii="Arial" w:eastAsia="Arial" w:hAnsi="Arial" w:cs="Arial"/>
          <w:color w:val="000000" w:themeColor="text1"/>
        </w:rPr>
        <w:t>, by 31 March</w:t>
      </w:r>
      <w:r w:rsidR="2A32DCFC" w:rsidRPr="31F4CF09">
        <w:rPr>
          <w:rFonts w:ascii="Arial" w:eastAsia="Arial" w:hAnsi="Arial" w:cs="Arial"/>
          <w:color w:val="000000" w:themeColor="text1"/>
        </w:rPr>
        <w:t>.  The lots are based on the HMCTS regions</w:t>
      </w:r>
      <w:r w:rsidR="1BC26434" w:rsidRPr="31F4CF09">
        <w:rPr>
          <w:rFonts w:ascii="Arial" w:eastAsia="Arial" w:hAnsi="Arial" w:cs="Arial"/>
          <w:color w:val="000000" w:themeColor="text1"/>
        </w:rPr>
        <w:t>.</w:t>
      </w:r>
    </w:p>
    <w:p w:rsidR="2A32DCFC" w:rsidRDefault="2A32DCFC" w:rsidP="565C1159">
      <w:pPr>
        <w:spacing w:line="360" w:lineRule="auto"/>
        <w:rPr>
          <w:rFonts w:ascii="Arial" w:eastAsia="Arial" w:hAnsi="Arial" w:cs="Arial"/>
          <w:color w:val="000000" w:themeColor="text1"/>
        </w:rPr>
      </w:pPr>
      <w:r w:rsidRPr="565C1159">
        <w:rPr>
          <w:rFonts w:ascii="Arial" w:eastAsia="Arial" w:hAnsi="Arial" w:cs="Arial"/>
          <w:color w:val="000000" w:themeColor="text1"/>
          <w:u w:val="single"/>
        </w:rPr>
        <w:t>Number of contracts</w:t>
      </w:r>
    </w:p>
    <w:p w:rsidR="2A32DCFC" w:rsidRDefault="2A32DCFC" w:rsidP="005F6C05">
      <w:pPr>
        <w:jc w:val="both"/>
        <w:rPr>
          <w:rFonts w:ascii="Arial" w:eastAsia="Arial" w:hAnsi="Arial" w:cs="Arial"/>
          <w:color w:val="000000" w:themeColor="text1"/>
        </w:rPr>
      </w:pPr>
      <w:r w:rsidRPr="31F4CF09">
        <w:rPr>
          <w:rFonts w:ascii="Arial" w:eastAsia="Arial" w:hAnsi="Arial" w:cs="Arial"/>
          <w:color w:val="000000" w:themeColor="text1"/>
        </w:rPr>
        <w:t xml:space="preserve">There will be </w:t>
      </w:r>
      <w:r w:rsidR="546DE471" w:rsidRPr="31F4CF09">
        <w:rPr>
          <w:rFonts w:ascii="Arial" w:eastAsia="Arial" w:hAnsi="Arial" w:cs="Arial"/>
          <w:color w:val="000000" w:themeColor="text1"/>
        </w:rPr>
        <w:t xml:space="preserve">up to </w:t>
      </w:r>
      <w:r w:rsidRPr="31F4CF09">
        <w:rPr>
          <w:rFonts w:ascii="Arial" w:eastAsia="Arial" w:hAnsi="Arial" w:cs="Arial"/>
          <w:color w:val="000000" w:themeColor="text1"/>
        </w:rPr>
        <w:t>s</w:t>
      </w:r>
      <w:r w:rsidR="1987A3EF" w:rsidRPr="31F4CF09">
        <w:rPr>
          <w:rFonts w:ascii="Arial" w:eastAsia="Arial" w:hAnsi="Arial" w:cs="Arial"/>
          <w:color w:val="000000" w:themeColor="text1"/>
        </w:rPr>
        <w:t>ix</w:t>
      </w:r>
      <w:r w:rsidRPr="31F4CF09">
        <w:rPr>
          <w:rFonts w:ascii="Arial" w:eastAsia="Arial" w:hAnsi="Arial" w:cs="Arial"/>
          <w:color w:val="000000" w:themeColor="text1"/>
        </w:rPr>
        <w:t xml:space="preserve"> HMCTS contracts awarded to </w:t>
      </w:r>
      <w:r w:rsidR="6C5B2D7F" w:rsidRPr="31F4CF09">
        <w:rPr>
          <w:rFonts w:ascii="Arial" w:eastAsia="Arial" w:hAnsi="Arial" w:cs="Arial"/>
          <w:color w:val="000000" w:themeColor="text1"/>
        </w:rPr>
        <w:t xml:space="preserve">potentially </w:t>
      </w:r>
      <w:r w:rsidRPr="31F4CF09">
        <w:rPr>
          <w:rFonts w:ascii="Arial" w:eastAsia="Arial" w:hAnsi="Arial" w:cs="Arial"/>
          <w:color w:val="000000" w:themeColor="text1"/>
        </w:rPr>
        <w:t>s</w:t>
      </w:r>
      <w:r w:rsidR="66AAB409" w:rsidRPr="31F4CF09">
        <w:rPr>
          <w:rFonts w:ascii="Arial" w:eastAsia="Arial" w:hAnsi="Arial" w:cs="Arial"/>
          <w:color w:val="000000" w:themeColor="text1"/>
        </w:rPr>
        <w:t>ix</w:t>
      </w:r>
      <w:r w:rsidRPr="31F4CF09">
        <w:rPr>
          <w:rFonts w:ascii="Arial" w:eastAsia="Arial" w:hAnsi="Arial" w:cs="Arial"/>
          <w:color w:val="000000" w:themeColor="text1"/>
        </w:rPr>
        <w:t xml:space="preserve"> different contractors to ensure the volume of works can be delivered in the restricted timeframe. </w:t>
      </w:r>
    </w:p>
    <w:p w:rsidR="2A32DCFC" w:rsidRDefault="2A32DCFC" w:rsidP="565C1159">
      <w:pPr>
        <w:spacing w:line="360" w:lineRule="auto"/>
      </w:pPr>
      <w:r w:rsidRPr="565C1159">
        <w:rPr>
          <w:rFonts w:ascii="Arial" w:eastAsia="Arial" w:hAnsi="Arial" w:cs="Arial"/>
          <w:color w:val="0B0B0B"/>
          <w:u w:val="single"/>
        </w:rPr>
        <w:t>Contract value</w:t>
      </w:r>
    </w:p>
    <w:p w:rsidR="2A32DCFC" w:rsidRDefault="2A32DCFC" w:rsidP="005F6C05">
      <w:pPr>
        <w:jc w:val="both"/>
        <w:rPr>
          <w:rFonts w:ascii="Arial" w:eastAsia="Arial" w:hAnsi="Arial" w:cs="Arial"/>
          <w:color w:val="000000" w:themeColor="text1"/>
        </w:rPr>
      </w:pPr>
      <w:r w:rsidRPr="005F6C05">
        <w:rPr>
          <w:rFonts w:ascii="Arial" w:eastAsia="Arial" w:hAnsi="Arial" w:cs="Arial"/>
          <w:color w:val="000000" w:themeColor="text1"/>
        </w:rPr>
        <w:t xml:space="preserve">The initial contract award/ contract sum will be the price to develop the PV generation proposals. </w:t>
      </w:r>
      <w:r w:rsidR="1C62B6D1" w:rsidRPr="565C1159">
        <w:rPr>
          <w:rFonts w:ascii="Arial" w:eastAsia="Arial" w:hAnsi="Arial" w:cs="Arial"/>
          <w:color w:val="000000" w:themeColor="text1"/>
        </w:rPr>
        <w:t>The next stage</w:t>
      </w:r>
      <w:r w:rsidR="7B310B95" w:rsidRPr="565C1159">
        <w:rPr>
          <w:rFonts w:ascii="Arial" w:eastAsia="Arial" w:hAnsi="Arial" w:cs="Arial"/>
          <w:color w:val="000000" w:themeColor="text1"/>
        </w:rPr>
        <w:t>/s</w:t>
      </w:r>
      <w:r w:rsidR="1C62B6D1" w:rsidRPr="565C1159">
        <w:rPr>
          <w:rFonts w:ascii="Arial" w:eastAsia="Arial" w:hAnsi="Arial" w:cs="Arial"/>
          <w:color w:val="000000" w:themeColor="text1"/>
        </w:rPr>
        <w:t xml:space="preserve"> of each project will then be awarded as a variation to the contract.</w:t>
      </w:r>
    </w:p>
    <w:p w:rsidR="2A32DCFC" w:rsidRDefault="2A32DCFC" w:rsidP="565C1159">
      <w:pPr>
        <w:spacing w:line="360" w:lineRule="auto"/>
        <w:rPr>
          <w:rFonts w:ascii="Arial" w:eastAsia="Arial" w:hAnsi="Arial" w:cs="Arial"/>
          <w:b/>
          <w:bCs/>
          <w:color w:val="0B0B0B"/>
          <w:u w:val="single"/>
        </w:rPr>
      </w:pPr>
      <w:r w:rsidRPr="565C1159">
        <w:rPr>
          <w:rFonts w:ascii="Arial" w:eastAsia="Arial" w:hAnsi="Arial" w:cs="Arial"/>
          <w:b/>
          <w:bCs/>
          <w:color w:val="0B0B0B"/>
          <w:u w:val="single"/>
        </w:rPr>
        <w:t>Tender Pricing - Two stage pricing</w:t>
      </w:r>
    </w:p>
    <w:p w:rsidR="2A32DCFC" w:rsidRPr="005F6C05" w:rsidRDefault="2A32DCFC" w:rsidP="24E6BA37">
      <w:pPr>
        <w:jc w:val="both"/>
        <w:rPr>
          <w:rFonts w:ascii="Arial" w:eastAsia="Arial" w:hAnsi="Arial" w:cs="Arial"/>
          <w:color w:val="000000" w:themeColor="text1"/>
        </w:rPr>
      </w:pPr>
      <w:r w:rsidRPr="428AE0E8">
        <w:rPr>
          <w:rFonts w:ascii="Arial" w:eastAsia="Arial" w:hAnsi="Arial" w:cs="Arial"/>
          <w:color w:val="000000" w:themeColor="text1"/>
        </w:rPr>
        <w:t>Due to the speed of the project, the tender pricing evaluation will be based upon a schedule of rates. Once the contract is awarded for each lot, the supplier will develop proposals for each site including a price</w:t>
      </w:r>
      <w:r w:rsidR="02C565EA" w:rsidRPr="428AE0E8">
        <w:rPr>
          <w:rFonts w:ascii="Arial" w:eastAsia="Arial" w:hAnsi="Arial" w:cs="Arial"/>
          <w:color w:val="000000" w:themeColor="text1"/>
        </w:rPr>
        <w:t xml:space="preserve"> (using the tendered schedule of rates)</w:t>
      </w:r>
      <w:r w:rsidRPr="428AE0E8">
        <w:rPr>
          <w:rFonts w:ascii="Arial" w:eastAsia="Arial" w:hAnsi="Arial" w:cs="Arial"/>
          <w:color w:val="000000" w:themeColor="text1"/>
        </w:rPr>
        <w:t xml:space="preserve"> and </w:t>
      </w:r>
      <w:r w:rsidR="37AB17AC" w:rsidRPr="428AE0E8">
        <w:rPr>
          <w:rFonts w:ascii="Arial" w:eastAsia="Arial" w:hAnsi="Arial" w:cs="Arial"/>
          <w:color w:val="000000" w:themeColor="text1"/>
        </w:rPr>
        <w:t xml:space="preserve">an implementation plan/ </w:t>
      </w:r>
      <w:r w:rsidRPr="428AE0E8">
        <w:rPr>
          <w:rFonts w:ascii="Arial" w:eastAsia="Arial" w:hAnsi="Arial" w:cs="Arial"/>
          <w:color w:val="000000" w:themeColor="text1"/>
        </w:rPr>
        <w:t xml:space="preserve">programme. </w:t>
      </w:r>
      <w:r w:rsidR="24374A92" w:rsidRPr="428AE0E8">
        <w:rPr>
          <w:rFonts w:ascii="Arial" w:eastAsia="Arial" w:hAnsi="Arial" w:cs="Arial"/>
          <w:color w:val="000000" w:themeColor="text1"/>
        </w:rPr>
        <w:t xml:space="preserve">Once the proposals are agreed, these will be incorporated into the contract </w:t>
      </w:r>
      <w:r w:rsidR="5754D59F" w:rsidRPr="428AE0E8">
        <w:rPr>
          <w:rFonts w:ascii="Arial" w:eastAsia="Arial" w:hAnsi="Arial" w:cs="Arial"/>
          <w:color w:val="000000" w:themeColor="text1"/>
        </w:rPr>
        <w:t>as Variations as per the</w:t>
      </w:r>
      <w:r w:rsidR="24374A92" w:rsidRPr="428AE0E8">
        <w:rPr>
          <w:rFonts w:ascii="Arial" w:eastAsia="Arial" w:hAnsi="Arial" w:cs="Arial"/>
          <w:color w:val="000000" w:themeColor="text1"/>
        </w:rPr>
        <w:t xml:space="preserve"> contract process for change (Clause 22).</w:t>
      </w:r>
      <w:r w:rsidRPr="428AE0E8">
        <w:rPr>
          <w:rFonts w:ascii="Arial" w:eastAsia="Arial" w:hAnsi="Arial" w:cs="Arial"/>
          <w:color w:val="000000" w:themeColor="text1"/>
        </w:rPr>
        <w:t xml:space="preserve"> </w:t>
      </w:r>
      <w:r w:rsidR="3A127C28" w:rsidRPr="428AE0E8">
        <w:rPr>
          <w:rFonts w:ascii="Arial" w:eastAsia="Arial" w:hAnsi="Arial" w:cs="Arial"/>
          <w:color w:val="000000" w:themeColor="text1"/>
        </w:rPr>
        <w:t xml:space="preserve"> It is anticipated that this will be approximately </w:t>
      </w:r>
      <w:r w:rsidRPr="428AE0E8">
        <w:rPr>
          <w:rFonts w:ascii="Arial" w:eastAsia="Arial" w:hAnsi="Arial" w:cs="Arial"/>
          <w:color w:val="000000" w:themeColor="text1"/>
        </w:rPr>
        <w:t xml:space="preserve">as set out below: </w:t>
      </w:r>
    </w:p>
    <w:p w:rsidR="57A3F998" w:rsidRDefault="57A3F998" w:rsidP="565C1159">
      <w:pPr>
        <w:spacing w:line="360" w:lineRule="auto"/>
        <w:rPr>
          <w:rFonts w:ascii="Arial" w:eastAsia="Arial" w:hAnsi="Arial" w:cs="Arial"/>
          <w:color w:val="0B0B0B"/>
          <w:u w:val="single"/>
        </w:rPr>
      </w:pPr>
      <w:r w:rsidRPr="0156DC94">
        <w:rPr>
          <w:rFonts w:ascii="Arial" w:eastAsia="Arial" w:hAnsi="Arial" w:cs="Arial"/>
          <w:color w:val="0B0B0B"/>
          <w:u w:val="single"/>
        </w:rPr>
        <w:t xml:space="preserve">HMCTS – Roof Mounted – Lot 2 - </w:t>
      </w:r>
      <w:r w:rsidR="43BD33A0" w:rsidRPr="0156DC94">
        <w:rPr>
          <w:rFonts w:ascii="Arial" w:eastAsia="Arial" w:hAnsi="Arial" w:cs="Arial"/>
          <w:color w:val="0B0B0B"/>
          <w:u w:val="single"/>
        </w:rPr>
        <w:t>7</w:t>
      </w:r>
    </w:p>
    <w:p w:rsidR="2A32DCFC" w:rsidRDefault="2A32DCFC">
      <w:r w:rsidRPr="565C1159">
        <w:rPr>
          <w:rFonts w:ascii="Arial" w:eastAsia="Arial" w:hAnsi="Arial" w:cs="Arial"/>
          <w:i/>
          <w:iCs/>
        </w:rPr>
        <w:t>Day 1 Scope &amp; Contract Award</w:t>
      </w:r>
    </w:p>
    <w:p w:rsidR="2A32DCFC" w:rsidRDefault="2A32DCFC">
      <w:r w:rsidRPr="565C1159">
        <w:rPr>
          <w:rFonts w:ascii="Arial" w:eastAsia="Arial" w:hAnsi="Arial" w:cs="Arial"/>
        </w:rPr>
        <w:t>Review the existing site information and prepare PV generation proposals for the following sites including the following:</w:t>
      </w:r>
    </w:p>
    <w:p w:rsidR="2A32DCFC" w:rsidRDefault="2A32DCFC" w:rsidP="565C1159">
      <w:pPr>
        <w:pStyle w:val="ListParagraph"/>
        <w:numPr>
          <w:ilvl w:val="0"/>
          <w:numId w:val="4"/>
        </w:numPr>
        <w:rPr>
          <w:rFonts w:eastAsiaTheme="minorEastAsia"/>
        </w:rPr>
      </w:pPr>
      <w:r w:rsidRPr="565C1159">
        <w:rPr>
          <w:rFonts w:ascii="Arial" w:eastAsia="Arial" w:hAnsi="Arial" w:cs="Arial"/>
        </w:rPr>
        <w:t>Site survey</w:t>
      </w:r>
    </w:p>
    <w:p w:rsidR="2A32DCFC" w:rsidRDefault="2A32DCFC" w:rsidP="565C1159">
      <w:pPr>
        <w:pStyle w:val="ListParagraph"/>
        <w:numPr>
          <w:ilvl w:val="0"/>
          <w:numId w:val="4"/>
        </w:numPr>
        <w:rPr>
          <w:rFonts w:eastAsiaTheme="minorEastAsia"/>
        </w:rPr>
      </w:pPr>
      <w:r w:rsidRPr="565C1159">
        <w:rPr>
          <w:rFonts w:ascii="Arial" w:eastAsia="Arial" w:hAnsi="Arial" w:cs="Arial"/>
        </w:rPr>
        <w:t xml:space="preserve">PV panel installation design </w:t>
      </w:r>
    </w:p>
    <w:p w:rsidR="2A32DCFC" w:rsidRDefault="2A32DCFC" w:rsidP="565C1159">
      <w:pPr>
        <w:pStyle w:val="ListParagraph"/>
        <w:numPr>
          <w:ilvl w:val="0"/>
          <w:numId w:val="4"/>
        </w:numPr>
        <w:rPr>
          <w:rFonts w:eastAsiaTheme="minorEastAsia"/>
        </w:rPr>
      </w:pPr>
      <w:r w:rsidRPr="565C1159">
        <w:rPr>
          <w:rFonts w:ascii="Arial" w:eastAsia="Arial" w:hAnsi="Arial" w:cs="Arial"/>
        </w:rPr>
        <w:t>Information to support planning pre-approval (if required)</w:t>
      </w:r>
    </w:p>
    <w:p w:rsidR="2A32DCFC" w:rsidRDefault="2A32DCFC" w:rsidP="565C1159">
      <w:pPr>
        <w:pStyle w:val="ListParagraph"/>
        <w:numPr>
          <w:ilvl w:val="0"/>
          <w:numId w:val="4"/>
        </w:numPr>
        <w:rPr>
          <w:rFonts w:eastAsiaTheme="minorEastAsia"/>
        </w:rPr>
      </w:pPr>
      <w:r w:rsidRPr="565C1159">
        <w:rPr>
          <w:rFonts w:ascii="Arial" w:eastAsia="Arial" w:hAnsi="Arial" w:cs="Arial"/>
        </w:rPr>
        <w:t>Information for the DNO application</w:t>
      </w:r>
    </w:p>
    <w:p w:rsidR="2A32DCFC" w:rsidRDefault="2A32DCFC" w:rsidP="565C1159">
      <w:pPr>
        <w:pStyle w:val="ListParagraph"/>
        <w:numPr>
          <w:ilvl w:val="0"/>
          <w:numId w:val="4"/>
        </w:numPr>
        <w:rPr>
          <w:rFonts w:eastAsiaTheme="minorEastAsia"/>
        </w:rPr>
      </w:pPr>
      <w:r w:rsidRPr="565C1159">
        <w:rPr>
          <w:rFonts w:ascii="Arial" w:eastAsia="Arial" w:hAnsi="Arial" w:cs="Arial"/>
        </w:rPr>
        <w:t xml:space="preserve">A cost per site and a programme </w:t>
      </w:r>
    </w:p>
    <w:p w:rsidR="2A32DCFC" w:rsidRDefault="2A32DCFC">
      <w:r w:rsidRPr="565C1159">
        <w:rPr>
          <w:rFonts w:ascii="Arial" w:eastAsia="Arial" w:hAnsi="Arial" w:cs="Arial"/>
          <w:i/>
          <w:iCs/>
        </w:rPr>
        <w:t>Variation #1</w:t>
      </w:r>
    </w:p>
    <w:p w:rsidR="2A32DCFC" w:rsidRDefault="2A32DCFC" w:rsidP="0584F84F">
      <w:pPr>
        <w:rPr>
          <w:rFonts w:ascii="Arial" w:eastAsia="Arial" w:hAnsi="Arial" w:cs="Arial"/>
        </w:rPr>
      </w:pPr>
      <w:r w:rsidRPr="24E6BA37">
        <w:rPr>
          <w:rFonts w:ascii="Arial" w:eastAsia="Arial" w:hAnsi="Arial" w:cs="Arial"/>
        </w:rPr>
        <w:t xml:space="preserve">Following approval of the PV Generation Proposal from HMCTS, a </w:t>
      </w:r>
      <w:r w:rsidR="3307A177" w:rsidRPr="24E6BA37">
        <w:rPr>
          <w:rFonts w:ascii="Arial" w:eastAsia="Arial" w:hAnsi="Arial" w:cs="Arial"/>
        </w:rPr>
        <w:t>V</w:t>
      </w:r>
      <w:r w:rsidRPr="24E6BA37">
        <w:rPr>
          <w:rFonts w:ascii="Arial" w:eastAsia="Arial" w:hAnsi="Arial" w:cs="Arial"/>
        </w:rPr>
        <w:t xml:space="preserve">ariation will be issued </w:t>
      </w:r>
      <w:r w:rsidR="59087545" w:rsidRPr="24E6BA37">
        <w:rPr>
          <w:rFonts w:ascii="Arial" w:eastAsia="Arial" w:hAnsi="Arial" w:cs="Arial"/>
        </w:rPr>
        <w:t>for:</w:t>
      </w:r>
    </w:p>
    <w:p w:rsidR="2A32DCFC" w:rsidRDefault="2A32DCFC" w:rsidP="565C1159">
      <w:pPr>
        <w:pStyle w:val="ListParagraph"/>
        <w:numPr>
          <w:ilvl w:val="0"/>
          <w:numId w:val="4"/>
        </w:numPr>
        <w:rPr>
          <w:rFonts w:eastAsiaTheme="minorEastAsia"/>
        </w:rPr>
      </w:pPr>
      <w:r w:rsidRPr="565C1159">
        <w:rPr>
          <w:rFonts w:ascii="Arial" w:eastAsia="Arial" w:hAnsi="Arial" w:cs="Arial"/>
        </w:rPr>
        <w:t>procurement, installation, testing, commissioning, certification, warranty and maintenance for each site</w:t>
      </w:r>
    </w:p>
    <w:p w:rsidR="2A32DCFC" w:rsidRDefault="2A32DCFC">
      <w:r w:rsidRPr="565C1159">
        <w:rPr>
          <w:rFonts w:ascii="Arial" w:eastAsia="Arial" w:hAnsi="Arial" w:cs="Arial"/>
        </w:rPr>
        <w:t xml:space="preserve">The variation will be for several sites at once. There may be more than one variation to cover all the sites. </w:t>
      </w:r>
    </w:p>
    <w:p w:rsidR="2A32DCFC" w:rsidRDefault="2A32DCFC" w:rsidP="565C1159">
      <w:pPr>
        <w:spacing w:line="360" w:lineRule="auto"/>
        <w:rPr>
          <w:rFonts w:ascii="Arial" w:eastAsia="Arial" w:hAnsi="Arial" w:cs="Arial"/>
          <w:color w:val="0B0B0B"/>
          <w:u w:val="single"/>
        </w:rPr>
      </w:pPr>
      <w:r w:rsidRPr="565C1159">
        <w:rPr>
          <w:rFonts w:ascii="Arial" w:eastAsia="Arial" w:hAnsi="Arial" w:cs="Arial"/>
          <w:color w:val="0B0B0B"/>
          <w:u w:val="single"/>
        </w:rPr>
        <w:t>HMPPS - Ground Mount</w:t>
      </w:r>
      <w:r w:rsidR="336D0D72" w:rsidRPr="565C1159">
        <w:rPr>
          <w:rFonts w:ascii="Arial" w:eastAsia="Arial" w:hAnsi="Arial" w:cs="Arial"/>
          <w:color w:val="0B0B0B"/>
          <w:u w:val="single"/>
        </w:rPr>
        <w:t xml:space="preserve"> – Lot 1</w:t>
      </w:r>
    </w:p>
    <w:p w:rsidR="2A32DCFC" w:rsidRDefault="2A32DCFC">
      <w:r w:rsidRPr="565C1159">
        <w:rPr>
          <w:rFonts w:ascii="Arial" w:eastAsia="Arial" w:hAnsi="Arial" w:cs="Arial"/>
          <w:i/>
          <w:iCs/>
        </w:rPr>
        <w:t>Day 1 Scope &amp; Contract Award</w:t>
      </w:r>
    </w:p>
    <w:p w:rsidR="2A32DCFC" w:rsidRDefault="2A32DCFC">
      <w:r w:rsidRPr="565C1159">
        <w:rPr>
          <w:rFonts w:ascii="Arial" w:eastAsia="Arial" w:hAnsi="Arial" w:cs="Arial"/>
        </w:rPr>
        <w:t>Review the existing feasibility studies and prepare new PV generation proposals ensuring no export to the grid for the following sites including the following:</w:t>
      </w:r>
    </w:p>
    <w:p w:rsidR="2A32DCFC" w:rsidRDefault="2A32DCFC" w:rsidP="565C1159">
      <w:pPr>
        <w:pStyle w:val="ListParagraph"/>
        <w:numPr>
          <w:ilvl w:val="0"/>
          <w:numId w:val="4"/>
        </w:numPr>
        <w:rPr>
          <w:rFonts w:eastAsiaTheme="minorEastAsia"/>
        </w:rPr>
      </w:pPr>
      <w:r w:rsidRPr="565C1159">
        <w:rPr>
          <w:rFonts w:ascii="Arial" w:eastAsia="Arial" w:hAnsi="Arial" w:cs="Arial"/>
        </w:rPr>
        <w:t>Site survey</w:t>
      </w:r>
    </w:p>
    <w:p w:rsidR="2A32DCFC" w:rsidRDefault="2A32DCFC" w:rsidP="565C1159">
      <w:pPr>
        <w:pStyle w:val="ListParagraph"/>
        <w:numPr>
          <w:ilvl w:val="0"/>
          <w:numId w:val="4"/>
        </w:numPr>
        <w:rPr>
          <w:rFonts w:eastAsiaTheme="minorEastAsia"/>
        </w:rPr>
      </w:pPr>
      <w:r w:rsidRPr="565C1159">
        <w:rPr>
          <w:rFonts w:ascii="Arial" w:eastAsia="Arial" w:hAnsi="Arial" w:cs="Arial"/>
        </w:rPr>
        <w:t xml:space="preserve">PV panel installation design </w:t>
      </w:r>
    </w:p>
    <w:p w:rsidR="2A32DCFC" w:rsidRDefault="2A32DCFC" w:rsidP="565C1159">
      <w:pPr>
        <w:pStyle w:val="ListParagraph"/>
        <w:numPr>
          <w:ilvl w:val="0"/>
          <w:numId w:val="4"/>
        </w:numPr>
        <w:rPr>
          <w:rFonts w:eastAsiaTheme="minorEastAsia"/>
        </w:rPr>
      </w:pPr>
      <w:r w:rsidRPr="565C1159">
        <w:rPr>
          <w:rFonts w:ascii="Arial" w:eastAsia="Arial" w:hAnsi="Arial" w:cs="Arial"/>
        </w:rPr>
        <w:t xml:space="preserve">Information to support planning pre-approval </w:t>
      </w:r>
    </w:p>
    <w:p w:rsidR="2A32DCFC" w:rsidRDefault="2A32DCFC" w:rsidP="565C1159">
      <w:pPr>
        <w:pStyle w:val="ListParagraph"/>
        <w:numPr>
          <w:ilvl w:val="0"/>
          <w:numId w:val="4"/>
        </w:numPr>
        <w:rPr>
          <w:rFonts w:eastAsiaTheme="minorEastAsia"/>
        </w:rPr>
      </w:pPr>
      <w:r w:rsidRPr="565C1159">
        <w:rPr>
          <w:rFonts w:ascii="Arial" w:eastAsia="Arial" w:hAnsi="Arial" w:cs="Arial"/>
        </w:rPr>
        <w:t>Information for the DNO application/ negotiations</w:t>
      </w:r>
    </w:p>
    <w:p w:rsidR="2A32DCFC" w:rsidRDefault="2A32DCFC" w:rsidP="565C1159">
      <w:pPr>
        <w:pStyle w:val="ListParagraph"/>
        <w:numPr>
          <w:ilvl w:val="0"/>
          <w:numId w:val="4"/>
        </w:numPr>
        <w:rPr>
          <w:rFonts w:eastAsiaTheme="minorEastAsia"/>
        </w:rPr>
      </w:pPr>
      <w:r w:rsidRPr="565C1159">
        <w:rPr>
          <w:rFonts w:ascii="Arial" w:eastAsia="Arial" w:hAnsi="Arial" w:cs="Arial"/>
        </w:rPr>
        <w:t xml:space="preserve">A cost per site and a programme </w:t>
      </w:r>
    </w:p>
    <w:p w:rsidR="2A32DCFC" w:rsidRDefault="2A32DCFC">
      <w:r w:rsidRPr="565C1159">
        <w:rPr>
          <w:rFonts w:ascii="Arial" w:eastAsia="Arial" w:hAnsi="Arial" w:cs="Arial"/>
          <w:i/>
          <w:iCs/>
        </w:rPr>
        <w:t xml:space="preserve">Variation #1 </w:t>
      </w:r>
    </w:p>
    <w:p w:rsidR="2A32DCFC" w:rsidRDefault="2A32DCFC" w:rsidP="0584F84F">
      <w:pPr>
        <w:rPr>
          <w:rFonts w:ascii="Arial" w:eastAsia="Arial" w:hAnsi="Arial" w:cs="Arial"/>
        </w:rPr>
      </w:pPr>
      <w:r w:rsidRPr="0584F84F">
        <w:rPr>
          <w:rFonts w:ascii="Arial" w:eastAsia="Arial" w:hAnsi="Arial" w:cs="Arial"/>
        </w:rPr>
        <w:t xml:space="preserve">Following approval of the PV Generation Proposal for Littlehey (or other site) from HMPPS, a variation will be issued </w:t>
      </w:r>
      <w:r w:rsidR="05158969" w:rsidRPr="0584F84F">
        <w:rPr>
          <w:rFonts w:ascii="Arial" w:eastAsia="Arial" w:hAnsi="Arial" w:cs="Arial"/>
        </w:rPr>
        <w:t>for:</w:t>
      </w:r>
    </w:p>
    <w:p w:rsidR="2A32DCFC" w:rsidRDefault="2A32DCFC" w:rsidP="565C1159">
      <w:pPr>
        <w:pStyle w:val="ListParagraph"/>
        <w:numPr>
          <w:ilvl w:val="0"/>
          <w:numId w:val="4"/>
        </w:numPr>
        <w:rPr>
          <w:rFonts w:eastAsiaTheme="minorEastAsia"/>
        </w:rPr>
      </w:pPr>
      <w:r w:rsidRPr="565C1159">
        <w:rPr>
          <w:rFonts w:ascii="Arial" w:eastAsia="Arial" w:hAnsi="Arial" w:cs="Arial"/>
        </w:rPr>
        <w:t>procurement, installation, testing, commissioning, certification, warranty and maintenance for this site</w:t>
      </w:r>
    </w:p>
    <w:p w:rsidR="2A32DCFC" w:rsidRDefault="2A32DCFC">
      <w:r w:rsidRPr="565C1159">
        <w:rPr>
          <w:rFonts w:ascii="Arial" w:eastAsia="Arial" w:hAnsi="Arial" w:cs="Arial"/>
          <w:i/>
          <w:iCs/>
        </w:rPr>
        <w:t>Variation #2</w:t>
      </w:r>
    </w:p>
    <w:p w:rsidR="2A32DCFC" w:rsidRDefault="2A32DCFC" w:rsidP="0584F84F">
      <w:pPr>
        <w:rPr>
          <w:rFonts w:ascii="Arial" w:eastAsia="Arial" w:hAnsi="Arial" w:cs="Arial"/>
        </w:rPr>
      </w:pPr>
      <w:r w:rsidRPr="0584F84F">
        <w:rPr>
          <w:rFonts w:ascii="Arial" w:eastAsia="Arial" w:hAnsi="Arial" w:cs="Arial"/>
        </w:rPr>
        <w:t xml:space="preserve">Following approval of the PV Generation Proposals for X sites from HMPPS, a variation will be issued </w:t>
      </w:r>
      <w:r w:rsidR="5F502574" w:rsidRPr="0584F84F">
        <w:rPr>
          <w:rFonts w:ascii="Arial" w:eastAsia="Arial" w:hAnsi="Arial" w:cs="Arial"/>
        </w:rPr>
        <w:t>for:</w:t>
      </w:r>
    </w:p>
    <w:p w:rsidR="2A32DCFC" w:rsidRDefault="2A32DCFC" w:rsidP="565C1159">
      <w:pPr>
        <w:pStyle w:val="ListParagraph"/>
        <w:numPr>
          <w:ilvl w:val="0"/>
          <w:numId w:val="4"/>
        </w:numPr>
        <w:rPr>
          <w:rFonts w:eastAsiaTheme="minorEastAsia"/>
        </w:rPr>
      </w:pPr>
      <w:r w:rsidRPr="565C1159">
        <w:rPr>
          <w:rFonts w:ascii="Arial" w:eastAsia="Arial" w:hAnsi="Arial" w:cs="Arial"/>
        </w:rPr>
        <w:t xml:space="preserve">procurement by 31 March 2021 </w:t>
      </w:r>
      <w:r w:rsidR="414BA5DB" w:rsidRPr="565C1159">
        <w:rPr>
          <w:rFonts w:ascii="Arial" w:eastAsia="Arial" w:hAnsi="Arial" w:cs="Arial"/>
        </w:rPr>
        <w:t xml:space="preserve">for </w:t>
      </w:r>
      <w:r w:rsidRPr="565C1159">
        <w:rPr>
          <w:rFonts w:ascii="Arial" w:eastAsia="Arial" w:hAnsi="Arial" w:cs="Arial"/>
        </w:rPr>
        <w:t>X sites</w:t>
      </w:r>
    </w:p>
    <w:p w:rsidR="2A32DCFC" w:rsidRDefault="2A32DCFC">
      <w:r w:rsidRPr="565C1159">
        <w:rPr>
          <w:rFonts w:ascii="Arial" w:eastAsia="Arial" w:hAnsi="Arial" w:cs="Arial"/>
          <w:i/>
          <w:iCs/>
        </w:rPr>
        <w:t>Variation #3</w:t>
      </w:r>
    </w:p>
    <w:p w:rsidR="2A32DCFC" w:rsidRDefault="2A32DCFC">
      <w:r w:rsidRPr="565C1159">
        <w:rPr>
          <w:rFonts w:ascii="Arial" w:eastAsia="Arial" w:hAnsi="Arial" w:cs="Arial"/>
        </w:rPr>
        <w:t>Following on from Variation #2, a variation will be issued for:</w:t>
      </w:r>
    </w:p>
    <w:p w:rsidR="2A32DCFC" w:rsidRDefault="2A32DCFC" w:rsidP="565C1159">
      <w:pPr>
        <w:pStyle w:val="ListParagraph"/>
        <w:numPr>
          <w:ilvl w:val="0"/>
          <w:numId w:val="4"/>
        </w:numPr>
        <w:rPr>
          <w:rFonts w:eastAsiaTheme="minorEastAsia"/>
        </w:rPr>
      </w:pPr>
      <w:r w:rsidRPr="565C1159">
        <w:rPr>
          <w:rFonts w:ascii="Arial" w:eastAsia="Arial" w:hAnsi="Arial" w:cs="Arial"/>
        </w:rPr>
        <w:t>installation, testing, commissioning, certification, warranty and maintenance for X sites</w:t>
      </w:r>
      <w:r w:rsidR="31E44023" w:rsidRPr="565C1159">
        <w:rPr>
          <w:rFonts w:ascii="Arial" w:eastAsia="Arial" w:hAnsi="Arial" w:cs="Arial"/>
        </w:rPr>
        <w:t xml:space="preserve"> in the next FY</w:t>
      </w:r>
      <w:r w:rsidR="1BA170D9" w:rsidRPr="565C1159">
        <w:rPr>
          <w:rFonts w:ascii="Arial" w:eastAsia="Arial" w:hAnsi="Arial" w:cs="Arial"/>
        </w:rPr>
        <w:t xml:space="preserve">. </w:t>
      </w:r>
    </w:p>
    <w:p w:rsidR="565C1159" w:rsidRDefault="565C1159" w:rsidP="565C1159">
      <w:pPr>
        <w:pStyle w:val="NoSpacing"/>
        <w:rPr>
          <w:rFonts w:ascii="Arial" w:hAnsi="Arial" w:cs="Arial"/>
        </w:rPr>
      </w:pPr>
    </w:p>
    <w:sectPr w:rsidR="565C115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F5A" w:rsidRDefault="00A51F5A" w:rsidP="00A409E4">
      <w:pPr>
        <w:spacing w:after="0" w:line="240" w:lineRule="auto"/>
      </w:pPr>
      <w:r>
        <w:separator/>
      </w:r>
    </w:p>
  </w:endnote>
  <w:endnote w:type="continuationSeparator" w:id="0">
    <w:p w:rsidR="00A51F5A" w:rsidRDefault="00A51F5A" w:rsidP="00A4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686" w:rsidRDefault="00F64686">
    <w:pPr>
      <w:pStyle w:val="Footer"/>
    </w:pPr>
    <w:r>
      <w:rPr>
        <w:noProof/>
      </w:rPr>
      <mc:AlternateContent>
        <mc:Choice Requires="wps">
          <w:drawing>
            <wp:anchor distT="0" distB="0" distL="114300" distR="114300" simplePos="0" relativeHeight="251659264" behindDoc="0" locked="0" layoutInCell="0" allowOverlap="1" wp14:anchorId="70A3DF8A" wp14:editId="7F6C3417">
              <wp:simplePos x="0" y="0"/>
              <wp:positionH relativeFrom="page">
                <wp:posOffset>0</wp:posOffset>
              </wp:positionH>
              <wp:positionV relativeFrom="page">
                <wp:posOffset>10234930</wp:posOffset>
              </wp:positionV>
              <wp:extent cx="7560310" cy="266700"/>
              <wp:effectExtent l="0" t="0" r="0" b="0"/>
              <wp:wrapNone/>
              <wp:docPr id="1" name="MSIPCMa87b482480410b62e4f81787" descr="{&quot;HashCode&quot;:-74974780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64686" w:rsidRPr="00F64686" w:rsidRDefault="00F64686" w:rsidP="00F64686">
                          <w:pPr>
                            <w:spacing w:after="0"/>
                            <w:rPr>
                              <w:rFonts w:ascii="Arial" w:hAnsi="Arial" w:cs="Arial"/>
                              <w:color w:val="000000"/>
                              <w:sz w:val="20"/>
                            </w:rPr>
                          </w:pPr>
                          <w:r w:rsidRPr="00F64686">
                            <w:rPr>
                              <w:rFonts w:ascii="Arial" w:hAnsi="Arial" w:cs="Arial"/>
                              <w:color w:val="000000"/>
                              <w:sz w:val="20"/>
                            </w:rPr>
                            <w:t>Classification -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A3DF8A" id="_x0000_t202" coordsize="21600,21600" o:spt="202" path="m,l,21600r21600,l21600,xe">
              <v:stroke joinstyle="miter"/>
              <v:path gradientshapeok="t" o:connecttype="rect"/>
            </v:shapetype>
            <v:shape id="MSIPCMa87b482480410b62e4f81787" o:spid="_x0000_s1026" type="#_x0000_t202" alt="{&quot;HashCode&quot;:-749747809,&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DzxR/UHgMAADcGAAAOAAAAAAAA&#10;AAAAAAAAAC4CAABkcnMvZTJvRG9jLnhtbFBLAQItABQABgAIAAAAIQBgEcYm3gAAAAsBAAAPAAAA&#10;AAAAAAAAAAAAAHgFAABkcnMvZG93bnJldi54bWxQSwUGAAAAAAQABADzAAAAgwYAAAAA&#10;" o:allowincell="f" filled="f" stroked="f" strokeweight=".5pt">
              <v:textbox inset="20pt,0,,0">
                <w:txbxContent>
                  <w:p w:rsidR="00F64686" w:rsidRPr="00F64686" w:rsidRDefault="00F64686" w:rsidP="00F64686">
                    <w:pPr>
                      <w:spacing w:after="0"/>
                      <w:rPr>
                        <w:rFonts w:ascii="Arial" w:hAnsi="Arial" w:cs="Arial"/>
                        <w:color w:val="000000"/>
                        <w:sz w:val="20"/>
                      </w:rPr>
                    </w:pPr>
                    <w:r w:rsidRPr="00F64686">
                      <w:rPr>
                        <w:rFonts w:ascii="Arial" w:hAnsi="Arial" w:cs="Arial"/>
                        <w:color w:val="000000"/>
                        <w:sz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F5A" w:rsidRDefault="00A51F5A" w:rsidP="00A409E4">
      <w:pPr>
        <w:spacing w:after="0" w:line="240" w:lineRule="auto"/>
      </w:pPr>
      <w:r>
        <w:separator/>
      </w:r>
    </w:p>
  </w:footnote>
  <w:footnote w:type="continuationSeparator" w:id="0">
    <w:p w:rsidR="00A51F5A" w:rsidRDefault="00A51F5A" w:rsidP="00A40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94459"/>
    <w:multiLevelType w:val="hybridMultilevel"/>
    <w:tmpl w:val="7B2A8B16"/>
    <w:lvl w:ilvl="0" w:tplc="6CF2EBF2">
      <w:start w:val="1"/>
      <w:numFmt w:val="decimal"/>
      <w:lvlText w:val="%1."/>
      <w:lvlJc w:val="left"/>
      <w:pPr>
        <w:ind w:left="720" w:hanging="360"/>
      </w:pPr>
    </w:lvl>
    <w:lvl w:ilvl="1" w:tplc="31F4AC04">
      <w:start w:val="1"/>
      <w:numFmt w:val="lowerLetter"/>
      <w:lvlText w:val="%2."/>
      <w:lvlJc w:val="left"/>
      <w:pPr>
        <w:ind w:left="1440" w:hanging="360"/>
      </w:pPr>
    </w:lvl>
    <w:lvl w:ilvl="2" w:tplc="A8762E98">
      <w:start w:val="1"/>
      <w:numFmt w:val="lowerRoman"/>
      <w:lvlText w:val="%3."/>
      <w:lvlJc w:val="right"/>
      <w:pPr>
        <w:ind w:left="2160" w:hanging="180"/>
      </w:pPr>
    </w:lvl>
    <w:lvl w:ilvl="3" w:tplc="C498AD1A">
      <w:start w:val="1"/>
      <w:numFmt w:val="decimal"/>
      <w:lvlText w:val="%4."/>
      <w:lvlJc w:val="left"/>
      <w:pPr>
        <w:ind w:left="2880" w:hanging="360"/>
      </w:pPr>
    </w:lvl>
    <w:lvl w:ilvl="4" w:tplc="43627012">
      <w:start w:val="1"/>
      <w:numFmt w:val="lowerLetter"/>
      <w:lvlText w:val="%5."/>
      <w:lvlJc w:val="left"/>
      <w:pPr>
        <w:ind w:left="3600" w:hanging="360"/>
      </w:pPr>
    </w:lvl>
    <w:lvl w:ilvl="5" w:tplc="C3DEC29C">
      <w:start w:val="1"/>
      <w:numFmt w:val="lowerRoman"/>
      <w:lvlText w:val="%6."/>
      <w:lvlJc w:val="right"/>
      <w:pPr>
        <w:ind w:left="4320" w:hanging="180"/>
      </w:pPr>
    </w:lvl>
    <w:lvl w:ilvl="6" w:tplc="5EC8AB6A">
      <w:start w:val="1"/>
      <w:numFmt w:val="decimal"/>
      <w:lvlText w:val="%7."/>
      <w:lvlJc w:val="left"/>
      <w:pPr>
        <w:ind w:left="5040" w:hanging="360"/>
      </w:pPr>
    </w:lvl>
    <w:lvl w:ilvl="7" w:tplc="9598920C">
      <w:start w:val="1"/>
      <w:numFmt w:val="lowerLetter"/>
      <w:lvlText w:val="%8."/>
      <w:lvlJc w:val="left"/>
      <w:pPr>
        <w:ind w:left="5760" w:hanging="360"/>
      </w:pPr>
    </w:lvl>
    <w:lvl w:ilvl="8" w:tplc="3F28554C">
      <w:start w:val="1"/>
      <w:numFmt w:val="lowerRoman"/>
      <w:lvlText w:val="%9."/>
      <w:lvlJc w:val="right"/>
      <w:pPr>
        <w:ind w:left="6480" w:hanging="180"/>
      </w:pPr>
    </w:lvl>
  </w:abstractNum>
  <w:abstractNum w:abstractNumId="1" w15:restartNumberingAfterBreak="0">
    <w:nsid w:val="59111DD0"/>
    <w:multiLevelType w:val="hybridMultilevel"/>
    <w:tmpl w:val="E0967328"/>
    <w:lvl w:ilvl="0" w:tplc="29306DA2">
      <w:start w:val="1"/>
      <w:numFmt w:val="decimal"/>
      <w:lvlText w:val="%1."/>
      <w:lvlJc w:val="left"/>
      <w:pPr>
        <w:ind w:left="720" w:hanging="360"/>
      </w:pPr>
    </w:lvl>
    <w:lvl w:ilvl="1" w:tplc="698C7F7A">
      <w:start w:val="1"/>
      <w:numFmt w:val="lowerLetter"/>
      <w:lvlText w:val="%2."/>
      <w:lvlJc w:val="left"/>
      <w:pPr>
        <w:ind w:left="1440" w:hanging="360"/>
      </w:pPr>
    </w:lvl>
    <w:lvl w:ilvl="2" w:tplc="DD2EC034">
      <w:start w:val="1"/>
      <w:numFmt w:val="lowerRoman"/>
      <w:lvlText w:val="%3."/>
      <w:lvlJc w:val="right"/>
      <w:pPr>
        <w:ind w:left="2160" w:hanging="180"/>
      </w:pPr>
    </w:lvl>
    <w:lvl w:ilvl="3" w:tplc="2C1C743E">
      <w:start w:val="1"/>
      <w:numFmt w:val="decimal"/>
      <w:lvlText w:val="%4."/>
      <w:lvlJc w:val="left"/>
      <w:pPr>
        <w:ind w:left="2880" w:hanging="360"/>
      </w:pPr>
    </w:lvl>
    <w:lvl w:ilvl="4" w:tplc="D5166686">
      <w:start w:val="1"/>
      <w:numFmt w:val="lowerLetter"/>
      <w:lvlText w:val="%5."/>
      <w:lvlJc w:val="left"/>
      <w:pPr>
        <w:ind w:left="3600" w:hanging="360"/>
      </w:pPr>
    </w:lvl>
    <w:lvl w:ilvl="5" w:tplc="8388836C">
      <w:start w:val="1"/>
      <w:numFmt w:val="lowerRoman"/>
      <w:lvlText w:val="%6."/>
      <w:lvlJc w:val="right"/>
      <w:pPr>
        <w:ind w:left="4320" w:hanging="180"/>
      </w:pPr>
    </w:lvl>
    <w:lvl w:ilvl="6" w:tplc="4D5E711E">
      <w:start w:val="1"/>
      <w:numFmt w:val="decimal"/>
      <w:lvlText w:val="%7."/>
      <w:lvlJc w:val="left"/>
      <w:pPr>
        <w:ind w:left="5040" w:hanging="360"/>
      </w:pPr>
    </w:lvl>
    <w:lvl w:ilvl="7" w:tplc="29C488DE">
      <w:start w:val="1"/>
      <w:numFmt w:val="lowerLetter"/>
      <w:lvlText w:val="%8."/>
      <w:lvlJc w:val="left"/>
      <w:pPr>
        <w:ind w:left="5760" w:hanging="360"/>
      </w:pPr>
    </w:lvl>
    <w:lvl w:ilvl="8" w:tplc="385202AC">
      <w:start w:val="1"/>
      <w:numFmt w:val="lowerRoman"/>
      <w:lvlText w:val="%9."/>
      <w:lvlJc w:val="right"/>
      <w:pPr>
        <w:ind w:left="6480" w:hanging="180"/>
      </w:pPr>
    </w:lvl>
  </w:abstractNum>
  <w:abstractNum w:abstractNumId="2" w15:restartNumberingAfterBreak="0">
    <w:nsid w:val="5E1F0564"/>
    <w:multiLevelType w:val="hybridMultilevel"/>
    <w:tmpl w:val="FE5224EE"/>
    <w:lvl w:ilvl="0" w:tplc="4894C4A4">
      <w:start w:val="1"/>
      <w:numFmt w:val="bullet"/>
      <w:lvlText w:val=""/>
      <w:lvlJc w:val="left"/>
      <w:pPr>
        <w:ind w:left="720" w:hanging="360"/>
      </w:pPr>
      <w:rPr>
        <w:rFonts w:ascii="Symbol" w:hAnsi="Symbol" w:hint="default"/>
      </w:rPr>
    </w:lvl>
    <w:lvl w:ilvl="1" w:tplc="5C324ABE">
      <w:start w:val="1"/>
      <w:numFmt w:val="bullet"/>
      <w:lvlText w:val="o"/>
      <w:lvlJc w:val="left"/>
      <w:pPr>
        <w:ind w:left="1440" w:hanging="360"/>
      </w:pPr>
      <w:rPr>
        <w:rFonts w:ascii="Courier New" w:hAnsi="Courier New" w:hint="default"/>
      </w:rPr>
    </w:lvl>
    <w:lvl w:ilvl="2" w:tplc="BC8A7ED6">
      <w:start w:val="1"/>
      <w:numFmt w:val="bullet"/>
      <w:lvlText w:val=""/>
      <w:lvlJc w:val="left"/>
      <w:pPr>
        <w:ind w:left="2160" w:hanging="360"/>
      </w:pPr>
      <w:rPr>
        <w:rFonts w:ascii="Wingdings" w:hAnsi="Wingdings" w:hint="default"/>
      </w:rPr>
    </w:lvl>
    <w:lvl w:ilvl="3" w:tplc="6CDEE5A4">
      <w:start w:val="1"/>
      <w:numFmt w:val="bullet"/>
      <w:lvlText w:val=""/>
      <w:lvlJc w:val="left"/>
      <w:pPr>
        <w:ind w:left="2880" w:hanging="360"/>
      </w:pPr>
      <w:rPr>
        <w:rFonts w:ascii="Symbol" w:hAnsi="Symbol" w:hint="default"/>
      </w:rPr>
    </w:lvl>
    <w:lvl w:ilvl="4" w:tplc="82FEE012">
      <w:start w:val="1"/>
      <w:numFmt w:val="bullet"/>
      <w:lvlText w:val="o"/>
      <w:lvlJc w:val="left"/>
      <w:pPr>
        <w:ind w:left="3600" w:hanging="360"/>
      </w:pPr>
      <w:rPr>
        <w:rFonts w:ascii="Courier New" w:hAnsi="Courier New" w:hint="default"/>
      </w:rPr>
    </w:lvl>
    <w:lvl w:ilvl="5" w:tplc="BF187D1E">
      <w:start w:val="1"/>
      <w:numFmt w:val="bullet"/>
      <w:lvlText w:val=""/>
      <w:lvlJc w:val="left"/>
      <w:pPr>
        <w:ind w:left="4320" w:hanging="360"/>
      </w:pPr>
      <w:rPr>
        <w:rFonts w:ascii="Wingdings" w:hAnsi="Wingdings" w:hint="default"/>
      </w:rPr>
    </w:lvl>
    <w:lvl w:ilvl="6" w:tplc="57C463BE">
      <w:start w:val="1"/>
      <w:numFmt w:val="bullet"/>
      <w:lvlText w:val=""/>
      <w:lvlJc w:val="left"/>
      <w:pPr>
        <w:ind w:left="5040" w:hanging="360"/>
      </w:pPr>
      <w:rPr>
        <w:rFonts w:ascii="Symbol" w:hAnsi="Symbol" w:hint="default"/>
      </w:rPr>
    </w:lvl>
    <w:lvl w:ilvl="7" w:tplc="D1F4FA9A">
      <w:start w:val="1"/>
      <w:numFmt w:val="bullet"/>
      <w:lvlText w:val="o"/>
      <w:lvlJc w:val="left"/>
      <w:pPr>
        <w:ind w:left="5760" w:hanging="360"/>
      </w:pPr>
      <w:rPr>
        <w:rFonts w:ascii="Courier New" w:hAnsi="Courier New" w:hint="default"/>
      </w:rPr>
    </w:lvl>
    <w:lvl w:ilvl="8" w:tplc="6D5E326C">
      <w:start w:val="1"/>
      <w:numFmt w:val="bullet"/>
      <w:lvlText w:val=""/>
      <w:lvlJc w:val="left"/>
      <w:pPr>
        <w:ind w:left="6480" w:hanging="360"/>
      </w:pPr>
      <w:rPr>
        <w:rFonts w:ascii="Wingdings" w:hAnsi="Wingdings" w:hint="default"/>
      </w:rPr>
    </w:lvl>
  </w:abstractNum>
  <w:abstractNum w:abstractNumId="3" w15:restartNumberingAfterBreak="0">
    <w:nsid w:val="5F564134"/>
    <w:multiLevelType w:val="hybridMultilevel"/>
    <w:tmpl w:val="56F453BC"/>
    <w:lvl w:ilvl="0" w:tplc="DA848FE6">
      <w:start w:val="1"/>
      <w:numFmt w:val="bullet"/>
      <w:lvlText w:val=""/>
      <w:lvlJc w:val="left"/>
      <w:pPr>
        <w:ind w:left="720" w:hanging="360"/>
      </w:pPr>
      <w:rPr>
        <w:rFonts w:ascii="Symbol" w:hAnsi="Symbol" w:hint="default"/>
      </w:rPr>
    </w:lvl>
    <w:lvl w:ilvl="1" w:tplc="F2ECCAB2">
      <w:start w:val="1"/>
      <w:numFmt w:val="bullet"/>
      <w:lvlText w:val="o"/>
      <w:lvlJc w:val="left"/>
      <w:pPr>
        <w:ind w:left="1440" w:hanging="360"/>
      </w:pPr>
      <w:rPr>
        <w:rFonts w:ascii="Courier New" w:hAnsi="Courier New" w:hint="default"/>
      </w:rPr>
    </w:lvl>
    <w:lvl w:ilvl="2" w:tplc="B068F374">
      <w:start w:val="1"/>
      <w:numFmt w:val="bullet"/>
      <w:lvlText w:val=""/>
      <w:lvlJc w:val="left"/>
      <w:pPr>
        <w:ind w:left="2160" w:hanging="360"/>
      </w:pPr>
      <w:rPr>
        <w:rFonts w:ascii="Wingdings" w:hAnsi="Wingdings" w:hint="default"/>
      </w:rPr>
    </w:lvl>
    <w:lvl w:ilvl="3" w:tplc="59EE59DE">
      <w:start w:val="1"/>
      <w:numFmt w:val="bullet"/>
      <w:lvlText w:val=""/>
      <w:lvlJc w:val="left"/>
      <w:pPr>
        <w:ind w:left="2880" w:hanging="360"/>
      </w:pPr>
      <w:rPr>
        <w:rFonts w:ascii="Symbol" w:hAnsi="Symbol" w:hint="default"/>
      </w:rPr>
    </w:lvl>
    <w:lvl w:ilvl="4" w:tplc="F754E936">
      <w:start w:val="1"/>
      <w:numFmt w:val="bullet"/>
      <w:lvlText w:val="o"/>
      <w:lvlJc w:val="left"/>
      <w:pPr>
        <w:ind w:left="3600" w:hanging="360"/>
      </w:pPr>
      <w:rPr>
        <w:rFonts w:ascii="Courier New" w:hAnsi="Courier New" w:hint="default"/>
      </w:rPr>
    </w:lvl>
    <w:lvl w:ilvl="5" w:tplc="5E20794E">
      <w:start w:val="1"/>
      <w:numFmt w:val="bullet"/>
      <w:lvlText w:val=""/>
      <w:lvlJc w:val="left"/>
      <w:pPr>
        <w:ind w:left="4320" w:hanging="360"/>
      </w:pPr>
      <w:rPr>
        <w:rFonts w:ascii="Wingdings" w:hAnsi="Wingdings" w:hint="default"/>
      </w:rPr>
    </w:lvl>
    <w:lvl w:ilvl="6" w:tplc="3EBC1184">
      <w:start w:val="1"/>
      <w:numFmt w:val="bullet"/>
      <w:lvlText w:val=""/>
      <w:lvlJc w:val="left"/>
      <w:pPr>
        <w:ind w:left="5040" w:hanging="360"/>
      </w:pPr>
      <w:rPr>
        <w:rFonts w:ascii="Symbol" w:hAnsi="Symbol" w:hint="default"/>
      </w:rPr>
    </w:lvl>
    <w:lvl w:ilvl="7" w:tplc="710C5294">
      <w:start w:val="1"/>
      <w:numFmt w:val="bullet"/>
      <w:lvlText w:val="o"/>
      <w:lvlJc w:val="left"/>
      <w:pPr>
        <w:ind w:left="5760" w:hanging="360"/>
      </w:pPr>
      <w:rPr>
        <w:rFonts w:ascii="Courier New" w:hAnsi="Courier New" w:hint="default"/>
      </w:rPr>
    </w:lvl>
    <w:lvl w:ilvl="8" w:tplc="908490A2">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86"/>
    <w:rsid w:val="00006216"/>
    <w:rsid w:val="000127E0"/>
    <w:rsid w:val="000724AC"/>
    <w:rsid w:val="000A20A2"/>
    <w:rsid w:val="000A5F8F"/>
    <w:rsid w:val="00213074"/>
    <w:rsid w:val="002264FD"/>
    <w:rsid w:val="00254E6E"/>
    <w:rsid w:val="00272A97"/>
    <w:rsid w:val="002D0D86"/>
    <w:rsid w:val="00303A69"/>
    <w:rsid w:val="0040AEAB"/>
    <w:rsid w:val="00435D72"/>
    <w:rsid w:val="00444688"/>
    <w:rsid w:val="00446DB4"/>
    <w:rsid w:val="00552F30"/>
    <w:rsid w:val="005766FA"/>
    <w:rsid w:val="005F59FD"/>
    <w:rsid w:val="005F6C05"/>
    <w:rsid w:val="007A54FA"/>
    <w:rsid w:val="0085506B"/>
    <w:rsid w:val="008C6418"/>
    <w:rsid w:val="00A409E4"/>
    <w:rsid w:val="00A51F5A"/>
    <w:rsid w:val="00A60880"/>
    <w:rsid w:val="00AE72B4"/>
    <w:rsid w:val="00BA33F8"/>
    <w:rsid w:val="00C66597"/>
    <w:rsid w:val="00DE22CA"/>
    <w:rsid w:val="00E72D39"/>
    <w:rsid w:val="00F64686"/>
    <w:rsid w:val="00FD6BE3"/>
    <w:rsid w:val="0156DC94"/>
    <w:rsid w:val="016A83E7"/>
    <w:rsid w:val="027ECAF0"/>
    <w:rsid w:val="02B47B93"/>
    <w:rsid w:val="02C565EA"/>
    <w:rsid w:val="04053A0F"/>
    <w:rsid w:val="04111B90"/>
    <w:rsid w:val="05158969"/>
    <w:rsid w:val="0533B080"/>
    <w:rsid w:val="0584F84F"/>
    <w:rsid w:val="05A6E305"/>
    <w:rsid w:val="0852F7A7"/>
    <w:rsid w:val="08AA8D46"/>
    <w:rsid w:val="0903ACD8"/>
    <w:rsid w:val="0AB35E86"/>
    <w:rsid w:val="0AEAB508"/>
    <w:rsid w:val="0C92CF13"/>
    <w:rsid w:val="0CD433B2"/>
    <w:rsid w:val="0CFF42A9"/>
    <w:rsid w:val="0D53ECBA"/>
    <w:rsid w:val="0D8AADCA"/>
    <w:rsid w:val="0E188647"/>
    <w:rsid w:val="0E8F07AB"/>
    <w:rsid w:val="0EF82B5E"/>
    <w:rsid w:val="101225C5"/>
    <w:rsid w:val="103FBF27"/>
    <w:rsid w:val="104F5E1F"/>
    <w:rsid w:val="11286596"/>
    <w:rsid w:val="12E57AE7"/>
    <w:rsid w:val="143AB3C5"/>
    <w:rsid w:val="15550288"/>
    <w:rsid w:val="1773EFD7"/>
    <w:rsid w:val="186AA804"/>
    <w:rsid w:val="188114C8"/>
    <w:rsid w:val="18B736F7"/>
    <w:rsid w:val="19800764"/>
    <w:rsid w:val="1987A3EF"/>
    <w:rsid w:val="1B843074"/>
    <w:rsid w:val="1BA170D9"/>
    <w:rsid w:val="1BC26434"/>
    <w:rsid w:val="1BE0146B"/>
    <w:rsid w:val="1C62B6D1"/>
    <w:rsid w:val="1DFC8C28"/>
    <w:rsid w:val="1E68C97D"/>
    <w:rsid w:val="1EA1D7EF"/>
    <w:rsid w:val="1EADFB6B"/>
    <w:rsid w:val="1EE1EAD7"/>
    <w:rsid w:val="1F4705BE"/>
    <w:rsid w:val="200029B2"/>
    <w:rsid w:val="2160070F"/>
    <w:rsid w:val="22CD93EE"/>
    <w:rsid w:val="24374A92"/>
    <w:rsid w:val="24E6BA37"/>
    <w:rsid w:val="251C1E39"/>
    <w:rsid w:val="251ED39B"/>
    <w:rsid w:val="26C50695"/>
    <w:rsid w:val="27D84AAC"/>
    <w:rsid w:val="2855F1C3"/>
    <w:rsid w:val="29238044"/>
    <w:rsid w:val="29890179"/>
    <w:rsid w:val="29B21AF8"/>
    <w:rsid w:val="29B2E403"/>
    <w:rsid w:val="29B4701F"/>
    <w:rsid w:val="29C1264A"/>
    <w:rsid w:val="2A32DCFC"/>
    <w:rsid w:val="2A3AF6C3"/>
    <w:rsid w:val="2AC61398"/>
    <w:rsid w:val="2B8C47F6"/>
    <w:rsid w:val="2C18256B"/>
    <w:rsid w:val="2C7C0414"/>
    <w:rsid w:val="2E4B3E66"/>
    <w:rsid w:val="2F470423"/>
    <w:rsid w:val="3023CCD4"/>
    <w:rsid w:val="3029D429"/>
    <w:rsid w:val="30468C7E"/>
    <w:rsid w:val="31861EA0"/>
    <w:rsid w:val="31E44023"/>
    <w:rsid w:val="31F4CF09"/>
    <w:rsid w:val="31FF3AA6"/>
    <w:rsid w:val="3255EC15"/>
    <w:rsid w:val="32B20714"/>
    <w:rsid w:val="32D26B8A"/>
    <w:rsid w:val="3307A177"/>
    <w:rsid w:val="332C0014"/>
    <w:rsid w:val="336D0D72"/>
    <w:rsid w:val="33965DC0"/>
    <w:rsid w:val="33A5D974"/>
    <w:rsid w:val="34410782"/>
    <w:rsid w:val="34D4D111"/>
    <w:rsid w:val="357AC6C6"/>
    <w:rsid w:val="3636E687"/>
    <w:rsid w:val="365FE56F"/>
    <w:rsid w:val="3702922F"/>
    <w:rsid w:val="37AB17AC"/>
    <w:rsid w:val="37EAE493"/>
    <w:rsid w:val="37F402C6"/>
    <w:rsid w:val="390DD85D"/>
    <w:rsid w:val="39A00CBF"/>
    <w:rsid w:val="3A003E23"/>
    <w:rsid w:val="3A127C28"/>
    <w:rsid w:val="3A620FEA"/>
    <w:rsid w:val="3BD7929C"/>
    <w:rsid w:val="3D217C21"/>
    <w:rsid w:val="3DA8699C"/>
    <w:rsid w:val="3E036132"/>
    <w:rsid w:val="3E595560"/>
    <w:rsid w:val="3E7CB36C"/>
    <w:rsid w:val="3EF6ACBA"/>
    <w:rsid w:val="40217376"/>
    <w:rsid w:val="4082F81C"/>
    <w:rsid w:val="4097524C"/>
    <w:rsid w:val="414BA5DB"/>
    <w:rsid w:val="417792D3"/>
    <w:rsid w:val="41F395E1"/>
    <w:rsid w:val="425AC2DD"/>
    <w:rsid w:val="428AE0E8"/>
    <w:rsid w:val="43BD33A0"/>
    <w:rsid w:val="44A97787"/>
    <w:rsid w:val="45075962"/>
    <w:rsid w:val="4521DC0A"/>
    <w:rsid w:val="45EDD45F"/>
    <w:rsid w:val="461B126D"/>
    <w:rsid w:val="466D444D"/>
    <w:rsid w:val="470B9523"/>
    <w:rsid w:val="47683403"/>
    <w:rsid w:val="47891D0A"/>
    <w:rsid w:val="487DB8CF"/>
    <w:rsid w:val="4898C5F6"/>
    <w:rsid w:val="48A3F196"/>
    <w:rsid w:val="4984AF46"/>
    <w:rsid w:val="49D656CE"/>
    <w:rsid w:val="4B6B3DCA"/>
    <w:rsid w:val="4BF0A274"/>
    <w:rsid w:val="4D2D10D4"/>
    <w:rsid w:val="4DCD0774"/>
    <w:rsid w:val="4E07EE27"/>
    <w:rsid w:val="4E60A11B"/>
    <w:rsid w:val="4E813C54"/>
    <w:rsid w:val="4F1802F8"/>
    <w:rsid w:val="4F89D05B"/>
    <w:rsid w:val="52D04D93"/>
    <w:rsid w:val="53EB076A"/>
    <w:rsid w:val="546DE471"/>
    <w:rsid w:val="5628D5F4"/>
    <w:rsid w:val="565C1159"/>
    <w:rsid w:val="56A13F5F"/>
    <w:rsid w:val="56E4DD9C"/>
    <w:rsid w:val="5754D59F"/>
    <w:rsid w:val="57A3F998"/>
    <w:rsid w:val="58179BC7"/>
    <w:rsid w:val="59087545"/>
    <w:rsid w:val="590AA346"/>
    <w:rsid w:val="5B35EB66"/>
    <w:rsid w:val="5EE916E6"/>
    <w:rsid w:val="5F18AC8B"/>
    <w:rsid w:val="5F502574"/>
    <w:rsid w:val="5F576845"/>
    <w:rsid w:val="60C6999C"/>
    <w:rsid w:val="619AAE31"/>
    <w:rsid w:val="61E275AE"/>
    <w:rsid w:val="629F9211"/>
    <w:rsid w:val="648EB6A3"/>
    <w:rsid w:val="64DFF386"/>
    <w:rsid w:val="6576B533"/>
    <w:rsid w:val="65D5E147"/>
    <w:rsid w:val="668E60A8"/>
    <w:rsid w:val="66AAB409"/>
    <w:rsid w:val="671E3408"/>
    <w:rsid w:val="67A83F23"/>
    <w:rsid w:val="681E1898"/>
    <w:rsid w:val="68678E06"/>
    <w:rsid w:val="69BCBC40"/>
    <w:rsid w:val="6B0FD590"/>
    <w:rsid w:val="6B78ABFF"/>
    <w:rsid w:val="6BDD650D"/>
    <w:rsid w:val="6C23D385"/>
    <w:rsid w:val="6C5B2D7F"/>
    <w:rsid w:val="6C71C36F"/>
    <w:rsid w:val="70104CAB"/>
    <w:rsid w:val="710DFC3D"/>
    <w:rsid w:val="718A5023"/>
    <w:rsid w:val="718DCD83"/>
    <w:rsid w:val="7293F1FA"/>
    <w:rsid w:val="741680B3"/>
    <w:rsid w:val="74A89B54"/>
    <w:rsid w:val="74F7DF83"/>
    <w:rsid w:val="758EDAA0"/>
    <w:rsid w:val="75E45619"/>
    <w:rsid w:val="7666533C"/>
    <w:rsid w:val="770FFD11"/>
    <w:rsid w:val="77D31BF3"/>
    <w:rsid w:val="784556E6"/>
    <w:rsid w:val="78BD0590"/>
    <w:rsid w:val="78FE8D7C"/>
    <w:rsid w:val="797ACE73"/>
    <w:rsid w:val="798E7A44"/>
    <w:rsid w:val="7A097D6D"/>
    <w:rsid w:val="7B310B95"/>
    <w:rsid w:val="7BB32AAE"/>
    <w:rsid w:val="7C4DB501"/>
    <w:rsid w:val="7CD37B87"/>
    <w:rsid w:val="7D1566D8"/>
    <w:rsid w:val="7D6D87AA"/>
    <w:rsid w:val="7DEE4C28"/>
    <w:rsid w:val="7E0CB98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BF9A"/>
  <w15:chartTrackingRefBased/>
  <w15:docId w15:val="{3D524C3D-19D8-4E73-AF0E-54FBA9EB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9E4"/>
  </w:style>
  <w:style w:type="paragraph" w:styleId="Footer">
    <w:name w:val="footer"/>
    <w:basedOn w:val="Normal"/>
    <w:link w:val="FooterChar"/>
    <w:uiPriority w:val="99"/>
    <w:unhideWhenUsed/>
    <w:rsid w:val="00A40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table" w:styleId="TableGrid">
    <w:name w:val="Table Grid"/>
    <w:basedOn w:val="TableNormal"/>
    <w:uiPriority w:val="59"/>
    <w:rsid w:val="00F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4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686"/>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E7052F9F479438B98E62B9E2D6938" ma:contentTypeVersion="4" ma:contentTypeDescription="Create a new document." ma:contentTypeScope="" ma:versionID="efa139671e98232dc065796fc30b215a">
  <xsd:schema xmlns:xsd="http://www.w3.org/2001/XMLSchema" xmlns:xs="http://www.w3.org/2001/XMLSchema" xmlns:p="http://schemas.microsoft.com/office/2006/metadata/properties" xmlns:ns2="f286427c-872e-42cd-9aec-07236be525aa" targetNamespace="http://schemas.microsoft.com/office/2006/metadata/properties" ma:root="true" ma:fieldsID="a669636f20e69796977bdbd4a07a93d7" ns2:_="">
    <xsd:import namespace="f286427c-872e-42cd-9aec-07236be52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427c-872e-42cd-9aec-07236be52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336C2-DCC5-4ABE-B192-1F384B4B6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427c-872e-42cd-9aec-07236be52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E6A4F-4E65-4B2A-833C-86A8E0CCA82D}">
  <ds:schemaRefs>
    <ds:schemaRef ds:uri="http://schemas.microsoft.com/sharepoint/v3/contenttype/forms"/>
  </ds:schemaRefs>
</ds:datastoreItem>
</file>

<file path=customXml/itemProps3.xml><?xml version="1.0" encoding="utf-8"?>
<ds:datastoreItem xmlns:ds="http://schemas.openxmlformats.org/officeDocument/2006/customXml" ds:itemID="{EC632472-E6CF-4F29-934C-8907655879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 Philippa</dc:creator>
  <cp:keywords/>
  <dc:description/>
  <cp:lastModifiedBy>Dutton, Joanne</cp:lastModifiedBy>
  <cp:revision>1</cp:revision>
  <dcterms:created xsi:type="dcterms:W3CDTF">2020-10-20T09:12:00Z</dcterms:created>
  <dcterms:modified xsi:type="dcterms:W3CDTF">2020-10-20T09:12:00Z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d87a5c-0f5a-43f2-a5b6-162bf6517b6e_Enabled">
    <vt:lpwstr>True</vt:lpwstr>
  </property>
  <property fmtid="{D5CDD505-2E9C-101B-9397-08002B2CF9AE}" pid="3" name="MSIP_Label_40d87a5c-0f5a-43f2-a5b6-162bf6517b6e_SiteId">
    <vt:lpwstr>f9300280-65a0-46f8-a18c-a296431980f5</vt:lpwstr>
  </property>
  <property fmtid="{D5CDD505-2E9C-101B-9397-08002B2CF9AE}" pid="4" name="MSIP_Label_40d87a5c-0f5a-43f2-a5b6-162bf6517b6e_Owner">
    <vt:lpwstr>Philippa.Keys@macegroup.com</vt:lpwstr>
  </property>
  <property fmtid="{D5CDD505-2E9C-101B-9397-08002B2CF9AE}" pid="5" name="MSIP_Label_40d87a5c-0f5a-43f2-a5b6-162bf6517b6e_SetDate">
    <vt:lpwstr>2020-10-15T16:51:57.4057448Z</vt:lpwstr>
  </property>
  <property fmtid="{D5CDD505-2E9C-101B-9397-08002B2CF9AE}" pid="6" name="MSIP_Label_40d87a5c-0f5a-43f2-a5b6-162bf6517b6e_Name">
    <vt:lpwstr>Public</vt:lpwstr>
  </property>
  <property fmtid="{D5CDD505-2E9C-101B-9397-08002B2CF9AE}" pid="7" name="MSIP_Label_40d87a5c-0f5a-43f2-a5b6-162bf6517b6e_Application">
    <vt:lpwstr>Microsoft Azure Information Protection</vt:lpwstr>
  </property>
  <property fmtid="{D5CDD505-2E9C-101B-9397-08002B2CF9AE}" pid="8" name="MSIP_Label_40d87a5c-0f5a-43f2-a5b6-162bf6517b6e_Extended_MSFT_Method">
    <vt:lpwstr>Automatic</vt:lpwstr>
  </property>
  <property fmtid="{D5CDD505-2E9C-101B-9397-08002B2CF9AE}" pid="9" name="MSIP_Label_ff528e02-ab69-43a8-9134-6d8d1b0c706c_Enabled">
    <vt:lpwstr>True</vt:lpwstr>
  </property>
  <property fmtid="{D5CDD505-2E9C-101B-9397-08002B2CF9AE}" pid="10" name="MSIP_Label_ff528e02-ab69-43a8-9134-6d8d1b0c706c_SiteId">
    <vt:lpwstr>f9300280-65a0-46f8-a18c-a296431980f5</vt:lpwstr>
  </property>
  <property fmtid="{D5CDD505-2E9C-101B-9397-08002B2CF9AE}" pid="11" name="MSIP_Label_ff528e02-ab69-43a8-9134-6d8d1b0c706c_Owner">
    <vt:lpwstr>Philippa.Keys@macegroup.com</vt:lpwstr>
  </property>
  <property fmtid="{D5CDD505-2E9C-101B-9397-08002B2CF9AE}" pid="12" name="MSIP_Label_ff528e02-ab69-43a8-9134-6d8d1b0c706c_SetDate">
    <vt:lpwstr>2020-10-15T16:51:57.4057448Z</vt:lpwstr>
  </property>
  <property fmtid="{D5CDD505-2E9C-101B-9397-08002B2CF9AE}" pid="13" name="MSIP_Label_ff528e02-ab69-43a8-9134-6d8d1b0c706c_Name">
    <vt:lpwstr>Markings</vt:lpwstr>
  </property>
  <property fmtid="{D5CDD505-2E9C-101B-9397-08002B2CF9AE}" pid="14" name="MSIP_Label_ff528e02-ab69-43a8-9134-6d8d1b0c706c_Application">
    <vt:lpwstr>Microsoft Azure Information Protection</vt:lpwstr>
  </property>
  <property fmtid="{D5CDD505-2E9C-101B-9397-08002B2CF9AE}" pid="15" name="MSIP_Label_ff528e02-ab69-43a8-9134-6d8d1b0c706c_Parent">
    <vt:lpwstr>40d87a5c-0f5a-43f2-a5b6-162bf6517b6e</vt:lpwstr>
  </property>
  <property fmtid="{D5CDD505-2E9C-101B-9397-08002B2CF9AE}" pid="16" name="MSIP_Label_ff528e02-ab69-43a8-9134-6d8d1b0c706c_Extended_MSFT_Method">
    <vt:lpwstr>Automatic</vt:lpwstr>
  </property>
  <property fmtid="{D5CDD505-2E9C-101B-9397-08002B2CF9AE}" pid="17" name="Sensitivity">
    <vt:lpwstr>Public Markings</vt:lpwstr>
  </property>
  <property fmtid="{D5CDD505-2E9C-101B-9397-08002B2CF9AE}" pid="18" name="ContentTypeId">
    <vt:lpwstr>0x010100D5CE7052F9F479438B98E62B9E2D6938</vt:lpwstr>
  </property>
</Properties>
</file>