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86C8" w14:textId="77777777" w:rsidR="00A374A0" w:rsidRPr="00A374A0" w:rsidRDefault="00D825BF" w:rsidP="00A374A0">
      <w:pPr>
        <w:pStyle w:val="Heading1"/>
        <w:spacing w:before="120" w:after="120" w:line="276" w:lineRule="auto"/>
        <w:jc w:val="both"/>
        <w:rPr>
          <w:rFonts w:ascii="Arial" w:eastAsia="Times New Roman" w:hAnsi="Arial" w:cs="Arial"/>
          <w:b/>
          <w:bCs/>
          <w:color w:val="auto"/>
          <w:sz w:val="22"/>
          <w:szCs w:val="22"/>
        </w:rPr>
      </w:pPr>
      <w:r w:rsidRPr="00A374A0">
        <w:rPr>
          <w:rFonts w:ascii="Arial" w:eastAsia="Times New Roman" w:hAnsi="Arial" w:cs="Arial"/>
          <w:b/>
          <w:bCs/>
          <w:color w:val="auto"/>
          <w:sz w:val="22"/>
          <w:szCs w:val="22"/>
        </w:rPr>
        <w:t xml:space="preserve">Annex </w:t>
      </w:r>
      <w:r w:rsidR="00A374A0" w:rsidRPr="00A374A0">
        <w:rPr>
          <w:rFonts w:ascii="Arial" w:eastAsia="Times New Roman" w:hAnsi="Arial" w:cs="Arial"/>
          <w:b/>
          <w:bCs/>
          <w:color w:val="auto"/>
          <w:sz w:val="22"/>
          <w:szCs w:val="22"/>
        </w:rPr>
        <w:t>05- Technical Specification</w:t>
      </w:r>
    </w:p>
    <w:p w14:paraId="59DD0CDA" w14:textId="77777777" w:rsidR="00D825BF" w:rsidRPr="00A374A0" w:rsidRDefault="00D825BF" w:rsidP="00A374A0">
      <w:pPr>
        <w:pStyle w:val="Heading2"/>
        <w:spacing w:before="120" w:after="120" w:line="276" w:lineRule="auto"/>
        <w:jc w:val="both"/>
        <w:rPr>
          <w:rFonts w:ascii="Arial" w:eastAsia="Times New Roman" w:hAnsi="Arial" w:cs="Arial"/>
          <w:b/>
          <w:bCs/>
          <w:color w:val="auto"/>
          <w:sz w:val="22"/>
          <w:szCs w:val="22"/>
        </w:rPr>
      </w:pPr>
      <w:r w:rsidRPr="00A374A0">
        <w:rPr>
          <w:rFonts w:ascii="Arial" w:eastAsia="Times New Roman" w:hAnsi="Arial" w:cs="Arial"/>
          <w:b/>
          <w:bCs/>
          <w:color w:val="auto"/>
          <w:sz w:val="22"/>
          <w:szCs w:val="22"/>
        </w:rPr>
        <w:t>Spillage Absorption Product Specification</w:t>
      </w:r>
    </w:p>
    <w:p w14:paraId="56DABE0D" w14:textId="77777777" w:rsidR="00A374A0" w:rsidRPr="00A374A0" w:rsidRDefault="00D825BF" w:rsidP="00A374A0">
      <w:pPr>
        <w:pStyle w:val="Heading3"/>
        <w:numPr>
          <w:ilvl w:val="0"/>
          <w:numId w:val="3"/>
        </w:numPr>
        <w:spacing w:before="120" w:after="120" w:line="276" w:lineRule="auto"/>
        <w:jc w:val="both"/>
        <w:rPr>
          <w:rFonts w:ascii="Arial" w:eastAsia="Times New Roman" w:hAnsi="Arial" w:cs="Arial"/>
          <w:b/>
          <w:bCs/>
          <w:color w:val="auto"/>
          <w:sz w:val="22"/>
          <w:szCs w:val="22"/>
        </w:rPr>
      </w:pPr>
      <w:r w:rsidRPr="00A374A0">
        <w:rPr>
          <w:rFonts w:ascii="Arial" w:eastAsia="Times New Roman" w:hAnsi="Arial" w:cs="Arial"/>
          <w:b/>
          <w:bCs/>
          <w:color w:val="auto"/>
          <w:sz w:val="22"/>
          <w:szCs w:val="22"/>
        </w:rPr>
        <w:t>Scope</w:t>
      </w:r>
    </w:p>
    <w:p w14:paraId="597646D8" w14:textId="77777777" w:rsidR="00D825BF" w:rsidRDefault="00D825BF" w:rsidP="00A374A0">
      <w:pPr>
        <w:pStyle w:val="ListParagraph"/>
        <w:numPr>
          <w:ilvl w:val="1"/>
          <w:numId w:val="3"/>
        </w:numPr>
        <w:spacing w:before="120" w:after="120" w:line="276" w:lineRule="auto"/>
        <w:ind w:hanging="792"/>
        <w:contextualSpacing w:val="0"/>
        <w:jc w:val="both"/>
        <w:rPr>
          <w:sz w:val="22"/>
          <w:szCs w:val="22"/>
        </w:rPr>
      </w:pPr>
      <w:r w:rsidRPr="00A374A0">
        <w:rPr>
          <w:sz w:val="22"/>
          <w:szCs w:val="22"/>
        </w:rPr>
        <w:t xml:space="preserve">This technical specification is a product specification to cover bulk spreadable products (Type II as defined in BS 7959:2004 Pt 1) for absorbing Diesel (EN 590 Automotive fuels – Diesel – requirements and tests) as well as other hydrocarbons, mineral </w:t>
      </w:r>
      <w:proofErr w:type="gramStart"/>
      <w:r w:rsidRPr="00A374A0">
        <w:rPr>
          <w:sz w:val="22"/>
          <w:szCs w:val="22"/>
        </w:rPr>
        <w:t>oils</w:t>
      </w:r>
      <w:proofErr w:type="gramEnd"/>
      <w:r w:rsidRPr="00A374A0">
        <w:rPr>
          <w:sz w:val="22"/>
          <w:szCs w:val="22"/>
        </w:rPr>
        <w:t xml:space="preserve"> or similar liquids for use on </w:t>
      </w:r>
      <w:r w:rsidR="00A374A0" w:rsidRPr="00A374A0">
        <w:rPr>
          <w:sz w:val="22"/>
          <w:szCs w:val="22"/>
        </w:rPr>
        <w:t>National</w:t>
      </w:r>
      <w:r w:rsidRPr="00A374A0">
        <w:rPr>
          <w:sz w:val="22"/>
          <w:szCs w:val="22"/>
        </w:rPr>
        <w:t xml:space="preserve"> Highways Strategic Road Network (SRN).</w:t>
      </w:r>
    </w:p>
    <w:p w14:paraId="672A6659" w14:textId="77777777" w:rsidR="00A374A0" w:rsidRPr="00A374A0" w:rsidRDefault="00A374A0" w:rsidP="00A374A0">
      <w:pPr>
        <w:pStyle w:val="ListParagraph"/>
        <w:spacing w:before="120" w:after="120" w:line="276" w:lineRule="auto"/>
        <w:ind w:left="792"/>
        <w:contextualSpacing w:val="0"/>
        <w:jc w:val="both"/>
        <w:rPr>
          <w:sz w:val="22"/>
          <w:szCs w:val="22"/>
        </w:rPr>
      </w:pPr>
    </w:p>
    <w:p w14:paraId="0BD5E4FE" w14:textId="77777777" w:rsidR="00D825BF" w:rsidRPr="00A374A0" w:rsidRDefault="00D825BF" w:rsidP="00A374A0">
      <w:pPr>
        <w:pStyle w:val="Heading3"/>
        <w:numPr>
          <w:ilvl w:val="0"/>
          <w:numId w:val="3"/>
        </w:numPr>
        <w:spacing w:before="120" w:after="120" w:line="276" w:lineRule="auto"/>
        <w:jc w:val="both"/>
        <w:rPr>
          <w:rFonts w:ascii="Arial" w:eastAsia="Times New Roman" w:hAnsi="Arial" w:cs="Arial"/>
          <w:b/>
          <w:color w:val="auto"/>
          <w:sz w:val="22"/>
          <w:szCs w:val="22"/>
        </w:rPr>
      </w:pPr>
      <w:r w:rsidRPr="00A374A0">
        <w:rPr>
          <w:rFonts w:ascii="Arial" w:eastAsia="Times New Roman" w:hAnsi="Arial" w:cs="Arial"/>
          <w:b/>
          <w:color w:val="auto"/>
          <w:sz w:val="22"/>
          <w:szCs w:val="22"/>
        </w:rPr>
        <w:t>Principle</w:t>
      </w:r>
    </w:p>
    <w:p w14:paraId="0A37501D" w14:textId="77777777" w:rsidR="00D825BF" w:rsidRPr="00A374A0" w:rsidRDefault="00D825BF" w:rsidP="00A374A0">
      <w:pPr>
        <w:spacing w:before="120" w:after="120" w:line="276" w:lineRule="auto"/>
        <w:ind w:left="720" w:hanging="720"/>
        <w:jc w:val="both"/>
        <w:rPr>
          <w:rFonts w:eastAsia="Times New Roman"/>
          <w:sz w:val="22"/>
          <w:szCs w:val="22"/>
        </w:rPr>
      </w:pPr>
    </w:p>
    <w:p w14:paraId="777E9FD3" w14:textId="77777777" w:rsidR="00D825BF"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The specifications for absorbents that follow specify the requirements for road usage. These specifications are designed to ensure the safety of road users and to limit the dissemination of pollutants into the environment.</w:t>
      </w:r>
    </w:p>
    <w:p w14:paraId="5DAB6C7B" w14:textId="77777777" w:rsidR="00A374A0" w:rsidRPr="00A374A0" w:rsidRDefault="00A374A0" w:rsidP="00A374A0">
      <w:pPr>
        <w:pStyle w:val="ListParagraph"/>
        <w:spacing w:before="120" w:after="120" w:line="276" w:lineRule="auto"/>
        <w:ind w:left="792"/>
        <w:contextualSpacing w:val="0"/>
        <w:jc w:val="both"/>
        <w:rPr>
          <w:rFonts w:eastAsia="Times New Roman"/>
          <w:sz w:val="22"/>
          <w:szCs w:val="22"/>
        </w:rPr>
      </w:pPr>
    </w:p>
    <w:p w14:paraId="0ABDEDA6" w14:textId="77777777" w:rsidR="00D825BF" w:rsidRPr="00A374A0" w:rsidRDefault="00D825BF" w:rsidP="00A374A0">
      <w:pPr>
        <w:pStyle w:val="Heading3"/>
        <w:numPr>
          <w:ilvl w:val="0"/>
          <w:numId w:val="3"/>
        </w:numPr>
        <w:spacing w:before="120" w:after="120" w:line="276" w:lineRule="auto"/>
        <w:jc w:val="both"/>
        <w:rPr>
          <w:rFonts w:ascii="Arial" w:eastAsia="Times New Roman" w:hAnsi="Arial" w:cs="Arial"/>
          <w:b/>
          <w:color w:val="auto"/>
          <w:sz w:val="22"/>
          <w:szCs w:val="22"/>
        </w:rPr>
      </w:pPr>
      <w:r w:rsidRPr="00A374A0">
        <w:rPr>
          <w:rFonts w:ascii="Arial" w:eastAsia="Times New Roman" w:hAnsi="Arial" w:cs="Arial"/>
          <w:b/>
          <w:color w:val="auto"/>
          <w:sz w:val="22"/>
          <w:szCs w:val="22"/>
        </w:rPr>
        <w:t>Product Safety and Packaging</w:t>
      </w:r>
    </w:p>
    <w:p w14:paraId="354473C2" w14:textId="77777777" w:rsidR="00D825BF" w:rsidRPr="00A374A0" w:rsidRDefault="00D825BF" w:rsidP="00A374A0">
      <w:pPr>
        <w:pStyle w:val="Heading4"/>
        <w:spacing w:before="120" w:after="120" w:line="276" w:lineRule="auto"/>
        <w:jc w:val="both"/>
        <w:rPr>
          <w:rFonts w:ascii="Arial" w:eastAsia="Times New Roman" w:hAnsi="Arial" w:cs="Arial"/>
          <w:b/>
          <w:bCs/>
          <w:color w:val="auto"/>
          <w:sz w:val="22"/>
          <w:szCs w:val="22"/>
        </w:rPr>
      </w:pPr>
      <w:r w:rsidRPr="00A374A0">
        <w:rPr>
          <w:rFonts w:ascii="Arial" w:eastAsia="Times New Roman" w:hAnsi="Arial" w:cs="Arial"/>
          <w:b/>
          <w:bCs/>
          <w:color w:val="auto"/>
          <w:sz w:val="22"/>
          <w:szCs w:val="22"/>
        </w:rPr>
        <w:t>Safety</w:t>
      </w:r>
    </w:p>
    <w:p w14:paraId="11BE295C"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No sorbents shall be used on roads, which are classified as “dangerous” with respect to European Directive 67/548, Article 2 (2).</w:t>
      </w:r>
    </w:p>
    <w:p w14:paraId="65CD64D8"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A safety data sheet, in accordance with either ISO 11014-1 or European Directive 2001/58/EC shall be available.</w:t>
      </w:r>
    </w:p>
    <w:p w14:paraId="3A4535E6"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No products for use on the highway shall require any additional PPE other than that already generally specified for Highway Operatives (Details provided in Annex A).</w:t>
      </w:r>
    </w:p>
    <w:p w14:paraId="462C8374" w14:textId="77777777" w:rsidR="00D825BF" w:rsidRPr="00A374A0" w:rsidRDefault="00D825BF" w:rsidP="00A374A0">
      <w:pPr>
        <w:pStyle w:val="Heading4"/>
        <w:spacing w:before="120" w:after="120" w:line="276" w:lineRule="auto"/>
        <w:jc w:val="both"/>
        <w:rPr>
          <w:rFonts w:ascii="Arial" w:eastAsia="Times New Roman" w:hAnsi="Arial" w:cs="Arial"/>
          <w:b/>
          <w:bCs/>
          <w:color w:val="auto"/>
          <w:sz w:val="22"/>
          <w:szCs w:val="22"/>
          <w:lang w:val="en-US"/>
        </w:rPr>
      </w:pPr>
      <w:r w:rsidRPr="00A374A0">
        <w:rPr>
          <w:rFonts w:ascii="Arial" w:eastAsia="Times New Roman" w:hAnsi="Arial" w:cs="Arial"/>
          <w:b/>
          <w:bCs/>
          <w:color w:val="auto"/>
          <w:sz w:val="22"/>
          <w:szCs w:val="22"/>
          <w:lang w:val="en-US"/>
        </w:rPr>
        <w:t>Packaging</w:t>
      </w:r>
    </w:p>
    <w:p w14:paraId="3F477254"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The product will be packaged in a suitable size and weight to meet the requirements of manual handling as defined in HSE INDG143 (rev3).</w:t>
      </w:r>
    </w:p>
    <w:p w14:paraId="7DE80361"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The product shall be suitably packaged to meet the requirements of the intended operation and environment for use.  There should be no requirement for handling devices to move/deploy the material safely in singular package form or any special handling requirements.</w:t>
      </w:r>
    </w:p>
    <w:p w14:paraId="3E22099F" w14:textId="5F3F2FAF" w:rsidR="00D825BF" w:rsidRPr="00A374A0" w:rsidRDefault="00D825BF" w:rsidP="4DE1FDA1">
      <w:pPr>
        <w:pStyle w:val="ListParagraph"/>
        <w:numPr>
          <w:ilvl w:val="1"/>
          <w:numId w:val="3"/>
        </w:numPr>
        <w:spacing w:before="120" w:after="120" w:line="276" w:lineRule="auto"/>
        <w:ind w:hanging="792"/>
        <w:jc w:val="both"/>
        <w:rPr>
          <w:rFonts w:eastAsia="Times New Roman"/>
          <w:sz w:val="22"/>
          <w:szCs w:val="22"/>
        </w:rPr>
      </w:pPr>
      <w:r w:rsidRPr="4DE1FDA1">
        <w:rPr>
          <w:rFonts w:eastAsia="Times New Roman"/>
          <w:sz w:val="22"/>
          <w:szCs w:val="22"/>
        </w:rPr>
        <w:t>The packaging should be suitable to protect the product from the environment as not to affect its performance pre-deployment.</w:t>
      </w:r>
    </w:p>
    <w:p w14:paraId="1316D5ED" w14:textId="36AEB6E5" w:rsidR="00D825BF" w:rsidRPr="00A374A0" w:rsidRDefault="00D825BF" w:rsidP="4DE1FDA1">
      <w:pPr>
        <w:pStyle w:val="ListParagraph"/>
        <w:numPr>
          <w:ilvl w:val="1"/>
          <w:numId w:val="3"/>
        </w:numPr>
        <w:spacing w:before="120" w:after="120" w:line="276" w:lineRule="auto"/>
        <w:ind w:hanging="792"/>
        <w:jc w:val="both"/>
        <w:rPr>
          <w:rFonts w:eastAsia="Times New Roman"/>
          <w:sz w:val="22"/>
          <w:szCs w:val="22"/>
        </w:rPr>
      </w:pPr>
      <w:r w:rsidRPr="4DE1FDA1">
        <w:rPr>
          <w:rFonts w:eastAsia="Times New Roman"/>
          <w:sz w:val="22"/>
          <w:szCs w:val="22"/>
        </w:rPr>
        <w:t xml:space="preserve">The packaging should allow safe storage/stacking both on the vehicle and its general place of store area on site without any special requirements e.g. packaging inserts/wrapping to support the product. </w:t>
      </w:r>
    </w:p>
    <w:p w14:paraId="19E19373"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4DE1FDA1">
        <w:rPr>
          <w:rFonts w:eastAsia="Times New Roman"/>
          <w:sz w:val="22"/>
          <w:szCs w:val="22"/>
        </w:rPr>
        <w:t xml:space="preserve">To allow movement of bulk quantities of product the product to the various sites or respond to an incident, the packaging needs should allow for safe stacking on a standard size </w:t>
      </w:r>
      <w:proofErr w:type="gramStart"/>
      <w:r w:rsidRPr="4DE1FDA1">
        <w:rPr>
          <w:rFonts w:eastAsia="Times New Roman"/>
          <w:sz w:val="22"/>
          <w:szCs w:val="22"/>
        </w:rPr>
        <w:t>4 way</w:t>
      </w:r>
      <w:proofErr w:type="gramEnd"/>
      <w:r w:rsidRPr="4DE1FDA1">
        <w:rPr>
          <w:rFonts w:eastAsia="Times New Roman"/>
          <w:sz w:val="22"/>
          <w:szCs w:val="22"/>
        </w:rPr>
        <w:t xml:space="preserve"> pallet (1000mm x 1200mm) to minimise manual handling during transportation.  The safe stacking height should be identified without any wrap but also with wrap.  The packaging should ideally allow for interlocked stacking on a pallet.</w:t>
      </w:r>
    </w:p>
    <w:p w14:paraId="7B82085D"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4DE1FDA1">
        <w:rPr>
          <w:rFonts w:eastAsia="Times New Roman"/>
          <w:sz w:val="22"/>
          <w:szCs w:val="22"/>
        </w:rPr>
        <w:lastRenderedPageBreak/>
        <w:t>The packaging ideally should be re-sealable where the entire product may not be required to deal with a spillage.</w:t>
      </w:r>
    </w:p>
    <w:p w14:paraId="32706425"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4DE1FDA1">
        <w:rPr>
          <w:rFonts w:eastAsia="Times New Roman"/>
          <w:sz w:val="22"/>
          <w:szCs w:val="22"/>
        </w:rPr>
        <w:t>The packaging shall be such that entire contents can be deposited onto the Highway in one go or in a controlled manner when dealing with either a small spillage or when being deployed for containment purposes.</w:t>
      </w:r>
    </w:p>
    <w:p w14:paraId="02EB378F" w14:textId="77777777" w:rsidR="00D825BF" w:rsidRPr="00A374A0" w:rsidRDefault="00D825BF" w:rsidP="00A374A0">
      <w:pPr>
        <w:spacing w:before="120" w:after="120" w:line="276" w:lineRule="auto"/>
        <w:jc w:val="both"/>
        <w:rPr>
          <w:rFonts w:eastAsia="Times New Roman"/>
          <w:sz w:val="22"/>
          <w:szCs w:val="22"/>
          <w:lang w:val="en-US"/>
        </w:rPr>
      </w:pPr>
    </w:p>
    <w:p w14:paraId="5955C14B" w14:textId="77777777" w:rsidR="00D825BF" w:rsidRPr="00A374A0" w:rsidRDefault="00D825BF" w:rsidP="00A374A0">
      <w:pPr>
        <w:pStyle w:val="Heading3"/>
        <w:numPr>
          <w:ilvl w:val="0"/>
          <w:numId w:val="3"/>
        </w:numPr>
        <w:spacing w:before="120" w:after="120" w:line="276" w:lineRule="auto"/>
        <w:jc w:val="both"/>
        <w:rPr>
          <w:rFonts w:ascii="Arial" w:eastAsia="Times New Roman" w:hAnsi="Arial" w:cs="Arial"/>
          <w:b/>
          <w:color w:val="auto"/>
          <w:sz w:val="22"/>
          <w:szCs w:val="22"/>
          <w:lang w:val="en-US"/>
        </w:rPr>
      </w:pPr>
      <w:r w:rsidRPr="00A374A0">
        <w:rPr>
          <w:rFonts w:ascii="Arial" w:eastAsia="Times New Roman" w:hAnsi="Arial" w:cs="Arial"/>
          <w:b/>
          <w:color w:val="auto"/>
          <w:sz w:val="22"/>
          <w:szCs w:val="22"/>
          <w:lang w:val="en-US"/>
        </w:rPr>
        <w:t>Labeling</w:t>
      </w:r>
    </w:p>
    <w:p w14:paraId="4F43617E"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The packaging as defined in section 3 should be labelled in accordance with the requirements set out below.</w:t>
      </w:r>
    </w:p>
    <w:p w14:paraId="7CDC7FB3"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Sorbents intended for road usage shall bear labels or imprints, A6 size or larger, in compliance with the requirements and should include the information contained in 4.3 below on each bag in English.</w:t>
      </w:r>
    </w:p>
    <w:p w14:paraId="54A6CE36" w14:textId="77777777" w:rsidR="00A374A0"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The label should contain the following information:</w:t>
      </w:r>
    </w:p>
    <w:p w14:paraId="428ACBC7"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Intended use areas R </w:t>
      </w:r>
      <w:proofErr w:type="gramStart"/>
      <w:r w:rsidRPr="00A374A0">
        <w:rPr>
          <w:rFonts w:eastAsia="Times New Roman"/>
          <w:sz w:val="22"/>
          <w:szCs w:val="22"/>
        </w:rPr>
        <w:t>indicates:</w:t>
      </w:r>
      <w:proofErr w:type="gramEnd"/>
      <w:r w:rsidRPr="00A374A0">
        <w:rPr>
          <w:rFonts w:eastAsia="Times New Roman"/>
          <w:sz w:val="22"/>
          <w:szCs w:val="22"/>
        </w:rPr>
        <w:t xml:space="preserve"> suitable for road purposes; </w:t>
      </w:r>
    </w:p>
    <w:p w14:paraId="44BB5F6C"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Friction (F1 or F2) and </w:t>
      </w:r>
      <w:proofErr w:type="spellStart"/>
      <w:r w:rsidRPr="00A374A0">
        <w:rPr>
          <w:rFonts w:eastAsia="Times New Roman"/>
          <w:sz w:val="22"/>
          <w:szCs w:val="22"/>
        </w:rPr>
        <w:t>Sorbency</w:t>
      </w:r>
      <w:proofErr w:type="spellEnd"/>
      <w:r w:rsidRPr="00A374A0">
        <w:rPr>
          <w:rFonts w:eastAsia="Times New Roman"/>
          <w:sz w:val="22"/>
          <w:szCs w:val="22"/>
        </w:rPr>
        <w:t xml:space="preserve"> (S1 or S2) classification</w:t>
      </w:r>
    </w:p>
    <w:p w14:paraId="6511907D" w14:textId="153F908C" w:rsidR="00A374A0" w:rsidRPr="00A374A0" w:rsidRDefault="00D825BF" w:rsidP="041BE01C">
      <w:pPr>
        <w:pStyle w:val="ListParagraph"/>
        <w:numPr>
          <w:ilvl w:val="2"/>
          <w:numId w:val="3"/>
        </w:numPr>
        <w:spacing w:before="120" w:after="120" w:line="276" w:lineRule="auto"/>
        <w:ind w:hanging="792"/>
        <w:jc w:val="both"/>
        <w:rPr>
          <w:rFonts w:eastAsia="Times New Roman"/>
          <w:sz w:val="22"/>
          <w:szCs w:val="22"/>
        </w:rPr>
      </w:pPr>
      <w:r w:rsidRPr="041BE01C">
        <w:rPr>
          <w:rFonts w:eastAsia="Times New Roman"/>
          <w:sz w:val="22"/>
          <w:szCs w:val="22"/>
        </w:rPr>
        <w:t>Classification</w:t>
      </w:r>
      <w:r w:rsidR="6BACF2D3" w:rsidRPr="041BE01C">
        <w:rPr>
          <w:rFonts w:eastAsia="Times New Roman"/>
          <w:sz w:val="22"/>
          <w:szCs w:val="22"/>
        </w:rPr>
        <w:t xml:space="preserve"> </w:t>
      </w:r>
      <w:r w:rsidRPr="041BE01C">
        <w:rPr>
          <w:rFonts w:eastAsia="Times New Roman"/>
          <w:sz w:val="22"/>
          <w:szCs w:val="22"/>
        </w:rPr>
        <w:t>as defined in section 5.3: "(Absorbent or Adsorbent) for use on road surfaces and traffic areas</w:t>
      </w:r>
      <w:proofErr w:type="gramStart"/>
      <w:r w:rsidRPr="041BE01C">
        <w:rPr>
          <w:rFonts w:eastAsia="Times New Roman"/>
          <w:sz w:val="22"/>
          <w:szCs w:val="22"/>
        </w:rPr>
        <w:t>";</w:t>
      </w:r>
      <w:proofErr w:type="gramEnd"/>
    </w:p>
    <w:p w14:paraId="1D11EE7C"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The nature of the product including a list of essential </w:t>
      </w:r>
      <w:proofErr w:type="gramStart"/>
      <w:r w:rsidRPr="00A374A0">
        <w:rPr>
          <w:rFonts w:eastAsia="Times New Roman"/>
          <w:sz w:val="22"/>
          <w:szCs w:val="22"/>
        </w:rPr>
        <w:t>components;</w:t>
      </w:r>
      <w:proofErr w:type="gramEnd"/>
    </w:p>
    <w:p w14:paraId="5CB2DA1F"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reference to this Technical </w:t>
      </w:r>
      <w:proofErr w:type="gramStart"/>
      <w:r w:rsidRPr="00A374A0">
        <w:rPr>
          <w:rFonts w:eastAsia="Times New Roman"/>
          <w:sz w:val="22"/>
          <w:szCs w:val="22"/>
        </w:rPr>
        <w:t>Specification;</w:t>
      </w:r>
      <w:proofErr w:type="gramEnd"/>
    </w:p>
    <w:p w14:paraId="5BE7130A"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product name or product brand </w:t>
      </w:r>
      <w:proofErr w:type="gramStart"/>
      <w:r w:rsidRPr="00A374A0">
        <w:rPr>
          <w:rFonts w:eastAsia="Times New Roman"/>
          <w:sz w:val="22"/>
          <w:szCs w:val="22"/>
        </w:rPr>
        <w:t>name;</w:t>
      </w:r>
      <w:proofErr w:type="gramEnd"/>
    </w:p>
    <w:p w14:paraId="34A66378"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name of producer or distributor or other official </w:t>
      </w:r>
      <w:proofErr w:type="gramStart"/>
      <w:r w:rsidRPr="00A374A0">
        <w:rPr>
          <w:rFonts w:eastAsia="Times New Roman"/>
          <w:sz w:val="22"/>
          <w:szCs w:val="22"/>
        </w:rPr>
        <w:t>identification;</w:t>
      </w:r>
      <w:proofErr w:type="gramEnd"/>
    </w:p>
    <w:p w14:paraId="21679C68"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a code for product traceability for at least 3 years with easily distinguishable numeric year of </w:t>
      </w:r>
      <w:proofErr w:type="gramStart"/>
      <w:r w:rsidRPr="00A374A0">
        <w:rPr>
          <w:rFonts w:eastAsia="Times New Roman"/>
          <w:sz w:val="22"/>
          <w:szCs w:val="22"/>
        </w:rPr>
        <w:t>manufacture;</w:t>
      </w:r>
      <w:proofErr w:type="gramEnd"/>
    </w:p>
    <w:p w14:paraId="27EBCEFB"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the contents of the package either in kilograms </w:t>
      </w:r>
      <w:proofErr w:type="gramStart"/>
      <w:r w:rsidRPr="00A374A0">
        <w:rPr>
          <w:rFonts w:eastAsia="Times New Roman"/>
          <w:sz w:val="22"/>
          <w:szCs w:val="22"/>
        </w:rPr>
        <w:t>and</w:t>
      </w:r>
      <w:proofErr w:type="gramEnd"/>
      <w:r w:rsidRPr="00A374A0">
        <w:rPr>
          <w:rFonts w:eastAsia="Times New Roman"/>
          <w:sz w:val="22"/>
          <w:szCs w:val="22"/>
        </w:rPr>
        <w:t xml:space="preserve"> in litres, with an indication of bulk density;</w:t>
      </w:r>
    </w:p>
    <w:p w14:paraId="60E5A008"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proofErr w:type="spellStart"/>
      <w:r w:rsidRPr="00A374A0">
        <w:rPr>
          <w:rFonts w:eastAsia="Times New Roman"/>
          <w:sz w:val="22"/>
          <w:szCs w:val="22"/>
        </w:rPr>
        <w:t>sorbency</w:t>
      </w:r>
      <w:proofErr w:type="spellEnd"/>
      <w:r w:rsidRPr="00A374A0">
        <w:rPr>
          <w:rFonts w:eastAsia="Times New Roman"/>
          <w:sz w:val="22"/>
          <w:szCs w:val="22"/>
        </w:rPr>
        <w:t xml:space="preserve"> value for hydrocarbons and for water as per this Technical </w:t>
      </w:r>
      <w:proofErr w:type="gramStart"/>
      <w:r w:rsidRPr="00A374A0">
        <w:rPr>
          <w:rFonts w:eastAsia="Times New Roman"/>
          <w:sz w:val="22"/>
          <w:szCs w:val="22"/>
        </w:rPr>
        <w:t>Specification;</w:t>
      </w:r>
      <w:proofErr w:type="gramEnd"/>
    </w:p>
    <w:p w14:paraId="7EC9A5BF"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 xml:space="preserve">conditions for exposure, handling and storage extracted from the safety data sheet as defined in ISO 11014-1 or European Directive 2001/58/EC </w:t>
      </w:r>
    </w:p>
    <w:p w14:paraId="007D626C" w14:textId="77777777" w:rsidR="00A374A0" w:rsidRPr="00A374A0" w:rsidRDefault="00D825BF" w:rsidP="00A374A0">
      <w:pPr>
        <w:pStyle w:val="ListParagraph"/>
        <w:numPr>
          <w:ilvl w:val="2"/>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statement of the obligations and the risks of using sorbents on roads:</w:t>
      </w:r>
    </w:p>
    <w:p w14:paraId="62DC4687" w14:textId="77777777" w:rsidR="00A374A0" w:rsidRPr="00A374A0" w:rsidRDefault="00D825BF" w:rsidP="00A374A0">
      <w:pPr>
        <w:pStyle w:val="ListParagraph"/>
        <w:numPr>
          <w:ilvl w:val="3"/>
          <w:numId w:val="3"/>
        </w:numPr>
        <w:spacing w:before="120" w:after="120" w:line="276" w:lineRule="auto"/>
        <w:ind w:hanging="1019"/>
        <w:contextualSpacing w:val="0"/>
        <w:jc w:val="both"/>
        <w:rPr>
          <w:rFonts w:eastAsia="Times New Roman"/>
          <w:sz w:val="22"/>
          <w:szCs w:val="22"/>
        </w:rPr>
      </w:pPr>
      <w:r w:rsidRPr="00A374A0">
        <w:rPr>
          <w:rFonts w:eastAsia="Times New Roman"/>
          <w:sz w:val="22"/>
          <w:szCs w:val="22"/>
        </w:rPr>
        <w:t>"Use of this product does not remove the risks presented by the original hazard."</w:t>
      </w:r>
    </w:p>
    <w:p w14:paraId="294DAF9D" w14:textId="77777777" w:rsidR="00A374A0" w:rsidRPr="00A374A0" w:rsidRDefault="00D825BF" w:rsidP="00A374A0">
      <w:pPr>
        <w:pStyle w:val="ListParagraph"/>
        <w:numPr>
          <w:ilvl w:val="3"/>
          <w:numId w:val="3"/>
        </w:numPr>
        <w:spacing w:before="120" w:after="120" w:line="276" w:lineRule="auto"/>
        <w:ind w:hanging="1019"/>
        <w:contextualSpacing w:val="0"/>
        <w:jc w:val="both"/>
        <w:rPr>
          <w:rFonts w:eastAsia="Times New Roman"/>
          <w:sz w:val="22"/>
          <w:szCs w:val="22"/>
        </w:rPr>
      </w:pPr>
      <w:r w:rsidRPr="00A374A0">
        <w:rPr>
          <w:rFonts w:eastAsia="Times New Roman"/>
          <w:sz w:val="22"/>
          <w:szCs w:val="22"/>
        </w:rPr>
        <w:t>"Treat used product with the same precautions."</w:t>
      </w:r>
    </w:p>
    <w:p w14:paraId="78DE73B3" w14:textId="77777777" w:rsidR="00A374A0" w:rsidRPr="00A374A0" w:rsidRDefault="00D825BF" w:rsidP="00A374A0">
      <w:pPr>
        <w:pStyle w:val="ListParagraph"/>
        <w:numPr>
          <w:ilvl w:val="3"/>
          <w:numId w:val="3"/>
        </w:numPr>
        <w:spacing w:before="120" w:after="120" w:line="276" w:lineRule="auto"/>
        <w:ind w:hanging="1019"/>
        <w:contextualSpacing w:val="0"/>
        <w:jc w:val="both"/>
        <w:rPr>
          <w:rFonts w:eastAsia="Times New Roman"/>
          <w:sz w:val="22"/>
          <w:szCs w:val="22"/>
        </w:rPr>
      </w:pPr>
      <w:r w:rsidRPr="00A374A0">
        <w:rPr>
          <w:rFonts w:eastAsia="Times New Roman"/>
          <w:sz w:val="22"/>
          <w:szCs w:val="22"/>
        </w:rPr>
        <w:t>"Used product should be removed from the road surface and collected, labelled and disposed of in accordance with the Hazardous Waste Regulations."</w:t>
      </w:r>
    </w:p>
    <w:p w14:paraId="31280375" w14:textId="77777777" w:rsidR="00D825BF" w:rsidRPr="00A374A0" w:rsidRDefault="00D825BF" w:rsidP="00A374A0">
      <w:pPr>
        <w:pStyle w:val="ListParagraph"/>
        <w:numPr>
          <w:ilvl w:val="3"/>
          <w:numId w:val="3"/>
        </w:numPr>
        <w:spacing w:before="120" w:after="120" w:line="276" w:lineRule="auto"/>
        <w:ind w:hanging="1019"/>
        <w:contextualSpacing w:val="0"/>
        <w:jc w:val="both"/>
        <w:rPr>
          <w:rFonts w:eastAsia="Times New Roman"/>
          <w:sz w:val="22"/>
          <w:szCs w:val="22"/>
        </w:rPr>
      </w:pPr>
      <w:r w:rsidRPr="00A374A0">
        <w:rPr>
          <w:rFonts w:eastAsia="Times New Roman"/>
          <w:sz w:val="22"/>
          <w:szCs w:val="22"/>
        </w:rPr>
        <w:t>any other information concerning health and safety in use shall be added to this marking including any relevant website or contact number.</w:t>
      </w:r>
    </w:p>
    <w:p w14:paraId="6A05A809" w14:textId="77777777" w:rsidR="00D825BF" w:rsidRPr="00A374A0" w:rsidRDefault="00D825BF" w:rsidP="00A374A0">
      <w:pPr>
        <w:spacing w:before="120" w:after="120" w:line="276" w:lineRule="auto"/>
        <w:jc w:val="both"/>
        <w:rPr>
          <w:rFonts w:eastAsia="Times New Roman"/>
          <w:sz w:val="22"/>
          <w:szCs w:val="22"/>
          <w:lang w:val="en-US"/>
        </w:rPr>
      </w:pPr>
    </w:p>
    <w:p w14:paraId="52F55F4E" w14:textId="77777777" w:rsidR="00D825BF" w:rsidRPr="00A374A0" w:rsidRDefault="00D825BF" w:rsidP="00A374A0">
      <w:pPr>
        <w:pStyle w:val="Heading3"/>
        <w:numPr>
          <w:ilvl w:val="0"/>
          <w:numId w:val="3"/>
        </w:numPr>
        <w:spacing w:before="120" w:after="120" w:line="276" w:lineRule="auto"/>
        <w:jc w:val="both"/>
        <w:rPr>
          <w:rFonts w:ascii="Arial" w:eastAsia="Times New Roman" w:hAnsi="Arial" w:cs="Arial"/>
          <w:b/>
          <w:color w:val="auto"/>
          <w:sz w:val="22"/>
          <w:szCs w:val="22"/>
          <w:lang w:val="en-US"/>
        </w:rPr>
      </w:pPr>
      <w:r w:rsidRPr="00A374A0">
        <w:rPr>
          <w:rFonts w:ascii="Arial" w:eastAsia="Times New Roman" w:hAnsi="Arial" w:cs="Arial"/>
          <w:b/>
          <w:color w:val="auto"/>
          <w:sz w:val="22"/>
          <w:szCs w:val="22"/>
          <w:lang w:val="en-US"/>
        </w:rPr>
        <w:lastRenderedPageBreak/>
        <w:t>Product Performance Requirements</w:t>
      </w:r>
    </w:p>
    <w:p w14:paraId="74F795F1" w14:textId="77777777" w:rsidR="00D825BF" w:rsidRPr="00A374A0" w:rsidRDefault="00D825BF" w:rsidP="00A374A0">
      <w:pPr>
        <w:spacing w:before="120" w:after="120" w:line="276" w:lineRule="auto"/>
        <w:jc w:val="both"/>
        <w:rPr>
          <w:rFonts w:eastAsia="Times New Roman"/>
          <w:b/>
          <w:i/>
          <w:sz w:val="22"/>
          <w:szCs w:val="22"/>
          <w:lang w:val="en-US"/>
        </w:rPr>
      </w:pPr>
      <w:r w:rsidRPr="00A374A0">
        <w:rPr>
          <w:rFonts w:eastAsia="Times New Roman"/>
          <w:b/>
          <w:i/>
          <w:sz w:val="22"/>
          <w:szCs w:val="22"/>
          <w:lang w:val="en-US"/>
        </w:rPr>
        <w:t>General</w:t>
      </w:r>
    </w:p>
    <w:p w14:paraId="5A39BBE3" w14:textId="77777777" w:rsidR="00D825BF" w:rsidRPr="00A374A0" w:rsidRDefault="00D825BF" w:rsidP="00A374A0">
      <w:pPr>
        <w:spacing w:before="120" w:after="120" w:line="276" w:lineRule="auto"/>
        <w:jc w:val="both"/>
        <w:rPr>
          <w:rFonts w:eastAsia="Times New Roman"/>
          <w:sz w:val="22"/>
          <w:szCs w:val="22"/>
          <w:lang w:val="en-US"/>
        </w:rPr>
      </w:pPr>
    </w:p>
    <w:p w14:paraId="5379294C"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sz w:val="22"/>
          <w:szCs w:val="22"/>
        </w:rPr>
        <w:t>No sorbent product is to be used that require specialised tools/equipment to remove them once applied to the road surface.  All contaminated sorbents should be readily removable by shovel and broom, in the case of small spillages or, in the case of larger spillages,</w:t>
      </w:r>
      <w:r w:rsidRPr="00A374A0" w:rsidDel="006810ED">
        <w:rPr>
          <w:rFonts w:eastAsia="Times New Roman"/>
          <w:sz w:val="22"/>
          <w:szCs w:val="22"/>
        </w:rPr>
        <w:t xml:space="preserve"> </w:t>
      </w:r>
      <w:proofErr w:type="gramStart"/>
      <w:r w:rsidRPr="00A374A0">
        <w:rPr>
          <w:rFonts w:eastAsia="Times New Roman"/>
          <w:sz w:val="22"/>
          <w:szCs w:val="22"/>
        </w:rPr>
        <w:t>by the use of</w:t>
      </w:r>
      <w:proofErr w:type="gramEnd"/>
      <w:r w:rsidRPr="00A374A0">
        <w:rPr>
          <w:rFonts w:eastAsia="Times New Roman"/>
          <w:sz w:val="22"/>
          <w:szCs w:val="22"/>
        </w:rPr>
        <w:t xml:space="preserve"> plant such as road sweepers and grab trucks.  </w:t>
      </w:r>
    </w:p>
    <w:p w14:paraId="41C8F396" w14:textId="77777777" w:rsidR="00D825BF" w:rsidRPr="00A374A0" w:rsidRDefault="00D825BF" w:rsidP="00A374A0">
      <w:pPr>
        <w:spacing w:before="120" w:after="120" w:line="276" w:lineRule="auto"/>
        <w:jc w:val="both"/>
        <w:rPr>
          <w:rFonts w:eastAsia="Times New Roman"/>
          <w:sz w:val="22"/>
          <w:szCs w:val="22"/>
          <w:lang w:val="en-US"/>
        </w:rPr>
      </w:pPr>
    </w:p>
    <w:p w14:paraId="6B5E59AC" w14:textId="77777777" w:rsidR="00D825BF" w:rsidRPr="00A374A0" w:rsidRDefault="00D825BF" w:rsidP="00A374A0">
      <w:pPr>
        <w:spacing w:before="120" w:after="120" w:line="276" w:lineRule="auto"/>
        <w:jc w:val="both"/>
        <w:rPr>
          <w:rFonts w:eastAsia="Times New Roman"/>
          <w:b/>
          <w:i/>
          <w:sz w:val="22"/>
          <w:szCs w:val="22"/>
          <w:lang w:val="en-US"/>
        </w:rPr>
      </w:pPr>
      <w:r w:rsidRPr="00A374A0">
        <w:rPr>
          <w:rFonts w:eastAsia="Times New Roman"/>
          <w:b/>
          <w:i/>
          <w:sz w:val="22"/>
          <w:szCs w:val="22"/>
          <w:lang w:val="en-US"/>
        </w:rPr>
        <w:t>Specific performance requirements</w:t>
      </w:r>
    </w:p>
    <w:p w14:paraId="44557715" w14:textId="77777777" w:rsid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proofErr w:type="gramStart"/>
      <w:r w:rsidRPr="00A374A0">
        <w:rPr>
          <w:rFonts w:eastAsia="Times New Roman"/>
          <w:sz w:val="22"/>
          <w:szCs w:val="22"/>
        </w:rPr>
        <w:t>A number of</w:t>
      </w:r>
      <w:proofErr w:type="gramEnd"/>
      <w:r w:rsidRPr="00A374A0">
        <w:rPr>
          <w:rFonts w:eastAsia="Times New Roman"/>
          <w:sz w:val="22"/>
          <w:szCs w:val="22"/>
        </w:rPr>
        <w:t xml:space="preserve"> standard laboratory test procedures have been identified which will quantify desired characteristics of sorbent products destined to be used on the Highway.  These tests will also help match the right type of product to a particular operational requirement.  This specification only relates to sorbents in the form of loose material (Type II as defined in BS 7959:2004 Pt 1).  These tests are to be undertaken in accordance with the requirements set out below and summarised in Table 1.</w:t>
      </w:r>
    </w:p>
    <w:p w14:paraId="435B1FF4" w14:textId="77777777" w:rsid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b/>
          <w:sz w:val="22"/>
          <w:szCs w:val="22"/>
        </w:rPr>
        <w:t>Classification</w:t>
      </w:r>
      <w:r w:rsidRPr="00A374A0">
        <w:rPr>
          <w:rFonts w:eastAsia="Times New Roman"/>
          <w:sz w:val="22"/>
          <w:szCs w:val="22"/>
        </w:rPr>
        <w:t xml:space="preserve"> - </w:t>
      </w:r>
      <w:proofErr w:type="gramStart"/>
      <w:r w:rsidRPr="00A374A0">
        <w:rPr>
          <w:rFonts w:eastAsia="Times New Roman"/>
          <w:sz w:val="22"/>
          <w:szCs w:val="22"/>
        </w:rPr>
        <w:t>In order to</w:t>
      </w:r>
      <w:proofErr w:type="gramEnd"/>
      <w:r w:rsidRPr="00A374A0">
        <w:rPr>
          <w:rFonts w:eastAsia="Times New Roman"/>
          <w:sz w:val="22"/>
          <w:szCs w:val="22"/>
        </w:rPr>
        <w:t xml:space="preserve"> identify the product type the product must be tested in accordance with ASTM F716-07 Section 11.2.3 to classify it as either as an absorbent or adsorbent.</w:t>
      </w:r>
    </w:p>
    <w:p w14:paraId="4BA8F2DB" w14:textId="77777777" w:rsid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b/>
          <w:sz w:val="22"/>
          <w:szCs w:val="22"/>
        </w:rPr>
        <w:t xml:space="preserve">Diesel </w:t>
      </w:r>
      <w:proofErr w:type="spellStart"/>
      <w:r w:rsidRPr="00A374A0">
        <w:rPr>
          <w:rFonts w:eastAsia="Times New Roman"/>
          <w:b/>
          <w:sz w:val="22"/>
          <w:szCs w:val="22"/>
        </w:rPr>
        <w:t>Sorbency</w:t>
      </w:r>
      <w:proofErr w:type="spellEnd"/>
      <w:r w:rsidRPr="00A374A0">
        <w:rPr>
          <w:rFonts w:eastAsia="Times New Roman"/>
          <w:sz w:val="22"/>
          <w:szCs w:val="22"/>
        </w:rPr>
        <w:t xml:space="preserve"> - A measure of diesel </w:t>
      </w:r>
      <w:proofErr w:type="spellStart"/>
      <w:r w:rsidRPr="00A374A0">
        <w:rPr>
          <w:rFonts w:eastAsia="Times New Roman"/>
          <w:sz w:val="22"/>
          <w:szCs w:val="22"/>
        </w:rPr>
        <w:t>sorbency</w:t>
      </w:r>
      <w:proofErr w:type="spellEnd"/>
      <w:r w:rsidRPr="00A374A0">
        <w:rPr>
          <w:rFonts w:eastAsia="Times New Roman"/>
          <w:sz w:val="22"/>
          <w:szCs w:val="22"/>
        </w:rPr>
        <w:t xml:space="preserve"> enables the weight of a given sorbent that would be needed to treat a given spillage.  This test is described in BS7959:2004 Pt 1 Section 7.  The product will be further sub-categorised based on results of test results into one of 2 categories either a class S1 (Sorbent can sorb </w:t>
      </w:r>
      <w:proofErr w:type="gramStart"/>
      <w:r w:rsidRPr="00A374A0">
        <w:rPr>
          <w:rFonts w:eastAsia="Times New Roman"/>
          <w:sz w:val="22"/>
          <w:szCs w:val="22"/>
        </w:rPr>
        <w:t>in excess of</w:t>
      </w:r>
      <w:proofErr w:type="gramEnd"/>
      <w:r w:rsidRPr="00A374A0">
        <w:rPr>
          <w:rFonts w:eastAsia="Times New Roman"/>
          <w:sz w:val="22"/>
          <w:szCs w:val="22"/>
        </w:rPr>
        <w:t xml:space="preserve"> its own weight of diesel) or a class S2 (</w:t>
      </w:r>
      <w:proofErr w:type="spellStart"/>
      <w:r w:rsidRPr="00A374A0">
        <w:rPr>
          <w:rFonts w:eastAsia="Times New Roman"/>
          <w:sz w:val="22"/>
          <w:szCs w:val="22"/>
        </w:rPr>
        <w:t>sorbency</w:t>
      </w:r>
      <w:proofErr w:type="spellEnd"/>
      <w:r w:rsidRPr="00A374A0">
        <w:rPr>
          <w:rFonts w:eastAsia="Times New Roman"/>
          <w:sz w:val="22"/>
          <w:szCs w:val="22"/>
        </w:rPr>
        <w:t xml:space="preserve"> performance of at least half of its own weight in diesel).  The time frames which have been identified within the test 2, 15 and 60 minutes allow for the discrimination of rapid low </w:t>
      </w:r>
      <w:proofErr w:type="spellStart"/>
      <w:r w:rsidRPr="00A374A0">
        <w:rPr>
          <w:rFonts w:eastAsia="Times New Roman"/>
          <w:sz w:val="22"/>
          <w:szCs w:val="22"/>
        </w:rPr>
        <w:t>sorbency</w:t>
      </w:r>
      <w:proofErr w:type="spellEnd"/>
      <w:r w:rsidRPr="00A374A0">
        <w:rPr>
          <w:rFonts w:eastAsia="Times New Roman"/>
          <w:sz w:val="22"/>
          <w:szCs w:val="22"/>
        </w:rPr>
        <w:t xml:space="preserve"> materials from progressive high </w:t>
      </w:r>
      <w:proofErr w:type="spellStart"/>
      <w:r w:rsidRPr="00A374A0">
        <w:rPr>
          <w:rFonts w:eastAsia="Times New Roman"/>
          <w:sz w:val="22"/>
          <w:szCs w:val="22"/>
        </w:rPr>
        <w:t>sorbency</w:t>
      </w:r>
      <w:proofErr w:type="spellEnd"/>
      <w:r w:rsidRPr="00A374A0">
        <w:rPr>
          <w:rFonts w:eastAsia="Times New Roman"/>
          <w:sz w:val="22"/>
          <w:szCs w:val="22"/>
        </w:rPr>
        <w:t xml:space="preserve"> ones: these characteristics can be matched to operational requirements.</w:t>
      </w:r>
    </w:p>
    <w:p w14:paraId="493680E1" w14:textId="77777777" w:rsid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b/>
          <w:sz w:val="22"/>
          <w:szCs w:val="22"/>
        </w:rPr>
        <w:t>Release of sorbed diesel</w:t>
      </w:r>
      <w:r w:rsidRPr="00A374A0">
        <w:rPr>
          <w:rFonts w:eastAsia="Times New Roman"/>
          <w:sz w:val="22"/>
          <w:szCs w:val="22"/>
        </w:rPr>
        <w:t xml:space="preserve"> - Once the product is saturated, loss of sorbed diesel in transit and into surrounding materials can be </w:t>
      </w:r>
      <w:proofErr w:type="spellStart"/>
      <w:r w:rsidRPr="00A374A0">
        <w:rPr>
          <w:rFonts w:eastAsia="Times New Roman"/>
          <w:sz w:val="22"/>
          <w:szCs w:val="22"/>
        </w:rPr>
        <w:t>assessed</w:t>
      </w:r>
      <w:proofErr w:type="spellEnd"/>
      <w:r w:rsidRPr="00A374A0">
        <w:rPr>
          <w:rFonts w:eastAsia="Times New Roman"/>
          <w:sz w:val="22"/>
          <w:szCs w:val="22"/>
        </w:rPr>
        <w:t xml:space="preserve"> </w:t>
      </w:r>
      <w:proofErr w:type="gramStart"/>
      <w:r w:rsidRPr="00A374A0">
        <w:rPr>
          <w:rFonts w:eastAsia="Times New Roman"/>
          <w:sz w:val="22"/>
          <w:szCs w:val="22"/>
        </w:rPr>
        <w:t>via  2</w:t>
      </w:r>
      <w:proofErr w:type="gramEnd"/>
      <w:r w:rsidRPr="00A374A0">
        <w:rPr>
          <w:rFonts w:eastAsia="Times New Roman"/>
          <w:sz w:val="22"/>
          <w:szCs w:val="22"/>
        </w:rPr>
        <w:t xml:space="preserve"> tests: </w:t>
      </w:r>
    </w:p>
    <w:p w14:paraId="491CA997" w14:textId="77777777" w:rsidR="00A374A0" w:rsidRDefault="00D825BF" w:rsidP="00A374A0">
      <w:pPr>
        <w:pStyle w:val="ListParagraph"/>
        <w:numPr>
          <w:ilvl w:val="2"/>
          <w:numId w:val="3"/>
        </w:numPr>
        <w:spacing w:before="120" w:after="120" w:line="276" w:lineRule="auto"/>
        <w:contextualSpacing w:val="0"/>
        <w:jc w:val="both"/>
        <w:rPr>
          <w:rFonts w:eastAsia="Times New Roman"/>
          <w:sz w:val="22"/>
          <w:szCs w:val="22"/>
        </w:rPr>
      </w:pPr>
      <w:r w:rsidRPr="00A374A0">
        <w:rPr>
          <w:rFonts w:eastAsia="Times New Roman"/>
          <w:sz w:val="22"/>
          <w:szCs w:val="22"/>
        </w:rPr>
        <w:t>ASTM F716-7 Section 11.5 – Provides a measure of the containment efficiency of the contaminated sorbent when in contact with other materials, this provides a measure of potential contamination of the road surface and/or land/watercourse from diesel loss from the contaminated sorbent post-usage.</w:t>
      </w:r>
    </w:p>
    <w:p w14:paraId="4C956C13" w14:textId="77777777" w:rsidR="00D825BF" w:rsidRPr="00A374A0" w:rsidRDefault="00D825BF" w:rsidP="00A374A0">
      <w:pPr>
        <w:pStyle w:val="ListParagraph"/>
        <w:numPr>
          <w:ilvl w:val="2"/>
          <w:numId w:val="3"/>
        </w:numPr>
        <w:spacing w:before="120" w:after="120" w:line="276" w:lineRule="auto"/>
        <w:contextualSpacing w:val="0"/>
        <w:jc w:val="both"/>
        <w:rPr>
          <w:rFonts w:eastAsia="Times New Roman"/>
          <w:sz w:val="22"/>
          <w:szCs w:val="22"/>
        </w:rPr>
      </w:pPr>
      <w:r w:rsidRPr="00A374A0">
        <w:rPr>
          <w:rFonts w:eastAsia="Times New Roman"/>
          <w:sz w:val="22"/>
          <w:szCs w:val="22"/>
        </w:rPr>
        <w:t>ASTM F726-06 Section 10 – Provides a measure of how much diesel could be lost from the saturated product if left on the SRN to be trafficked or if exposed to stresses in transit and subsequent storage.</w:t>
      </w:r>
    </w:p>
    <w:p w14:paraId="632EBCAA" w14:textId="77777777" w:rsid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b/>
          <w:sz w:val="22"/>
          <w:szCs w:val="22"/>
        </w:rPr>
        <w:t xml:space="preserve">Water </w:t>
      </w:r>
      <w:proofErr w:type="spellStart"/>
      <w:r w:rsidRPr="00A374A0">
        <w:rPr>
          <w:rFonts w:eastAsia="Times New Roman"/>
          <w:b/>
          <w:sz w:val="22"/>
          <w:szCs w:val="22"/>
        </w:rPr>
        <w:t>Sorbency</w:t>
      </w:r>
      <w:proofErr w:type="spellEnd"/>
      <w:r w:rsidRPr="00A374A0">
        <w:rPr>
          <w:rFonts w:eastAsia="Times New Roman"/>
          <w:b/>
          <w:sz w:val="22"/>
          <w:szCs w:val="22"/>
        </w:rPr>
        <w:t xml:space="preserve"> – </w:t>
      </w:r>
      <w:r w:rsidRPr="00A374A0">
        <w:rPr>
          <w:rFonts w:eastAsia="Times New Roman"/>
          <w:sz w:val="22"/>
          <w:szCs w:val="22"/>
        </w:rPr>
        <w:t xml:space="preserve">An informative test to measure the water sorption by weight, relative performance.  This test is used to determine any preferential loss of diesel </w:t>
      </w:r>
      <w:proofErr w:type="spellStart"/>
      <w:r w:rsidRPr="00A374A0">
        <w:rPr>
          <w:rFonts w:eastAsia="Times New Roman"/>
          <w:sz w:val="22"/>
          <w:szCs w:val="22"/>
        </w:rPr>
        <w:t>sorbency</w:t>
      </w:r>
      <w:proofErr w:type="spellEnd"/>
      <w:r w:rsidRPr="00A374A0">
        <w:rPr>
          <w:rFonts w:eastAsia="Times New Roman"/>
          <w:sz w:val="22"/>
          <w:szCs w:val="22"/>
        </w:rPr>
        <w:t xml:space="preserve"> from exposure to surface water or rain during deployment, or from moisture in storage.  High water </w:t>
      </w:r>
      <w:proofErr w:type="spellStart"/>
      <w:r w:rsidRPr="00A374A0">
        <w:rPr>
          <w:rFonts w:eastAsia="Times New Roman"/>
          <w:sz w:val="22"/>
          <w:szCs w:val="22"/>
        </w:rPr>
        <w:t>sorbency</w:t>
      </w:r>
      <w:proofErr w:type="spellEnd"/>
      <w:r w:rsidRPr="00A374A0">
        <w:rPr>
          <w:rFonts w:eastAsia="Times New Roman"/>
          <w:sz w:val="22"/>
          <w:szCs w:val="22"/>
        </w:rPr>
        <w:t xml:space="preserve"> is undesirable as it reduces the products ability to sorb diesel.</w:t>
      </w:r>
    </w:p>
    <w:p w14:paraId="3EC41495" w14:textId="77777777" w:rsidR="00D825BF" w:rsidRPr="00A374A0" w:rsidRDefault="00D825BF" w:rsidP="00A374A0">
      <w:pPr>
        <w:pStyle w:val="ListParagraph"/>
        <w:numPr>
          <w:ilvl w:val="1"/>
          <w:numId w:val="3"/>
        </w:numPr>
        <w:spacing w:before="120" w:after="120" w:line="276" w:lineRule="auto"/>
        <w:ind w:hanging="792"/>
        <w:contextualSpacing w:val="0"/>
        <w:jc w:val="both"/>
        <w:rPr>
          <w:rFonts w:eastAsia="Times New Roman"/>
          <w:sz w:val="22"/>
          <w:szCs w:val="22"/>
        </w:rPr>
      </w:pPr>
      <w:r w:rsidRPr="00A374A0">
        <w:rPr>
          <w:rFonts w:eastAsia="Times New Roman"/>
          <w:b/>
          <w:sz w:val="22"/>
          <w:szCs w:val="22"/>
        </w:rPr>
        <w:lastRenderedPageBreak/>
        <w:t xml:space="preserve">Wet Surface Friction – </w:t>
      </w:r>
      <w:r w:rsidRPr="00A374A0">
        <w:rPr>
          <w:rFonts w:eastAsia="Times New Roman"/>
          <w:sz w:val="22"/>
          <w:szCs w:val="22"/>
        </w:rPr>
        <w:t xml:space="preserve">An informative test to determine the impact to the SRT if the product is left on the SRN, rather than recovered.  Any product that meets the requirements of NF P98-190 (Annex A) demonstrates the highest level of residual skidding resistance if left on the road surface.  Therefore the product will be classed as F1.  In all other cases where the product does not meet the requirement or has been untested it will be classed as F2.  An F2 classification indicates that additional measures post-treatment will be </w:t>
      </w:r>
      <w:proofErr w:type="gramStart"/>
      <w:r w:rsidRPr="00A374A0">
        <w:rPr>
          <w:rFonts w:eastAsia="Times New Roman"/>
          <w:sz w:val="22"/>
          <w:szCs w:val="22"/>
        </w:rPr>
        <w:t>required</w:t>
      </w:r>
      <w:proofErr w:type="gramEnd"/>
      <w:r w:rsidRPr="00A374A0">
        <w:rPr>
          <w:rFonts w:eastAsia="Times New Roman"/>
          <w:sz w:val="22"/>
          <w:szCs w:val="22"/>
        </w:rPr>
        <w:t xml:space="preserve"> and that the product should not be left on the road surface after use.</w:t>
      </w:r>
    </w:p>
    <w:p w14:paraId="72A3D3EC" w14:textId="77777777" w:rsidR="00D825BF" w:rsidRPr="00D825BF" w:rsidRDefault="00D825BF" w:rsidP="00D825BF">
      <w:pPr>
        <w:spacing w:after="0" w:line="240" w:lineRule="auto"/>
        <w:rPr>
          <w:rFonts w:eastAsia="Times New Roman" w:cs="Times New Roman"/>
          <w:lang w:val="en-US"/>
        </w:rPr>
      </w:pPr>
    </w:p>
    <w:p w14:paraId="1A5A297F" w14:textId="77777777" w:rsidR="00D825BF" w:rsidRPr="00D825BF" w:rsidRDefault="00D825BF" w:rsidP="00A374A0">
      <w:pPr>
        <w:pStyle w:val="Heading2"/>
        <w:rPr>
          <w:rFonts w:eastAsia="Times New Roman"/>
        </w:rPr>
      </w:pPr>
      <w:r w:rsidRPr="00D825BF">
        <w:rPr>
          <w:rFonts w:eastAsia="Times New Roman"/>
        </w:rPr>
        <w:br w:type="page"/>
      </w:r>
      <w:r w:rsidRPr="00A374A0">
        <w:rPr>
          <w:rFonts w:ascii="Arial" w:eastAsia="Times New Roman" w:hAnsi="Arial" w:cs="Arial"/>
          <w:b/>
          <w:bCs/>
          <w:color w:val="auto"/>
          <w:sz w:val="22"/>
          <w:szCs w:val="22"/>
        </w:rPr>
        <w:lastRenderedPageBreak/>
        <w:t>Table 1 Summary of performance requirements</w:t>
      </w:r>
    </w:p>
    <w:p w14:paraId="0D0B940D" w14:textId="77777777" w:rsidR="00D825BF" w:rsidRPr="00D825BF" w:rsidRDefault="00D825BF" w:rsidP="00D825BF">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1970"/>
        <w:gridCol w:w="2268"/>
        <w:gridCol w:w="3119"/>
      </w:tblGrid>
      <w:tr w:rsidR="00D825BF" w:rsidRPr="00D825BF" w14:paraId="7D4FF019" w14:textId="77777777" w:rsidTr="00E76956">
        <w:tc>
          <w:tcPr>
            <w:tcW w:w="1540" w:type="dxa"/>
          </w:tcPr>
          <w:p w14:paraId="312363D5" w14:textId="77777777" w:rsidR="00D825BF" w:rsidRPr="00D825BF" w:rsidRDefault="00D825BF" w:rsidP="00D825BF">
            <w:pPr>
              <w:spacing w:after="0" w:line="240" w:lineRule="auto"/>
              <w:rPr>
                <w:rFonts w:eastAsia="Times New Roman"/>
                <w:b/>
                <w:sz w:val="20"/>
                <w:szCs w:val="20"/>
              </w:rPr>
            </w:pPr>
            <w:r w:rsidRPr="00D825BF">
              <w:rPr>
                <w:rFonts w:eastAsia="Times New Roman"/>
                <w:b/>
                <w:sz w:val="20"/>
                <w:szCs w:val="20"/>
              </w:rPr>
              <w:t>Sorbent Property</w:t>
            </w:r>
          </w:p>
          <w:p w14:paraId="0E27B00A" w14:textId="77777777" w:rsidR="00D825BF" w:rsidRPr="00D825BF" w:rsidRDefault="00D825BF" w:rsidP="00D825BF">
            <w:pPr>
              <w:spacing w:after="0" w:line="240" w:lineRule="auto"/>
              <w:rPr>
                <w:rFonts w:eastAsia="Times New Roman"/>
                <w:b/>
                <w:sz w:val="20"/>
                <w:szCs w:val="20"/>
              </w:rPr>
            </w:pPr>
          </w:p>
        </w:tc>
        <w:tc>
          <w:tcPr>
            <w:tcW w:w="1970" w:type="dxa"/>
          </w:tcPr>
          <w:p w14:paraId="40F3B644" w14:textId="77777777" w:rsidR="00D825BF" w:rsidRPr="00D825BF" w:rsidRDefault="00D825BF" w:rsidP="00D825BF">
            <w:pPr>
              <w:spacing w:after="0" w:line="240" w:lineRule="auto"/>
              <w:rPr>
                <w:rFonts w:eastAsia="Times New Roman"/>
                <w:b/>
                <w:sz w:val="20"/>
                <w:szCs w:val="20"/>
              </w:rPr>
            </w:pPr>
            <w:r w:rsidRPr="00D825BF">
              <w:rPr>
                <w:rFonts w:eastAsia="Times New Roman"/>
                <w:b/>
                <w:sz w:val="20"/>
                <w:szCs w:val="20"/>
              </w:rPr>
              <w:t>Test Protocol</w:t>
            </w:r>
          </w:p>
        </w:tc>
        <w:tc>
          <w:tcPr>
            <w:tcW w:w="2268" w:type="dxa"/>
          </w:tcPr>
          <w:p w14:paraId="33E71057" w14:textId="77777777" w:rsidR="00D825BF" w:rsidRPr="00D825BF" w:rsidRDefault="00D825BF" w:rsidP="00D825BF">
            <w:pPr>
              <w:spacing w:after="0" w:line="240" w:lineRule="auto"/>
              <w:rPr>
                <w:rFonts w:eastAsia="Times New Roman"/>
                <w:b/>
                <w:sz w:val="20"/>
                <w:szCs w:val="20"/>
              </w:rPr>
            </w:pPr>
            <w:r w:rsidRPr="00D825BF">
              <w:rPr>
                <w:rFonts w:eastAsia="Times New Roman"/>
                <w:b/>
                <w:sz w:val="20"/>
                <w:szCs w:val="20"/>
              </w:rPr>
              <w:t>Limits</w:t>
            </w:r>
          </w:p>
        </w:tc>
        <w:tc>
          <w:tcPr>
            <w:tcW w:w="3119" w:type="dxa"/>
          </w:tcPr>
          <w:p w14:paraId="5889C95F" w14:textId="77777777" w:rsidR="00D825BF" w:rsidRPr="00D825BF" w:rsidRDefault="00D825BF" w:rsidP="00D825BF">
            <w:pPr>
              <w:spacing w:after="0" w:line="240" w:lineRule="auto"/>
              <w:rPr>
                <w:rFonts w:eastAsia="Times New Roman"/>
                <w:b/>
                <w:sz w:val="20"/>
                <w:szCs w:val="20"/>
              </w:rPr>
            </w:pPr>
            <w:r w:rsidRPr="00D825BF">
              <w:rPr>
                <w:rFonts w:eastAsia="Times New Roman"/>
                <w:b/>
                <w:sz w:val="20"/>
                <w:szCs w:val="20"/>
              </w:rPr>
              <w:t xml:space="preserve">Performance Characteristic </w:t>
            </w:r>
          </w:p>
        </w:tc>
      </w:tr>
      <w:tr w:rsidR="00D825BF" w:rsidRPr="00D825BF" w14:paraId="7AF08B70" w14:textId="77777777" w:rsidTr="00E76956">
        <w:tc>
          <w:tcPr>
            <w:tcW w:w="1540" w:type="dxa"/>
          </w:tcPr>
          <w:p w14:paraId="305B2A17"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Classification of Sorbent as Absorbent or Adsorbent</w:t>
            </w:r>
          </w:p>
          <w:p w14:paraId="60061E4C" w14:textId="77777777" w:rsidR="00D825BF" w:rsidRPr="00D825BF" w:rsidRDefault="00D825BF" w:rsidP="00D825BF">
            <w:pPr>
              <w:spacing w:after="0" w:line="240" w:lineRule="auto"/>
              <w:rPr>
                <w:rFonts w:eastAsia="Times New Roman"/>
                <w:sz w:val="20"/>
                <w:szCs w:val="20"/>
              </w:rPr>
            </w:pPr>
          </w:p>
        </w:tc>
        <w:tc>
          <w:tcPr>
            <w:tcW w:w="1970" w:type="dxa"/>
          </w:tcPr>
          <w:p w14:paraId="44EAFD9C" w14:textId="77777777" w:rsidR="00D825BF" w:rsidRPr="00D825BF" w:rsidRDefault="00D825BF" w:rsidP="00D825BF">
            <w:pPr>
              <w:spacing w:after="0" w:line="240" w:lineRule="auto"/>
              <w:rPr>
                <w:rFonts w:eastAsia="Times New Roman"/>
                <w:sz w:val="20"/>
                <w:szCs w:val="20"/>
              </w:rPr>
            </w:pPr>
          </w:p>
          <w:p w14:paraId="4B94D5A5" w14:textId="77777777" w:rsidR="00D825BF" w:rsidRPr="00D825BF" w:rsidRDefault="00D825BF" w:rsidP="00D825BF">
            <w:pPr>
              <w:spacing w:after="0" w:line="240" w:lineRule="auto"/>
              <w:rPr>
                <w:rFonts w:eastAsia="Times New Roman"/>
                <w:sz w:val="20"/>
                <w:szCs w:val="20"/>
              </w:rPr>
            </w:pPr>
          </w:p>
          <w:p w14:paraId="41E153D6"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ASTM F716-07 section 11.2.3</w:t>
            </w:r>
          </w:p>
        </w:tc>
        <w:tc>
          <w:tcPr>
            <w:tcW w:w="2268" w:type="dxa"/>
          </w:tcPr>
          <w:p w14:paraId="07721EB3"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Informative: Classification as Absorbent or Adsorbent </w:t>
            </w:r>
          </w:p>
          <w:p w14:paraId="0628D205"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As determined by 11.2.3</w:t>
            </w:r>
          </w:p>
        </w:tc>
        <w:tc>
          <w:tcPr>
            <w:tcW w:w="3119" w:type="dxa"/>
          </w:tcPr>
          <w:p w14:paraId="388F713F"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 Measure of potential for subsequent contamination from the used sorbent</w:t>
            </w:r>
          </w:p>
        </w:tc>
      </w:tr>
      <w:tr w:rsidR="00D825BF" w:rsidRPr="00D825BF" w14:paraId="2720A14F" w14:textId="77777777" w:rsidTr="00E76956">
        <w:tc>
          <w:tcPr>
            <w:tcW w:w="1540" w:type="dxa"/>
            <w:vMerge w:val="restart"/>
          </w:tcPr>
          <w:p w14:paraId="4E4AD54E"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Diesel </w:t>
            </w:r>
            <w:proofErr w:type="spellStart"/>
            <w:r w:rsidRPr="00D825BF">
              <w:rPr>
                <w:rFonts w:eastAsia="Times New Roman"/>
                <w:sz w:val="20"/>
                <w:szCs w:val="20"/>
              </w:rPr>
              <w:t>Sorbency</w:t>
            </w:r>
            <w:proofErr w:type="spellEnd"/>
          </w:p>
        </w:tc>
        <w:tc>
          <w:tcPr>
            <w:tcW w:w="1970" w:type="dxa"/>
            <w:vMerge w:val="restart"/>
          </w:tcPr>
          <w:p w14:paraId="6DB7D7F5"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BS 7959: 2004 Pt 1 Section 7</w:t>
            </w:r>
          </w:p>
        </w:tc>
        <w:tc>
          <w:tcPr>
            <w:tcW w:w="2268" w:type="dxa"/>
          </w:tcPr>
          <w:p w14:paraId="64992489"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Class S1 </w:t>
            </w:r>
            <w:proofErr w:type="spellStart"/>
            <w:r w:rsidRPr="00D825BF">
              <w:rPr>
                <w:rFonts w:eastAsia="Times New Roman"/>
                <w:sz w:val="20"/>
                <w:szCs w:val="20"/>
              </w:rPr>
              <w:t>sorbency</w:t>
            </w:r>
            <w:proofErr w:type="spellEnd"/>
            <w:r w:rsidRPr="00D825BF">
              <w:rPr>
                <w:rFonts w:eastAsia="Times New Roman"/>
                <w:sz w:val="20"/>
                <w:szCs w:val="20"/>
              </w:rPr>
              <w:t xml:space="preserve"> &gt;100% by weight (From </w:t>
            </w:r>
            <w:r w:rsidRPr="00D825BF">
              <w:rPr>
                <w:rFonts w:eastAsia="Times New Roman"/>
                <w:sz w:val="20"/>
                <w:szCs w:val="20"/>
                <w:lang w:eastAsia="en-GB"/>
              </w:rPr>
              <w:t>NF T 90-361</w:t>
            </w:r>
            <w:r w:rsidRPr="00D825BF">
              <w:rPr>
                <w:rFonts w:eastAsia="Times New Roman"/>
                <w:sz w:val="20"/>
                <w:szCs w:val="20"/>
              </w:rPr>
              <w:t>)</w:t>
            </w:r>
          </w:p>
          <w:p w14:paraId="3DEEC669" w14:textId="77777777" w:rsidR="00D825BF" w:rsidRPr="00D825BF" w:rsidRDefault="00D825BF" w:rsidP="00D825BF">
            <w:pPr>
              <w:spacing w:after="0" w:line="240" w:lineRule="auto"/>
              <w:rPr>
                <w:rFonts w:eastAsia="Times New Roman"/>
                <w:sz w:val="20"/>
                <w:szCs w:val="20"/>
              </w:rPr>
            </w:pPr>
          </w:p>
          <w:p w14:paraId="42E75071"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Class S2 </w:t>
            </w:r>
            <w:proofErr w:type="spellStart"/>
            <w:r w:rsidRPr="00D825BF">
              <w:rPr>
                <w:rFonts w:eastAsia="Times New Roman"/>
                <w:sz w:val="20"/>
                <w:szCs w:val="20"/>
              </w:rPr>
              <w:t>sorbency</w:t>
            </w:r>
            <w:proofErr w:type="spellEnd"/>
            <w:r w:rsidRPr="00D825BF">
              <w:rPr>
                <w:rFonts w:eastAsia="Times New Roman"/>
                <w:sz w:val="20"/>
                <w:szCs w:val="20"/>
              </w:rPr>
              <w:t xml:space="preserve"> &gt;50% by weight (From DD CEN TS 15366:2009)</w:t>
            </w:r>
          </w:p>
          <w:p w14:paraId="3656B9AB" w14:textId="77777777" w:rsidR="00D825BF" w:rsidRPr="00D825BF" w:rsidRDefault="00D825BF" w:rsidP="00D825BF">
            <w:pPr>
              <w:spacing w:after="0" w:line="240" w:lineRule="auto"/>
              <w:rPr>
                <w:rFonts w:eastAsia="Times New Roman"/>
                <w:sz w:val="20"/>
                <w:szCs w:val="20"/>
              </w:rPr>
            </w:pPr>
          </w:p>
        </w:tc>
        <w:tc>
          <w:tcPr>
            <w:tcW w:w="3119" w:type="dxa"/>
          </w:tcPr>
          <w:p w14:paraId="43B6513A"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A measure of diesel </w:t>
            </w:r>
            <w:proofErr w:type="spellStart"/>
            <w:r w:rsidRPr="00D825BF">
              <w:rPr>
                <w:rFonts w:eastAsia="Times New Roman"/>
                <w:sz w:val="20"/>
                <w:szCs w:val="20"/>
              </w:rPr>
              <w:t>Sorbency</w:t>
            </w:r>
            <w:proofErr w:type="spellEnd"/>
            <w:r w:rsidRPr="00D825BF">
              <w:rPr>
                <w:rFonts w:eastAsia="Times New Roman"/>
                <w:sz w:val="20"/>
                <w:szCs w:val="20"/>
              </w:rPr>
              <w:t xml:space="preserve"> by weight to assess likely weight of product needed to treat any given </w:t>
            </w:r>
            <w:proofErr w:type="gramStart"/>
            <w:r w:rsidRPr="00D825BF">
              <w:rPr>
                <w:rFonts w:eastAsia="Times New Roman"/>
                <w:sz w:val="20"/>
                <w:szCs w:val="20"/>
              </w:rPr>
              <w:t>spillage</w:t>
            </w:r>
            <w:proofErr w:type="gramEnd"/>
          </w:p>
          <w:p w14:paraId="45FB0818" w14:textId="77777777" w:rsidR="00D825BF" w:rsidRPr="00D825BF" w:rsidRDefault="00D825BF" w:rsidP="00D825BF">
            <w:pPr>
              <w:spacing w:after="0" w:line="240" w:lineRule="auto"/>
              <w:rPr>
                <w:rFonts w:eastAsia="Times New Roman"/>
                <w:sz w:val="20"/>
                <w:szCs w:val="20"/>
              </w:rPr>
            </w:pPr>
          </w:p>
          <w:p w14:paraId="4580008F" w14:textId="77777777" w:rsidR="00D825BF" w:rsidRPr="00D825BF" w:rsidRDefault="00D825BF" w:rsidP="00D825BF">
            <w:pPr>
              <w:spacing w:after="0" w:line="240" w:lineRule="auto"/>
              <w:rPr>
                <w:rFonts w:eastAsia="Times New Roman"/>
                <w:sz w:val="20"/>
                <w:szCs w:val="20"/>
              </w:rPr>
            </w:pPr>
            <w:r w:rsidRPr="00D825BF">
              <w:rPr>
                <w:rFonts w:eastAsia="Times New Roman"/>
                <w:b/>
                <w:sz w:val="20"/>
                <w:szCs w:val="20"/>
              </w:rPr>
              <w:t>Class S1</w:t>
            </w:r>
            <w:r w:rsidRPr="00D825BF">
              <w:rPr>
                <w:rFonts w:eastAsia="Times New Roman"/>
                <w:sz w:val="20"/>
                <w:szCs w:val="20"/>
              </w:rPr>
              <w:t xml:space="preserve"> – Highest rating as product exceeds </w:t>
            </w:r>
            <w:proofErr w:type="spellStart"/>
            <w:r w:rsidRPr="00D825BF">
              <w:rPr>
                <w:rFonts w:eastAsia="Times New Roman"/>
                <w:sz w:val="20"/>
                <w:szCs w:val="20"/>
              </w:rPr>
              <w:t>sorbency</w:t>
            </w:r>
            <w:proofErr w:type="spellEnd"/>
            <w:r w:rsidRPr="00D825BF">
              <w:rPr>
                <w:rFonts w:eastAsia="Times New Roman"/>
                <w:sz w:val="20"/>
                <w:szCs w:val="20"/>
              </w:rPr>
              <w:t xml:space="preserve"> of its own </w:t>
            </w:r>
            <w:proofErr w:type="gramStart"/>
            <w:r w:rsidRPr="00D825BF">
              <w:rPr>
                <w:rFonts w:eastAsia="Times New Roman"/>
                <w:sz w:val="20"/>
                <w:szCs w:val="20"/>
              </w:rPr>
              <w:t>weight</w:t>
            </w:r>
            <w:proofErr w:type="gramEnd"/>
          </w:p>
          <w:p w14:paraId="049F31CB" w14:textId="77777777" w:rsidR="00D825BF" w:rsidRPr="00D825BF" w:rsidRDefault="00D825BF" w:rsidP="00D825BF">
            <w:pPr>
              <w:spacing w:after="0" w:line="240" w:lineRule="auto"/>
              <w:rPr>
                <w:rFonts w:eastAsia="Times New Roman"/>
                <w:sz w:val="20"/>
                <w:szCs w:val="20"/>
              </w:rPr>
            </w:pPr>
          </w:p>
          <w:p w14:paraId="0D0B34A9" w14:textId="77777777" w:rsidR="00D825BF" w:rsidRPr="00D825BF" w:rsidRDefault="00D825BF" w:rsidP="00D825BF">
            <w:pPr>
              <w:spacing w:after="0" w:line="240" w:lineRule="auto"/>
              <w:rPr>
                <w:rFonts w:eastAsia="Times New Roman"/>
                <w:sz w:val="20"/>
                <w:szCs w:val="20"/>
              </w:rPr>
            </w:pPr>
            <w:r w:rsidRPr="00D825BF">
              <w:rPr>
                <w:rFonts w:eastAsia="Times New Roman"/>
                <w:b/>
                <w:sz w:val="20"/>
                <w:szCs w:val="20"/>
              </w:rPr>
              <w:t>Class S2</w:t>
            </w:r>
            <w:r w:rsidRPr="00D825BF">
              <w:rPr>
                <w:rFonts w:eastAsia="Times New Roman"/>
                <w:sz w:val="20"/>
                <w:szCs w:val="20"/>
              </w:rPr>
              <w:t xml:space="preserve"> – A product which achieves a </w:t>
            </w:r>
            <w:proofErr w:type="spellStart"/>
            <w:r w:rsidRPr="00D825BF">
              <w:rPr>
                <w:rFonts w:eastAsia="Times New Roman"/>
                <w:sz w:val="20"/>
                <w:szCs w:val="20"/>
              </w:rPr>
              <w:t>sorbency</w:t>
            </w:r>
            <w:proofErr w:type="spellEnd"/>
            <w:r w:rsidRPr="00D825BF">
              <w:rPr>
                <w:rFonts w:eastAsia="Times New Roman"/>
                <w:sz w:val="20"/>
                <w:szCs w:val="20"/>
              </w:rPr>
              <w:t xml:space="preserve"> of at least half its own weight</w:t>
            </w:r>
          </w:p>
        </w:tc>
      </w:tr>
      <w:tr w:rsidR="00D825BF" w:rsidRPr="00D825BF" w14:paraId="746C0CE7" w14:textId="77777777" w:rsidTr="00E76956">
        <w:tc>
          <w:tcPr>
            <w:tcW w:w="1540" w:type="dxa"/>
            <w:vMerge/>
          </w:tcPr>
          <w:p w14:paraId="53128261" w14:textId="77777777" w:rsidR="00D825BF" w:rsidRPr="00D825BF" w:rsidRDefault="00D825BF" w:rsidP="00D825BF">
            <w:pPr>
              <w:spacing w:after="0" w:line="240" w:lineRule="auto"/>
              <w:rPr>
                <w:rFonts w:eastAsia="Times New Roman"/>
                <w:sz w:val="20"/>
                <w:szCs w:val="20"/>
              </w:rPr>
            </w:pPr>
          </w:p>
        </w:tc>
        <w:tc>
          <w:tcPr>
            <w:tcW w:w="1970" w:type="dxa"/>
            <w:vMerge/>
          </w:tcPr>
          <w:p w14:paraId="62486C05" w14:textId="77777777" w:rsidR="00D825BF" w:rsidRPr="00D825BF" w:rsidRDefault="00D825BF" w:rsidP="00D825BF">
            <w:pPr>
              <w:spacing w:after="0" w:line="240" w:lineRule="auto"/>
              <w:rPr>
                <w:rFonts w:eastAsia="Times New Roman"/>
                <w:sz w:val="20"/>
                <w:szCs w:val="20"/>
              </w:rPr>
            </w:pPr>
          </w:p>
        </w:tc>
        <w:tc>
          <w:tcPr>
            <w:tcW w:w="2268" w:type="dxa"/>
          </w:tcPr>
          <w:p w14:paraId="366316DA"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Informative: establish the </w:t>
            </w:r>
            <w:proofErr w:type="spellStart"/>
            <w:r w:rsidRPr="00D825BF">
              <w:rPr>
                <w:rFonts w:eastAsia="Times New Roman"/>
                <w:sz w:val="20"/>
                <w:szCs w:val="20"/>
              </w:rPr>
              <w:t>sorbency</w:t>
            </w:r>
            <w:proofErr w:type="spellEnd"/>
            <w:r w:rsidRPr="00D825BF">
              <w:rPr>
                <w:rFonts w:eastAsia="Times New Roman"/>
                <w:sz w:val="20"/>
                <w:szCs w:val="20"/>
              </w:rPr>
              <w:t xml:space="preserve"> at </w:t>
            </w:r>
          </w:p>
          <w:p w14:paraId="7A049388"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2, 15 &amp; 60 minutes</w:t>
            </w:r>
          </w:p>
        </w:tc>
        <w:tc>
          <w:tcPr>
            <w:tcW w:w="3119" w:type="dxa"/>
          </w:tcPr>
          <w:p w14:paraId="0D8372D6"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A discriminator between short-term rapid, and </w:t>
            </w:r>
            <w:proofErr w:type="gramStart"/>
            <w:r w:rsidRPr="00D825BF">
              <w:rPr>
                <w:rFonts w:eastAsia="Times New Roman"/>
                <w:sz w:val="20"/>
                <w:szCs w:val="20"/>
              </w:rPr>
              <w:t>longer term</w:t>
            </w:r>
            <w:proofErr w:type="gramEnd"/>
            <w:r w:rsidRPr="00D825BF">
              <w:rPr>
                <w:rFonts w:eastAsia="Times New Roman"/>
                <w:sz w:val="20"/>
                <w:szCs w:val="20"/>
              </w:rPr>
              <w:t xml:space="preserve"> progressive sorbent characteristics</w:t>
            </w:r>
          </w:p>
        </w:tc>
      </w:tr>
      <w:tr w:rsidR="00D825BF" w:rsidRPr="00D825BF" w14:paraId="5EC0C39B" w14:textId="77777777" w:rsidTr="00E76956">
        <w:tc>
          <w:tcPr>
            <w:tcW w:w="1540" w:type="dxa"/>
            <w:vMerge w:val="restart"/>
          </w:tcPr>
          <w:p w14:paraId="56C72FEA"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Release of Entrained Diesel from Sorbent to Other Products</w:t>
            </w:r>
          </w:p>
        </w:tc>
        <w:tc>
          <w:tcPr>
            <w:tcW w:w="1970" w:type="dxa"/>
          </w:tcPr>
          <w:p w14:paraId="009A4F6C"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ASTM F716-07 Section 11.5</w:t>
            </w:r>
          </w:p>
        </w:tc>
        <w:tc>
          <w:tcPr>
            <w:tcW w:w="2268" w:type="dxa"/>
          </w:tcPr>
          <w:p w14:paraId="0FCCA067"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 Informative: Maximum Effective Pickup and Maximum Practical Pickup</w:t>
            </w:r>
          </w:p>
        </w:tc>
        <w:tc>
          <w:tcPr>
            <w:tcW w:w="3119" w:type="dxa"/>
          </w:tcPr>
          <w:p w14:paraId="4C66DEC6"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A measure of the level of </w:t>
            </w:r>
            <w:proofErr w:type="spellStart"/>
            <w:r w:rsidRPr="00D825BF">
              <w:rPr>
                <w:rFonts w:eastAsia="Times New Roman"/>
                <w:sz w:val="20"/>
                <w:szCs w:val="20"/>
              </w:rPr>
              <w:t>sorbency</w:t>
            </w:r>
            <w:proofErr w:type="spellEnd"/>
            <w:r w:rsidRPr="00D825BF">
              <w:rPr>
                <w:rFonts w:eastAsia="Times New Roman"/>
                <w:sz w:val="20"/>
                <w:szCs w:val="20"/>
              </w:rPr>
              <w:t xml:space="preserve"> achieved before Transfer of diesel occurs on to adjacent materials </w:t>
            </w:r>
          </w:p>
        </w:tc>
      </w:tr>
      <w:tr w:rsidR="00D825BF" w:rsidRPr="00D825BF" w14:paraId="6AA43B76" w14:textId="77777777" w:rsidTr="00E76956">
        <w:tc>
          <w:tcPr>
            <w:tcW w:w="1540" w:type="dxa"/>
            <w:vMerge/>
          </w:tcPr>
          <w:p w14:paraId="4101652C" w14:textId="77777777" w:rsidR="00D825BF" w:rsidRPr="00D825BF" w:rsidRDefault="00D825BF" w:rsidP="00D825BF">
            <w:pPr>
              <w:spacing w:after="0" w:line="240" w:lineRule="auto"/>
              <w:rPr>
                <w:rFonts w:eastAsia="Times New Roman"/>
                <w:sz w:val="20"/>
                <w:szCs w:val="20"/>
              </w:rPr>
            </w:pPr>
          </w:p>
        </w:tc>
        <w:tc>
          <w:tcPr>
            <w:tcW w:w="1970" w:type="dxa"/>
          </w:tcPr>
          <w:p w14:paraId="5C71AE38"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ASTM F726-06</w:t>
            </w:r>
          </w:p>
          <w:p w14:paraId="0158CAAE"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Section 10</w:t>
            </w:r>
          </w:p>
        </w:tc>
        <w:tc>
          <w:tcPr>
            <w:tcW w:w="2268" w:type="dxa"/>
          </w:tcPr>
          <w:p w14:paraId="04E50A5E"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Informative: Susceptibility for a contaminated sorbent to lose diesel</w:t>
            </w:r>
          </w:p>
        </w:tc>
        <w:tc>
          <w:tcPr>
            <w:tcW w:w="3119" w:type="dxa"/>
          </w:tcPr>
          <w:p w14:paraId="24D89C87"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 means of establishing the likely loss of entrained diesel from contaminated sorbent.</w:t>
            </w:r>
          </w:p>
        </w:tc>
      </w:tr>
      <w:tr w:rsidR="00D825BF" w:rsidRPr="00D825BF" w14:paraId="0CF922A7" w14:textId="77777777" w:rsidTr="00E76956">
        <w:tc>
          <w:tcPr>
            <w:tcW w:w="1540" w:type="dxa"/>
          </w:tcPr>
          <w:p w14:paraId="2D2B2A7B"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Water </w:t>
            </w:r>
            <w:proofErr w:type="spellStart"/>
            <w:r w:rsidRPr="00D825BF">
              <w:rPr>
                <w:rFonts w:eastAsia="Times New Roman"/>
                <w:sz w:val="20"/>
                <w:szCs w:val="20"/>
              </w:rPr>
              <w:t>Sorbency</w:t>
            </w:r>
            <w:proofErr w:type="spellEnd"/>
            <w:r w:rsidRPr="00D825BF">
              <w:rPr>
                <w:rFonts w:eastAsia="Times New Roman"/>
                <w:sz w:val="20"/>
                <w:szCs w:val="20"/>
              </w:rPr>
              <w:t xml:space="preserve"> </w:t>
            </w:r>
          </w:p>
        </w:tc>
        <w:tc>
          <w:tcPr>
            <w:tcW w:w="1970" w:type="dxa"/>
          </w:tcPr>
          <w:p w14:paraId="32CC7F9D"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ASTM F726-06 Section 9.2.2</w:t>
            </w:r>
          </w:p>
        </w:tc>
        <w:tc>
          <w:tcPr>
            <w:tcW w:w="2268" w:type="dxa"/>
          </w:tcPr>
          <w:p w14:paraId="31055395"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Informative: Susceptibility for a sorbent to pick up water as well as diesel. </w:t>
            </w:r>
          </w:p>
        </w:tc>
        <w:tc>
          <w:tcPr>
            <w:tcW w:w="3119" w:type="dxa"/>
          </w:tcPr>
          <w:p w14:paraId="5B016FD2"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A measure of water sorption by weight, relative performance (high water </w:t>
            </w:r>
            <w:proofErr w:type="spellStart"/>
            <w:r w:rsidRPr="00D825BF">
              <w:rPr>
                <w:rFonts w:eastAsia="Times New Roman"/>
                <w:sz w:val="20"/>
                <w:szCs w:val="20"/>
              </w:rPr>
              <w:t>sorbency</w:t>
            </w:r>
            <w:proofErr w:type="spellEnd"/>
            <w:r w:rsidRPr="00D825BF">
              <w:rPr>
                <w:rFonts w:eastAsia="Times New Roman"/>
                <w:sz w:val="20"/>
                <w:szCs w:val="20"/>
              </w:rPr>
              <w:t xml:space="preserve"> is undesirable as it reduces the products ability to sorb diesel)</w:t>
            </w:r>
          </w:p>
          <w:p w14:paraId="4B99056E" w14:textId="77777777" w:rsidR="00D825BF" w:rsidRPr="00D825BF" w:rsidRDefault="00D825BF" w:rsidP="00D825BF">
            <w:pPr>
              <w:spacing w:after="0" w:line="240" w:lineRule="auto"/>
              <w:rPr>
                <w:rFonts w:eastAsia="Times New Roman"/>
                <w:sz w:val="20"/>
                <w:szCs w:val="20"/>
              </w:rPr>
            </w:pPr>
          </w:p>
        </w:tc>
      </w:tr>
      <w:tr w:rsidR="00D825BF" w:rsidRPr="00D825BF" w14:paraId="665B9495" w14:textId="77777777" w:rsidTr="00E76956">
        <w:trPr>
          <w:trHeight w:val="2933"/>
        </w:trPr>
        <w:tc>
          <w:tcPr>
            <w:tcW w:w="1540" w:type="dxa"/>
          </w:tcPr>
          <w:p w14:paraId="7A0FD51E"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Influence of Sorbent on Wet Friction </w:t>
            </w:r>
          </w:p>
        </w:tc>
        <w:tc>
          <w:tcPr>
            <w:tcW w:w="1970" w:type="dxa"/>
          </w:tcPr>
          <w:p w14:paraId="1299C43A" w14:textId="77777777" w:rsidR="00D825BF" w:rsidRPr="00D825BF" w:rsidRDefault="00D825BF" w:rsidP="00D825BF">
            <w:pPr>
              <w:spacing w:after="0" w:line="240" w:lineRule="auto"/>
              <w:rPr>
                <w:rFonts w:eastAsia="Times New Roman"/>
                <w:sz w:val="20"/>
                <w:szCs w:val="20"/>
              </w:rPr>
            </w:pPr>
          </w:p>
          <w:p w14:paraId="7AE50A14"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AFNOR NF P98-190 (Annex A requirement)</w:t>
            </w:r>
          </w:p>
          <w:p w14:paraId="4DDBEF00" w14:textId="77777777" w:rsidR="00D825BF" w:rsidRPr="00D825BF" w:rsidRDefault="00D825BF" w:rsidP="00D825BF">
            <w:pPr>
              <w:spacing w:after="0" w:line="240" w:lineRule="auto"/>
              <w:rPr>
                <w:rFonts w:eastAsia="Times New Roman"/>
                <w:sz w:val="20"/>
                <w:szCs w:val="20"/>
              </w:rPr>
            </w:pPr>
          </w:p>
          <w:p w14:paraId="3461D779" w14:textId="77777777" w:rsidR="00D825BF" w:rsidRPr="00D825BF" w:rsidRDefault="00D825BF" w:rsidP="00D825BF">
            <w:pPr>
              <w:spacing w:after="0" w:line="240" w:lineRule="auto"/>
              <w:rPr>
                <w:rFonts w:eastAsia="Times New Roman"/>
                <w:sz w:val="20"/>
                <w:szCs w:val="20"/>
              </w:rPr>
            </w:pPr>
          </w:p>
          <w:p w14:paraId="3CF2D8B6" w14:textId="77777777" w:rsidR="00D825BF" w:rsidRPr="00D825BF" w:rsidRDefault="00D825BF" w:rsidP="00D825BF">
            <w:pPr>
              <w:spacing w:after="0" w:line="240" w:lineRule="auto"/>
              <w:rPr>
                <w:rFonts w:eastAsia="Times New Roman"/>
                <w:sz w:val="20"/>
                <w:szCs w:val="20"/>
              </w:rPr>
            </w:pPr>
          </w:p>
        </w:tc>
        <w:tc>
          <w:tcPr>
            <w:tcW w:w="2268" w:type="dxa"/>
          </w:tcPr>
          <w:p w14:paraId="0FB78278" w14:textId="77777777" w:rsidR="00D825BF" w:rsidRPr="00D825BF" w:rsidRDefault="00D825BF" w:rsidP="00D825BF">
            <w:pPr>
              <w:spacing w:after="0" w:line="240" w:lineRule="auto"/>
              <w:rPr>
                <w:rFonts w:eastAsia="Times New Roman"/>
                <w:sz w:val="20"/>
                <w:szCs w:val="20"/>
              </w:rPr>
            </w:pPr>
          </w:p>
          <w:p w14:paraId="488EED70"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Class F1 rating if product </w:t>
            </w:r>
            <w:proofErr w:type="gramStart"/>
            <w:r w:rsidRPr="00D825BF">
              <w:rPr>
                <w:rFonts w:eastAsia="Times New Roman"/>
                <w:sz w:val="20"/>
                <w:szCs w:val="20"/>
              </w:rPr>
              <w:t>achieves</w:t>
            </w:r>
            <w:proofErr w:type="gramEnd"/>
            <w:r w:rsidRPr="00D825BF">
              <w:rPr>
                <w:rFonts w:eastAsia="Times New Roman"/>
                <w:sz w:val="20"/>
                <w:szCs w:val="20"/>
              </w:rPr>
              <w:t xml:space="preserve"> </w:t>
            </w:r>
          </w:p>
          <w:p w14:paraId="097100E0"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≥90 % SRT initial Coefficient.</w:t>
            </w:r>
          </w:p>
          <w:p w14:paraId="1FC39945" w14:textId="77777777" w:rsidR="00D825BF" w:rsidRPr="00D825BF" w:rsidRDefault="00D825BF" w:rsidP="00D825BF">
            <w:pPr>
              <w:spacing w:after="0" w:line="240" w:lineRule="auto"/>
              <w:rPr>
                <w:rFonts w:eastAsia="Times New Roman"/>
                <w:sz w:val="20"/>
                <w:szCs w:val="20"/>
              </w:rPr>
            </w:pPr>
          </w:p>
          <w:p w14:paraId="0562CB0E" w14:textId="77777777" w:rsidR="00D825BF" w:rsidRPr="00D825BF" w:rsidRDefault="00D825BF" w:rsidP="00D825BF">
            <w:pPr>
              <w:spacing w:after="0" w:line="240" w:lineRule="auto"/>
              <w:rPr>
                <w:rFonts w:eastAsia="Times New Roman"/>
                <w:sz w:val="20"/>
                <w:szCs w:val="20"/>
              </w:rPr>
            </w:pPr>
          </w:p>
          <w:p w14:paraId="7ED995E6"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 xml:space="preserve">Class F2 rating if product </w:t>
            </w:r>
            <w:proofErr w:type="gramStart"/>
            <w:r w:rsidRPr="00D825BF">
              <w:rPr>
                <w:rFonts w:eastAsia="Times New Roman"/>
                <w:sz w:val="20"/>
                <w:szCs w:val="20"/>
              </w:rPr>
              <w:t>achieves</w:t>
            </w:r>
            <w:proofErr w:type="gramEnd"/>
            <w:r w:rsidRPr="00D825BF">
              <w:rPr>
                <w:rFonts w:eastAsia="Times New Roman"/>
                <w:sz w:val="20"/>
                <w:szCs w:val="20"/>
              </w:rPr>
              <w:t xml:space="preserve"> </w:t>
            </w:r>
          </w:p>
          <w:p w14:paraId="3C726B24" w14:textId="77777777" w:rsidR="00D825BF" w:rsidRPr="00D825BF" w:rsidRDefault="00D825BF" w:rsidP="00D825BF">
            <w:pPr>
              <w:spacing w:after="0" w:line="240" w:lineRule="auto"/>
              <w:rPr>
                <w:rFonts w:eastAsia="Times New Roman"/>
                <w:sz w:val="20"/>
                <w:szCs w:val="20"/>
              </w:rPr>
            </w:pPr>
            <w:r w:rsidRPr="00D825BF">
              <w:rPr>
                <w:rFonts w:eastAsia="Times New Roman"/>
                <w:sz w:val="20"/>
                <w:szCs w:val="20"/>
              </w:rPr>
              <w:t>&lt;90 % SRT initial Coefficient.</w:t>
            </w:r>
          </w:p>
        </w:tc>
        <w:tc>
          <w:tcPr>
            <w:tcW w:w="3119" w:type="dxa"/>
          </w:tcPr>
          <w:p w14:paraId="34CE0A41" w14:textId="77777777" w:rsidR="00D825BF" w:rsidRPr="00D825BF" w:rsidRDefault="00D825BF" w:rsidP="00D825BF">
            <w:pPr>
              <w:spacing w:after="0" w:line="240" w:lineRule="auto"/>
              <w:rPr>
                <w:rFonts w:eastAsia="Times New Roman"/>
                <w:sz w:val="20"/>
                <w:szCs w:val="20"/>
              </w:rPr>
            </w:pPr>
          </w:p>
          <w:p w14:paraId="721063EF" w14:textId="77777777" w:rsidR="00D825BF" w:rsidRPr="00D825BF" w:rsidRDefault="00D825BF" w:rsidP="00D825BF">
            <w:pPr>
              <w:spacing w:after="0" w:line="240" w:lineRule="auto"/>
              <w:rPr>
                <w:rFonts w:eastAsia="Times New Roman"/>
                <w:sz w:val="20"/>
                <w:szCs w:val="20"/>
              </w:rPr>
            </w:pPr>
            <w:r w:rsidRPr="00D825BF">
              <w:rPr>
                <w:rFonts w:eastAsia="Times New Roman"/>
                <w:b/>
                <w:sz w:val="20"/>
                <w:szCs w:val="20"/>
              </w:rPr>
              <w:t>Class F1</w:t>
            </w:r>
            <w:r w:rsidRPr="00D825BF">
              <w:rPr>
                <w:rFonts w:eastAsia="Times New Roman"/>
                <w:sz w:val="20"/>
                <w:szCs w:val="20"/>
              </w:rPr>
              <w:t xml:space="preserve"> – Highest level of Residual Skidding </w:t>
            </w:r>
            <w:proofErr w:type="gramStart"/>
            <w:r w:rsidRPr="00D825BF">
              <w:rPr>
                <w:rFonts w:eastAsia="Times New Roman"/>
                <w:sz w:val="20"/>
                <w:szCs w:val="20"/>
              </w:rPr>
              <w:t>Resistance, if</w:t>
            </w:r>
            <w:proofErr w:type="gramEnd"/>
            <w:r w:rsidRPr="00D825BF">
              <w:rPr>
                <w:rFonts w:eastAsia="Times New Roman"/>
                <w:sz w:val="20"/>
                <w:szCs w:val="20"/>
              </w:rPr>
              <w:t xml:space="preserve"> product left on the road surface.</w:t>
            </w:r>
          </w:p>
          <w:p w14:paraId="62EBF3C5" w14:textId="77777777" w:rsidR="00D825BF" w:rsidRPr="00D825BF" w:rsidRDefault="00D825BF" w:rsidP="00D825BF">
            <w:pPr>
              <w:spacing w:after="0" w:line="240" w:lineRule="auto"/>
              <w:rPr>
                <w:rFonts w:eastAsia="Times New Roman"/>
                <w:b/>
                <w:sz w:val="20"/>
                <w:szCs w:val="20"/>
              </w:rPr>
            </w:pPr>
          </w:p>
          <w:p w14:paraId="11226539" w14:textId="77777777" w:rsidR="00D825BF" w:rsidRPr="00D825BF" w:rsidRDefault="00D825BF" w:rsidP="00D825BF">
            <w:pPr>
              <w:spacing w:after="0" w:line="240" w:lineRule="auto"/>
              <w:rPr>
                <w:rFonts w:eastAsia="Times New Roman"/>
                <w:sz w:val="20"/>
                <w:szCs w:val="20"/>
              </w:rPr>
            </w:pPr>
            <w:r w:rsidRPr="00D825BF">
              <w:rPr>
                <w:rFonts w:eastAsia="Times New Roman"/>
                <w:b/>
                <w:sz w:val="20"/>
                <w:szCs w:val="20"/>
              </w:rPr>
              <w:t>Class F2</w:t>
            </w:r>
            <w:r w:rsidRPr="00D825BF">
              <w:rPr>
                <w:rFonts w:eastAsia="Times New Roman"/>
                <w:sz w:val="20"/>
                <w:szCs w:val="20"/>
              </w:rPr>
              <w:t xml:space="preserve"> Products should be recovered and not left on the road surface.  Classification to apply if product not </w:t>
            </w:r>
            <w:proofErr w:type="gramStart"/>
            <w:r w:rsidRPr="00D825BF">
              <w:rPr>
                <w:rFonts w:eastAsia="Times New Roman"/>
                <w:sz w:val="20"/>
                <w:szCs w:val="20"/>
              </w:rPr>
              <w:t>tested</w:t>
            </w:r>
            <w:proofErr w:type="gramEnd"/>
          </w:p>
          <w:p w14:paraId="6D98A12B" w14:textId="77777777" w:rsidR="00D825BF" w:rsidRPr="00D825BF" w:rsidRDefault="00D825BF" w:rsidP="00D825BF">
            <w:pPr>
              <w:spacing w:after="0" w:line="240" w:lineRule="auto"/>
              <w:rPr>
                <w:rFonts w:eastAsia="Times New Roman"/>
                <w:sz w:val="20"/>
                <w:szCs w:val="20"/>
              </w:rPr>
            </w:pPr>
          </w:p>
        </w:tc>
      </w:tr>
    </w:tbl>
    <w:p w14:paraId="2946DB82" w14:textId="77777777" w:rsidR="00D825BF" w:rsidRPr="00D825BF" w:rsidRDefault="00D825BF" w:rsidP="00D825BF">
      <w:pPr>
        <w:spacing w:after="0" w:line="240" w:lineRule="auto"/>
        <w:rPr>
          <w:rFonts w:eastAsia="Times New Roman" w:cs="Times New Roman"/>
        </w:rPr>
      </w:pPr>
    </w:p>
    <w:p w14:paraId="071E4E01" w14:textId="77777777" w:rsidR="00D825BF" w:rsidRPr="00D825BF" w:rsidRDefault="00D825BF" w:rsidP="00A374A0">
      <w:pPr>
        <w:pStyle w:val="Heading3"/>
        <w:numPr>
          <w:ilvl w:val="0"/>
          <w:numId w:val="3"/>
        </w:numPr>
        <w:spacing w:before="120" w:after="120" w:line="276" w:lineRule="auto"/>
        <w:jc w:val="both"/>
        <w:rPr>
          <w:rFonts w:eastAsia="Times New Roman" w:cs="Times New Roman"/>
        </w:rPr>
      </w:pPr>
      <w:r w:rsidRPr="00D825BF">
        <w:rPr>
          <w:rFonts w:eastAsia="Times New Roman" w:cs="Times New Roman"/>
        </w:rPr>
        <w:br w:type="page"/>
      </w:r>
      <w:r w:rsidRPr="00A374A0">
        <w:rPr>
          <w:rFonts w:ascii="Arial" w:eastAsia="Times New Roman" w:hAnsi="Arial" w:cs="Arial"/>
          <w:b/>
          <w:color w:val="auto"/>
          <w:sz w:val="22"/>
          <w:szCs w:val="22"/>
          <w:lang w:val="en-US"/>
        </w:rPr>
        <w:lastRenderedPageBreak/>
        <w:t>References</w:t>
      </w:r>
    </w:p>
    <w:p w14:paraId="5997CC1D" w14:textId="77777777" w:rsidR="00D825BF" w:rsidRPr="00D825BF" w:rsidRDefault="00D825BF" w:rsidP="00D825BF">
      <w:pPr>
        <w:spacing w:after="0" w:line="240" w:lineRule="auto"/>
        <w:rPr>
          <w:rFonts w:eastAsia="Times New Roman" w:cs="Times New Roman"/>
        </w:rPr>
      </w:pPr>
    </w:p>
    <w:p w14:paraId="0F4AFD18" w14:textId="77777777" w:rsidR="00D825BF" w:rsidRPr="00A374A0" w:rsidRDefault="00D825BF" w:rsidP="00A374A0">
      <w:pPr>
        <w:tabs>
          <w:tab w:val="center" w:pos="4153"/>
          <w:tab w:val="right" w:pos="8306"/>
        </w:tabs>
        <w:spacing w:before="120" w:after="120" w:line="276" w:lineRule="auto"/>
        <w:jc w:val="both"/>
        <w:rPr>
          <w:rFonts w:eastAsia="Times New Roman" w:cs="Times New Roman"/>
          <w:sz w:val="22"/>
          <w:szCs w:val="22"/>
        </w:rPr>
      </w:pPr>
      <w:r w:rsidRPr="00A374A0">
        <w:rPr>
          <w:rFonts w:eastAsia="Times New Roman" w:cs="Times New Roman"/>
          <w:sz w:val="22"/>
          <w:szCs w:val="22"/>
        </w:rPr>
        <w:t>The following document references have been used to support this specification.  The versions have been included and where they have been superseded the latest version shall apply.</w:t>
      </w:r>
    </w:p>
    <w:p w14:paraId="110FFD37" w14:textId="77777777" w:rsidR="00D825BF" w:rsidRPr="00D825BF" w:rsidRDefault="00D825BF" w:rsidP="00D825BF">
      <w:pPr>
        <w:tabs>
          <w:tab w:val="center" w:pos="4153"/>
          <w:tab w:val="right" w:pos="8306"/>
        </w:tabs>
        <w:spacing w:after="0" w:line="240" w:lineRule="auto"/>
        <w:rPr>
          <w:rFonts w:eastAsia="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0"/>
        <w:gridCol w:w="6808"/>
      </w:tblGrid>
      <w:tr w:rsidR="00D825BF" w:rsidRPr="00A374A0" w14:paraId="5891EEB8" w14:textId="77777777" w:rsidTr="00E76956">
        <w:tc>
          <w:tcPr>
            <w:tcW w:w="2127" w:type="dxa"/>
          </w:tcPr>
          <w:p w14:paraId="4C359F4E"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AFNOR NFP 98-190</w:t>
            </w:r>
          </w:p>
        </w:tc>
        <w:tc>
          <w:tcPr>
            <w:tcW w:w="7007" w:type="dxa"/>
          </w:tcPr>
          <w:p w14:paraId="4B549634"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Equipment and products for road maintenance – Sorbents for use on roads - specifications</w:t>
            </w:r>
          </w:p>
        </w:tc>
      </w:tr>
      <w:tr w:rsidR="00D825BF" w:rsidRPr="00A374A0" w14:paraId="59DD1E49" w14:textId="77777777" w:rsidTr="00E76956">
        <w:tc>
          <w:tcPr>
            <w:tcW w:w="2127" w:type="dxa"/>
          </w:tcPr>
          <w:p w14:paraId="6369DB3C"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AFNOR NFT 90-361</w:t>
            </w:r>
          </w:p>
        </w:tc>
        <w:tc>
          <w:tcPr>
            <w:tcW w:w="7007" w:type="dxa"/>
          </w:tcPr>
          <w:p w14:paraId="6A422F75"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Determination of universal sorbent power – September 1997</w:t>
            </w:r>
          </w:p>
        </w:tc>
      </w:tr>
      <w:tr w:rsidR="00D825BF" w:rsidRPr="00A374A0" w14:paraId="46566517" w14:textId="77777777" w:rsidTr="00E76956">
        <w:tc>
          <w:tcPr>
            <w:tcW w:w="2127" w:type="dxa"/>
          </w:tcPr>
          <w:p w14:paraId="1A15F42D"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ASTM F716-07</w:t>
            </w:r>
          </w:p>
        </w:tc>
        <w:tc>
          <w:tcPr>
            <w:tcW w:w="7007" w:type="dxa"/>
          </w:tcPr>
          <w:p w14:paraId="46C6C2D1"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Standard test method for Sorbent performance of Absorbents</w:t>
            </w:r>
          </w:p>
        </w:tc>
      </w:tr>
      <w:tr w:rsidR="00D825BF" w:rsidRPr="00A374A0" w14:paraId="145ED7FD" w14:textId="77777777" w:rsidTr="00E76956">
        <w:tc>
          <w:tcPr>
            <w:tcW w:w="2127" w:type="dxa"/>
          </w:tcPr>
          <w:p w14:paraId="12AA4D70"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ASTM F726-06</w:t>
            </w:r>
          </w:p>
        </w:tc>
        <w:tc>
          <w:tcPr>
            <w:tcW w:w="7007" w:type="dxa"/>
          </w:tcPr>
          <w:p w14:paraId="10AE09C3"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Standard test method for Sorbent performance of Adsorbents</w:t>
            </w:r>
          </w:p>
        </w:tc>
      </w:tr>
      <w:tr w:rsidR="00D825BF" w:rsidRPr="00A374A0" w14:paraId="30E4F28D" w14:textId="77777777" w:rsidTr="00E76956">
        <w:tc>
          <w:tcPr>
            <w:tcW w:w="2127" w:type="dxa"/>
          </w:tcPr>
          <w:p w14:paraId="5EBD55B3"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BS 7959: 2004 Pt 1</w:t>
            </w:r>
          </w:p>
        </w:tc>
        <w:tc>
          <w:tcPr>
            <w:tcW w:w="7007" w:type="dxa"/>
          </w:tcPr>
          <w:p w14:paraId="2826062B"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Materials used for the control of liquid spillages.</w:t>
            </w:r>
          </w:p>
        </w:tc>
      </w:tr>
      <w:tr w:rsidR="00D825BF" w:rsidRPr="00A374A0" w14:paraId="7E327559" w14:textId="77777777" w:rsidTr="00E76956">
        <w:tc>
          <w:tcPr>
            <w:tcW w:w="2127" w:type="dxa"/>
          </w:tcPr>
          <w:p w14:paraId="1C2208A8"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EN 590</w:t>
            </w:r>
          </w:p>
        </w:tc>
        <w:tc>
          <w:tcPr>
            <w:tcW w:w="7007" w:type="dxa"/>
          </w:tcPr>
          <w:p w14:paraId="16361FFD"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 xml:space="preserve">Automotive fuels – Diesel - requirements and tests </w:t>
            </w:r>
          </w:p>
        </w:tc>
      </w:tr>
      <w:tr w:rsidR="00D825BF" w:rsidRPr="00A374A0" w14:paraId="5D70AE21" w14:textId="77777777" w:rsidTr="00E76956">
        <w:tc>
          <w:tcPr>
            <w:tcW w:w="2127" w:type="dxa"/>
          </w:tcPr>
          <w:p w14:paraId="561137ED"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European Directive 67/548</w:t>
            </w:r>
          </w:p>
        </w:tc>
        <w:tc>
          <w:tcPr>
            <w:tcW w:w="7007" w:type="dxa"/>
          </w:tcPr>
          <w:p w14:paraId="618045F1"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Classification, packaging and labelling of dangerous substances</w:t>
            </w:r>
          </w:p>
        </w:tc>
      </w:tr>
      <w:tr w:rsidR="00D825BF" w:rsidRPr="00A374A0" w14:paraId="656A7A94" w14:textId="77777777" w:rsidTr="00E76956">
        <w:tc>
          <w:tcPr>
            <w:tcW w:w="2127" w:type="dxa"/>
          </w:tcPr>
          <w:p w14:paraId="514463FF"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European Directive 2003/33/EC</w:t>
            </w:r>
          </w:p>
        </w:tc>
        <w:tc>
          <w:tcPr>
            <w:tcW w:w="7007" w:type="dxa"/>
          </w:tcPr>
          <w:p w14:paraId="5B7FC7E1"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Establishing criteria and procedures for the acceptance of waste at landfills pursuant to Article 16 of Annex II to Directive 1999/31/EEC</w:t>
            </w:r>
          </w:p>
        </w:tc>
      </w:tr>
      <w:tr w:rsidR="00D825BF" w:rsidRPr="00A374A0" w14:paraId="6B6BDC4A" w14:textId="77777777" w:rsidTr="00E76956">
        <w:tc>
          <w:tcPr>
            <w:tcW w:w="2127" w:type="dxa"/>
          </w:tcPr>
          <w:p w14:paraId="13D8D557"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European Directive 2001/58/EC</w:t>
            </w:r>
          </w:p>
        </w:tc>
        <w:tc>
          <w:tcPr>
            <w:tcW w:w="7007" w:type="dxa"/>
          </w:tcPr>
          <w:p w14:paraId="6B590203"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Material Safety Data Sheet - Directive</w:t>
            </w:r>
          </w:p>
        </w:tc>
      </w:tr>
      <w:tr w:rsidR="00D825BF" w:rsidRPr="00A374A0" w14:paraId="5084BE43" w14:textId="77777777" w:rsidTr="00E76956">
        <w:tc>
          <w:tcPr>
            <w:tcW w:w="2127" w:type="dxa"/>
          </w:tcPr>
          <w:p w14:paraId="59041093"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HSE INDG143 (rev 3)</w:t>
            </w:r>
          </w:p>
        </w:tc>
        <w:tc>
          <w:tcPr>
            <w:tcW w:w="7007" w:type="dxa"/>
          </w:tcPr>
          <w:p w14:paraId="2AD5BC26"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HSE guidance document – ‘Manual Handling for Work’ revision 3</w:t>
            </w:r>
          </w:p>
        </w:tc>
      </w:tr>
      <w:tr w:rsidR="00D825BF" w:rsidRPr="00A374A0" w14:paraId="691B5545" w14:textId="77777777" w:rsidTr="00E76956">
        <w:tc>
          <w:tcPr>
            <w:tcW w:w="2127" w:type="dxa"/>
          </w:tcPr>
          <w:p w14:paraId="023AA959"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ISO 11014-1</w:t>
            </w:r>
          </w:p>
        </w:tc>
        <w:tc>
          <w:tcPr>
            <w:tcW w:w="7007" w:type="dxa"/>
          </w:tcPr>
          <w:p w14:paraId="26568A4D"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r w:rsidRPr="00A374A0">
              <w:rPr>
                <w:rFonts w:eastAsia="Times New Roman" w:cs="Times New Roman"/>
                <w:sz w:val="22"/>
                <w:szCs w:val="22"/>
              </w:rPr>
              <w:t>Safety data sheet for chemical products</w:t>
            </w:r>
          </w:p>
        </w:tc>
      </w:tr>
      <w:tr w:rsidR="00D825BF" w:rsidRPr="00A374A0" w14:paraId="6B699379" w14:textId="77777777" w:rsidTr="00E76956">
        <w:tc>
          <w:tcPr>
            <w:tcW w:w="2127" w:type="dxa"/>
          </w:tcPr>
          <w:p w14:paraId="3FE9F23F"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p>
        </w:tc>
        <w:tc>
          <w:tcPr>
            <w:tcW w:w="7007" w:type="dxa"/>
          </w:tcPr>
          <w:p w14:paraId="1F72F646"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p>
        </w:tc>
      </w:tr>
      <w:tr w:rsidR="00D825BF" w:rsidRPr="00A374A0" w14:paraId="08CE6F91" w14:textId="77777777" w:rsidTr="00E76956">
        <w:tc>
          <w:tcPr>
            <w:tcW w:w="2127" w:type="dxa"/>
          </w:tcPr>
          <w:p w14:paraId="61CDCEAD"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p>
        </w:tc>
        <w:tc>
          <w:tcPr>
            <w:tcW w:w="7007" w:type="dxa"/>
          </w:tcPr>
          <w:p w14:paraId="6BB9E253" w14:textId="77777777" w:rsidR="00D825BF" w:rsidRPr="00A374A0" w:rsidRDefault="00D825BF" w:rsidP="00D825BF">
            <w:pPr>
              <w:tabs>
                <w:tab w:val="center" w:pos="4153"/>
                <w:tab w:val="right" w:pos="8306"/>
              </w:tabs>
              <w:spacing w:after="0" w:line="240" w:lineRule="auto"/>
              <w:rPr>
                <w:rFonts w:eastAsia="Times New Roman" w:cs="Times New Roman"/>
                <w:sz w:val="22"/>
                <w:szCs w:val="22"/>
              </w:rPr>
            </w:pPr>
          </w:p>
        </w:tc>
      </w:tr>
    </w:tbl>
    <w:p w14:paraId="23DE523C" w14:textId="77777777" w:rsidR="00D825BF" w:rsidRPr="00D825BF" w:rsidRDefault="00D825BF" w:rsidP="00D825BF">
      <w:pPr>
        <w:tabs>
          <w:tab w:val="center" w:pos="4153"/>
          <w:tab w:val="right" w:pos="8306"/>
        </w:tabs>
        <w:spacing w:after="0" w:line="240" w:lineRule="auto"/>
        <w:rPr>
          <w:rFonts w:eastAsia="Times New Roman" w:cs="Times New Roman"/>
        </w:rPr>
      </w:pPr>
    </w:p>
    <w:p w14:paraId="56EF0C15" w14:textId="77777777" w:rsidR="00D825BF" w:rsidRPr="00A374A0" w:rsidRDefault="00D825BF" w:rsidP="00A374A0">
      <w:pPr>
        <w:pStyle w:val="Heading3"/>
        <w:numPr>
          <w:ilvl w:val="0"/>
          <w:numId w:val="3"/>
        </w:numPr>
        <w:spacing w:before="120" w:after="120" w:line="276" w:lineRule="auto"/>
        <w:jc w:val="both"/>
        <w:rPr>
          <w:rFonts w:ascii="Arial" w:eastAsia="Times New Roman" w:hAnsi="Arial" w:cs="Arial"/>
          <w:sz w:val="22"/>
          <w:szCs w:val="22"/>
        </w:rPr>
      </w:pPr>
      <w:r w:rsidRPr="00D825BF">
        <w:rPr>
          <w:rFonts w:eastAsia="Times New Roman" w:cs="Times New Roman"/>
        </w:rPr>
        <w:br w:type="page"/>
      </w:r>
      <w:r w:rsidRPr="00A374A0">
        <w:rPr>
          <w:rFonts w:ascii="Arial" w:eastAsia="Times New Roman" w:hAnsi="Arial" w:cs="Arial"/>
          <w:b/>
          <w:color w:val="auto"/>
          <w:sz w:val="22"/>
          <w:szCs w:val="22"/>
        </w:rPr>
        <w:lastRenderedPageBreak/>
        <w:t>Definitions and Glossary</w:t>
      </w:r>
    </w:p>
    <w:p w14:paraId="52E56223" w14:textId="77777777" w:rsidR="00D825BF" w:rsidRPr="00D825BF" w:rsidRDefault="00D825BF" w:rsidP="00D825BF">
      <w:pPr>
        <w:spacing w:after="0" w:line="240" w:lineRule="auto"/>
        <w:rPr>
          <w:rFonts w:eastAsia="Times New Roman" w:cs="Times New Roman"/>
        </w:rPr>
      </w:pPr>
    </w:p>
    <w:p w14:paraId="17C7F13C" w14:textId="77777777" w:rsidR="00D825BF" w:rsidRPr="00A374A0" w:rsidRDefault="00D825BF" w:rsidP="00A374A0">
      <w:pPr>
        <w:spacing w:after="0" w:line="240" w:lineRule="auto"/>
        <w:jc w:val="both"/>
        <w:rPr>
          <w:rFonts w:eastAsia="Times New Roman" w:cs="Times New Roman"/>
          <w:sz w:val="22"/>
          <w:szCs w:val="22"/>
        </w:rPr>
      </w:pPr>
      <w:r w:rsidRPr="00A374A0">
        <w:rPr>
          <w:rFonts w:eastAsia="Times New Roman" w:cs="Times New Roman"/>
          <w:sz w:val="22"/>
          <w:szCs w:val="22"/>
        </w:rPr>
        <w:t>For the purposes of this specification the following terms are defined as:</w:t>
      </w:r>
    </w:p>
    <w:p w14:paraId="07547A01" w14:textId="77777777" w:rsidR="00D825BF" w:rsidRPr="00D825BF" w:rsidRDefault="00D825BF" w:rsidP="00D825BF">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7540"/>
      </w:tblGrid>
      <w:tr w:rsidR="00D825BF" w:rsidRPr="00A374A0" w14:paraId="71B366A7" w14:textId="77777777" w:rsidTr="00E76956">
        <w:tc>
          <w:tcPr>
            <w:tcW w:w="1362" w:type="dxa"/>
            <w:shd w:val="clear" w:color="auto" w:fill="D9D9D9"/>
          </w:tcPr>
          <w:p w14:paraId="0CEB4B25" w14:textId="77777777" w:rsidR="00D825BF" w:rsidRPr="00A374A0" w:rsidRDefault="00D825BF" w:rsidP="00D825BF">
            <w:pPr>
              <w:tabs>
                <w:tab w:val="center" w:pos="4153"/>
                <w:tab w:val="right" w:pos="8306"/>
              </w:tabs>
              <w:spacing w:after="0" w:line="240" w:lineRule="auto"/>
              <w:rPr>
                <w:rFonts w:eastAsia="Times New Roman"/>
                <w:b/>
                <w:sz w:val="22"/>
                <w:szCs w:val="22"/>
              </w:rPr>
            </w:pPr>
            <w:r w:rsidRPr="00A374A0">
              <w:rPr>
                <w:rFonts w:eastAsia="Times New Roman"/>
                <w:b/>
                <w:sz w:val="22"/>
                <w:szCs w:val="22"/>
              </w:rPr>
              <w:t>Term</w:t>
            </w:r>
          </w:p>
        </w:tc>
        <w:tc>
          <w:tcPr>
            <w:tcW w:w="7880" w:type="dxa"/>
            <w:shd w:val="clear" w:color="auto" w:fill="D9D9D9"/>
          </w:tcPr>
          <w:p w14:paraId="3DA1D686" w14:textId="77777777" w:rsidR="00D825BF" w:rsidRPr="00A374A0" w:rsidRDefault="00D825BF" w:rsidP="00D825BF">
            <w:pPr>
              <w:tabs>
                <w:tab w:val="center" w:pos="4153"/>
                <w:tab w:val="right" w:pos="8306"/>
              </w:tabs>
              <w:spacing w:after="0" w:line="240" w:lineRule="auto"/>
              <w:rPr>
                <w:rFonts w:eastAsia="Times New Roman"/>
                <w:b/>
                <w:sz w:val="22"/>
                <w:szCs w:val="22"/>
              </w:rPr>
            </w:pPr>
            <w:r w:rsidRPr="00A374A0">
              <w:rPr>
                <w:rFonts w:eastAsia="Times New Roman"/>
                <w:b/>
                <w:sz w:val="22"/>
                <w:szCs w:val="22"/>
              </w:rPr>
              <w:t>Definition</w:t>
            </w:r>
          </w:p>
        </w:tc>
      </w:tr>
      <w:tr w:rsidR="00D825BF" w:rsidRPr="00A374A0" w14:paraId="002DE1EA" w14:textId="77777777" w:rsidTr="00E76956">
        <w:tc>
          <w:tcPr>
            <w:tcW w:w="1362" w:type="dxa"/>
          </w:tcPr>
          <w:p w14:paraId="3C512E1B"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Absorbent</w:t>
            </w:r>
          </w:p>
        </w:tc>
        <w:tc>
          <w:tcPr>
            <w:tcW w:w="7880" w:type="dxa"/>
          </w:tcPr>
          <w:p w14:paraId="2314956B"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 xml:space="preserve">A material which picks up and retains a liquid throughout its molecular structure, causing the material to swell by 50% or more in excess liquid. (The determination of swell ratio as described in ASTM 716-07 section 11.2.3 allows the difference between an absorbent and the other types of sorbent material to be readily distinguished). </w:t>
            </w:r>
          </w:p>
          <w:p w14:paraId="5043CB0F" w14:textId="77777777" w:rsidR="00D825BF" w:rsidRPr="00A374A0" w:rsidRDefault="00D825BF" w:rsidP="00D825BF">
            <w:pPr>
              <w:tabs>
                <w:tab w:val="center" w:pos="4153"/>
                <w:tab w:val="right" w:pos="8306"/>
              </w:tabs>
              <w:spacing w:after="0" w:line="240" w:lineRule="auto"/>
              <w:rPr>
                <w:rFonts w:eastAsia="Times New Roman"/>
                <w:sz w:val="22"/>
                <w:szCs w:val="22"/>
              </w:rPr>
            </w:pPr>
          </w:p>
        </w:tc>
      </w:tr>
      <w:tr w:rsidR="00D825BF" w:rsidRPr="00A374A0" w14:paraId="6D040E3D" w14:textId="77777777" w:rsidTr="00E76956">
        <w:tc>
          <w:tcPr>
            <w:tcW w:w="1362" w:type="dxa"/>
          </w:tcPr>
          <w:p w14:paraId="06A373DF"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Adsorbent</w:t>
            </w:r>
          </w:p>
        </w:tc>
        <w:tc>
          <w:tcPr>
            <w:tcW w:w="7880" w:type="dxa"/>
          </w:tcPr>
          <w:p w14:paraId="2D2E839D"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 material that is reliant on capillary attraction to hold the liquid on its external surface, and in the void spaces formed by its intrinsic structure.  A material is defined as an absorbent if it swells by less than 50% in excess liquid. (The determination of swell ratio as described in ASTM 716-07 section 11.2.3 allows the difference between an absorbent and the other types of sorbent material to be readily distinguished).</w:t>
            </w:r>
          </w:p>
        </w:tc>
      </w:tr>
      <w:tr w:rsidR="00D825BF" w:rsidRPr="00A374A0" w14:paraId="4DCD3F8C" w14:textId="77777777" w:rsidTr="00E76956">
        <w:tc>
          <w:tcPr>
            <w:tcW w:w="1362" w:type="dxa"/>
          </w:tcPr>
          <w:p w14:paraId="73E67664"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AFNOR</w:t>
            </w:r>
          </w:p>
        </w:tc>
        <w:tc>
          <w:tcPr>
            <w:tcW w:w="7880" w:type="dxa"/>
          </w:tcPr>
          <w:p w14:paraId="656869C2"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Association Française de Normalisation (International Organisation for Standardisation)</w:t>
            </w:r>
          </w:p>
        </w:tc>
      </w:tr>
      <w:tr w:rsidR="00D825BF" w:rsidRPr="00A374A0" w14:paraId="07459315" w14:textId="77777777" w:rsidTr="00E76956">
        <w:tc>
          <w:tcPr>
            <w:tcW w:w="1362" w:type="dxa"/>
          </w:tcPr>
          <w:p w14:paraId="6537F28F" w14:textId="77777777" w:rsidR="00D825BF" w:rsidRPr="00A374A0" w:rsidRDefault="00D825BF" w:rsidP="00D825BF">
            <w:pPr>
              <w:tabs>
                <w:tab w:val="center" w:pos="4153"/>
                <w:tab w:val="right" w:pos="8306"/>
              </w:tabs>
              <w:spacing w:after="0" w:line="240" w:lineRule="auto"/>
              <w:rPr>
                <w:rFonts w:eastAsia="Times New Roman"/>
                <w:sz w:val="22"/>
                <w:szCs w:val="22"/>
              </w:rPr>
            </w:pPr>
          </w:p>
        </w:tc>
        <w:tc>
          <w:tcPr>
            <w:tcW w:w="7880" w:type="dxa"/>
          </w:tcPr>
          <w:p w14:paraId="6DFB9E20" w14:textId="77777777" w:rsidR="00D825BF" w:rsidRPr="00A374A0" w:rsidRDefault="00D825BF" w:rsidP="00D825BF">
            <w:pPr>
              <w:tabs>
                <w:tab w:val="center" w:pos="4153"/>
                <w:tab w:val="right" w:pos="8306"/>
              </w:tabs>
              <w:spacing w:after="0" w:line="240" w:lineRule="auto"/>
              <w:rPr>
                <w:rFonts w:eastAsia="Times New Roman"/>
                <w:sz w:val="22"/>
                <w:szCs w:val="22"/>
              </w:rPr>
            </w:pPr>
          </w:p>
        </w:tc>
      </w:tr>
      <w:tr w:rsidR="00D825BF" w:rsidRPr="00A374A0" w14:paraId="0DB3DC40" w14:textId="77777777" w:rsidTr="00E76956">
        <w:tc>
          <w:tcPr>
            <w:tcW w:w="1362" w:type="dxa"/>
          </w:tcPr>
          <w:p w14:paraId="58B6DF88"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ASTM</w:t>
            </w:r>
          </w:p>
        </w:tc>
        <w:tc>
          <w:tcPr>
            <w:tcW w:w="7880" w:type="dxa"/>
          </w:tcPr>
          <w:p w14:paraId="7E8994BF"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American Society for Testing and Materials ASTM, now ASTM International</w:t>
            </w:r>
          </w:p>
        </w:tc>
      </w:tr>
      <w:tr w:rsidR="00D825BF" w:rsidRPr="00A374A0" w14:paraId="30078017" w14:textId="77777777" w:rsidTr="00E76956">
        <w:tc>
          <w:tcPr>
            <w:tcW w:w="1362" w:type="dxa"/>
          </w:tcPr>
          <w:p w14:paraId="24817662"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BS</w:t>
            </w:r>
          </w:p>
        </w:tc>
        <w:tc>
          <w:tcPr>
            <w:tcW w:w="7880" w:type="dxa"/>
          </w:tcPr>
          <w:p w14:paraId="6A37E417"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British Standard</w:t>
            </w:r>
          </w:p>
        </w:tc>
      </w:tr>
      <w:tr w:rsidR="00D825BF" w:rsidRPr="00A374A0" w14:paraId="5803FDD0" w14:textId="77777777" w:rsidTr="00E76956">
        <w:tc>
          <w:tcPr>
            <w:tcW w:w="1362" w:type="dxa"/>
          </w:tcPr>
          <w:p w14:paraId="4E1C0204"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BSI</w:t>
            </w:r>
          </w:p>
        </w:tc>
        <w:tc>
          <w:tcPr>
            <w:tcW w:w="7880" w:type="dxa"/>
          </w:tcPr>
          <w:p w14:paraId="7AF66A2E"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British Standards Institution</w:t>
            </w:r>
          </w:p>
        </w:tc>
      </w:tr>
      <w:tr w:rsidR="00D825BF" w:rsidRPr="00A374A0" w14:paraId="3170A366" w14:textId="77777777" w:rsidTr="00E76956">
        <w:tc>
          <w:tcPr>
            <w:tcW w:w="1362" w:type="dxa"/>
          </w:tcPr>
          <w:p w14:paraId="06BE6D7C"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CEDRE</w:t>
            </w:r>
          </w:p>
        </w:tc>
        <w:tc>
          <w:tcPr>
            <w:tcW w:w="7880" w:type="dxa"/>
          </w:tcPr>
          <w:p w14:paraId="4FB6A3FB"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 xml:space="preserve">Centre de documentation, de recherche et </w:t>
            </w:r>
            <w:proofErr w:type="spellStart"/>
            <w:r w:rsidRPr="00A374A0">
              <w:rPr>
                <w:rFonts w:eastAsia="Times New Roman"/>
                <w:sz w:val="22"/>
                <w:szCs w:val="22"/>
              </w:rPr>
              <w:t>d'expérimentations</w:t>
            </w:r>
            <w:proofErr w:type="spellEnd"/>
            <w:r w:rsidRPr="00A374A0">
              <w:rPr>
                <w:rFonts w:eastAsia="Times New Roman"/>
                <w:sz w:val="22"/>
                <w:szCs w:val="22"/>
              </w:rPr>
              <w:t xml:space="preserve"> sur les pollutions </w:t>
            </w:r>
            <w:proofErr w:type="spellStart"/>
            <w:r w:rsidRPr="00A374A0">
              <w:rPr>
                <w:rFonts w:eastAsia="Times New Roman"/>
                <w:sz w:val="22"/>
                <w:szCs w:val="22"/>
              </w:rPr>
              <w:t>accidentelles</w:t>
            </w:r>
            <w:proofErr w:type="spellEnd"/>
            <w:r w:rsidRPr="00A374A0">
              <w:rPr>
                <w:rFonts w:eastAsia="Times New Roman"/>
                <w:sz w:val="22"/>
                <w:szCs w:val="22"/>
              </w:rPr>
              <w:t xml:space="preserve"> des eaux (Centre of Documentation, Research and Experimentation on Accidental Water Pollution)</w:t>
            </w:r>
          </w:p>
        </w:tc>
      </w:tr>
      <w:tr w:rsidR="00D825BF" w:rsidRPr="00A374A0" w14:paraId="445B1DA6" w14:textId="77777777" w:rsidTr="00E76956">
        <w:tc>
          <w:tcPr>
            <w:tcW w:w="1362" w:type="dxa"/>
          </w:tcPr>
          <w:p w14:paraId="66FAEF84"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CEN</w:t>
            </w:r>
          </w:p>
        </w:tc>
        <w:tc>
          <w:tcPr>
            <w:tcW w:w="7880" w:type="dxa"/>
          </w:tcPr>
          <w:p w14:paraId="58946BF0" w14:textId="77777777" w:rsidR="00D825BF" w:rsidRPr="00A374A0" w:rsidRDefault="00D825BF" w:rsidP="00D825BF">
            <w:pPr>
              <w:tabs>
                <w:tab w:val="center" w:pos="4153"/>
                <w:tab w:val="right" w:pos="8306"/>
              </w:tabs>
              <w:spacing w:after="0" w:line="240" w:lineRule="auto"/>
              <w:rPr>
                <w:rFonts w:eastAsia="Times New Roman"/>
                <w:sz w:val="22"/>
                <w:szCs w:val="22"/>
              </w:rPr>
            </w:pPr>
            <w:proofErr w:type="spellStart"/>
            <w:r w:rsidRPr="00A374A0">
              <w:rPr>
                <w:rFonts w:eastAsia="Times New Roman"/>
                <w:sz w:val="22"/>
                <w:szCs w:val="22"/>
              </w:rPr>
              <w:t>Comité</w:t>
            </w:r>
            <w:proofErr w:type="spellEnd"/>
            <w:r w:rsidRPr="00A374A0">
              <w:rPr>
                <w:rFonts w:eastAsia="Times New Roman"/>
                <w:sz w:val="22"/>
                <w:szCs w:val="22"/>
              </w:rPr>
              <w:t xml:space="preserve"> </w:t>
            </w:r>
            <w:proofErr w:type="spellStart"/>
            <w:r w:rsidRPr="00A374A0">
              <w:rPr>
                <w:rFonts w:eastAsia="Times New Roman"/>
                <w:sz w:val="22"/>
                <w:szCs w:val="22"/>
              </w:rPr>
              <w:t>Européen</w:t>
            </w:r>
            <w:proofErr w:type="spellEnd"/>
            <w:r w:rsidRPr="00A374A0">
              <w:rPr>
                <w:rFonts w:eastAsia="Times New Roman"/>
                <w:sz w:val="22"/>
                <w:szCs w:val="22"/>
              </w:rPr>
              <w:t xml:space="preserve"> de Normalisation (European Committee for Standardisation)</w:t>
            </w:r>
          </w:p>
        </w:tc>
      </w:tr>
      <w:tr w:rsidR="00D825BF" w:rsidRPr="00A374A0" w14:paraId="39436A09" w14:textId="77777777" w:rsidTr="00E76956">
        <w:tc>
          <w:tcPr>
            <w:tcW w:w="1362" w:type="dxa"/>
          </w:tcPr>
          <w:p w14:paraId="7E467585"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Diesel</w:t>
            </w:r>
          </w:p>
        </w:tc>
        <w:tc>
          <w:tcPr>
            <w:tcW w:w="7880" w:type="dxa"/>
          </w:tcPr>
          <w:p w14:paraId="7ADF15BA"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As defined in EN590</w:t>
            </w:r>
          </w:p>
        </w:tc>
      </w:tr>
      <w:tr w:rsidR="00D825BF" w:rsidRPr="00A374A0" w14:paraId="5159697E" w14:textId="77777777" w:rsidTr="00E76956">
        <w:tc>
          <w:tcPr>
            <w:tcW w:w="1362" w:type="dxa"/>
          </w:tcPr>
          <w:p w14:paraId="72112137" w14:textId="77777777" w:rsidR="00D825BF" w:rsidRPr="00A374A0" w:rsidRDefault="00531E16"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NH</w:t>
            </w:r>
          </w:p>
        </w:tc>
        <w:tc>
          <w:tcPr>
            <w:tcW w:w="7880" w:type="dxa"/>
          </w:tcPr>
          <w:p w14:paraId="2BCC6561" w14:textId="77777777" w:rsidR="00D825BF" w:rsidRPr="00A374A0" w:rsidRDefault="00531E16"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 xml:space="preserve">National Highways </w:t>
            </w:r>
          </w:p>
        </w:tc>
      </w:tr>
      <w:tr w:rsidR="00D825BF" w:rsidRPr="00A374A0" w14:paraId="70DF9E56" w14:textId="77777777" w:rsidTr="00E76956">
        <w:tc>
          <w:tcPr>
            <w:tcW w:w="1362" w:type="dxa"/>
          </w:tcPr>
          <w:p w14:paraId="44E871BC" w14:textId="77777777" w:rsidR="00D825BF" w:rsidRPr="00A374A0" w:rsidRDefault="00D825BF" w:rsidP="00D825BF">
            <w:pPr>
              <w:tabs>
                <w:tab w:val="center" w:pos="4153"/>
                <w:tab w:val="right" w:pos="8306"/>
              </w:tabs>
              <w:spacing w:after="0" w:line="240" w:lineRule="auto"/>
              <w:rPr>
                <w:rFonts w:eastAsia="Times New Roman"/>
                <w:sz w:val="22"/>
                <w:szCs w:val="22"/>
              </w:rPr>
            </w:pPr>
          </w:p>
        </w:tc>
        <w:tc>
          <w:tcPr>
            <w:tcW w:w="7880" w:type="dxa"/>
          </w:tcPr>
          <w:p w14:paraId="144A5D23" w14:textId="77777777" w:rsidR="00D825BF" w:rsidRPr="00A374A0" w:rsidRDefault="00D825BF" w:rsidP="00D825BF">
            <w:pPr>
              <w:tabs>
                <w:tab w:val="center" w:pos="4153"/>
                <w:tab w:val="right" w:pos="8306"/>
              </w:tabs>
              <w:spacing w:after="0" w:line="240" w:lineRule="auto"/>
              <w:rPr>
                <w:rFonts w:eastAsia="Times New Roman"/>
                <w:sz w:val="22"/>
                <w:szCs w:val="22"/>
              </w:rPr>
            </w:pPr>
          </w:p>
        </w:tc>
      </w:tr>
      <w:tr w:rsidR="00D825BF" w:rsidRPr="00A374A0" w14:paraId="44078E7D" w14:textId="77777777" w:rsidTr="00E76956">
        <w:tc>
          <w:tcPr>
            <w:tcW w:w="1362" w:type="dxa"/>
          </w:tcPr>
          <w:p w14:paraId="1C399F4F"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HSE</w:t>
            </w:r>
          </w:p>
        </w:tc>
        <w:tc>
          <w:tcPr>
            <w:tcW w:w="7880" w:type="dxa"/>
          </w:tcPr>
          <w:p w14:paraId="371F3387"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Health and Safety Executive</w:t>
            </w:r>
          </w:p>
        </w:tc>
      </w:tr>
      <w:tr w:rsidR="00D825BF" w:rsidRPr="00A374A0" w14:paraId="7F319CF1" w14:textId="77777777" w:rsidTr="00E76956">
        <w:tc>
          <w:tcPr>
            <w:tcW w:w="1362" w:type="dxa"/>
          </w:tcPr>
          <w:p w14:paraId="2F7E3272"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Hydrocarbon</w:t>
            </w:r>
          </w:p>
        </w:tc>
        <w:tc>
          <w:tcPr>
            <w:tcW w:w="7880" w:type="dxa"/>
          </w:tcPr>
          <w:p w14:paraId="3DC5EC62"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Generic term in some test procedures, for the purposes of this research, diesel fuel as typically used in the UK was the liquid tested.</w:t>
            </w:r>
          </w:p>
        </w:tc>
      </w:tr>
      <w:tr w:rsidR="00D825BF" w:rsidRPr="00A374A0" w14:paraId="13E3556F" w14:textId="77777777" w:rsidTr="00E76956">
        <w:tc>
          <w:tcPr>
            <w:tcW w:w="1362" w:type="dxa"/>
          </w:tcPr>
          <w:p w14:paraId="466DA6A8"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IFSTTAR</w:t>
            </w:r>
          </w:p>
        </w:tc>
        <w:tc>
          <w:tcPr>
            <w:tcW w:w="7880" w:type="dxa"/>
          </w:tcPr>
          <w:p w14:paraId="4E323CAD" w14:textId="77777777" w:rsidR="00D825BF" w:rsidRPr="00A374A0" w:rsidRDefault="00D825BF" w:rsidP="00D825BF">
            <w:pPr>
              <w:tabs>
                <w:tab w:val="center" w:pos="4153"/>
                <w:tab w:val="right" w:pos="8306"/>
              </w:tabs>
              <w:spacing w:after="0" w:line="240" w:lineRule="auto"/>
              <w:rPr>
                <w:rFonts w:eastAsia="Times New Roman"/>
                <w:sz w:val="22"/>
                <w:szCs w:val="22"/>
              </w:rPr>
            </w:pPr>
            <w:proofErr w:type="spellStart"/>
            <w:r w:rsidRPr="00A374A0">
              <w:rPr>
                <w:rFonts w:eastAsia="Times New Roman"/>
                <w:sz w:val="22"/>
                <w:szCs w:val="22"/>
              </w:rPr>
              <w:t>l'Institut</w:t>
            </w:r>
            <w:proofErr w:type="spellEnd"/>
            <w:r w:rsidRPr="00A374A0">
              <w:rPr>
                <w:rFonts w:eastAsia="Times New Roman"/>
                <w:sz w:val="22"/>
                <w:szCs w:val="22"/>
              </w:rPr>
              <w:t xml:space="preserve"> </w:t>
            </w:r>
            <w:proofErr w:type="spellStart"/>
            <w:r w:rsidRPr="00A374A0">
              <w:rPr>
                <w:rFonts w:eastAsia="Times New Roman"/>
                <w:sz w:val="22"/>
                <w:szCs w:val="22"/>
              </w:rPr>
              <w:t>français</w:t>
            </w:r>
            <w:proofErr w:type="spellEnd"/>
            <w:r w:rsidRPr="00A374A0">
              <w:rPr>
                <w:rFonts w:eastAsia="Times New Roman"/>
                <w:sz w:val="22"/>
                <w:szCs w:val="22"/>
              </w:rPr>
              <w:t xml:space="preserve"> des sciences et technologies des transports, de </w:t>
            </w:r>
            <w:proofErr w:type="spellStart"/>
            <w:r w:rsidRPr="00A374A0">
              <w:rPr>
                <w:rFonts w:eastAsia="Times New Roman"/>
                <w:sz w:val="22"/>
                <w:szCs w:val="22"/>
              </w:rPr>
              <w:t>l'aménagement</w:t>
            </w:r>
            <w:proofErr w:type="spellEnd"/>
            <w:r w:rsidRPr="00A374A0">
              <w:rPr>
                <w:rFonts w:eastAsia="Times New Roman"/>
                <w:sz w:val="22"/>
                <w:szCs w:val="22"/>
              </w:rPr>
              <w:t xml:space="preserve"> et des </w:t>
            </w:r>
            <w:proofErr w:type="spellStart"/>
            <w:r w:rsidRPr="00A374A0">
              <w:rPr>
                <w:rFonts w:eastAsia="Times New Roman"/>
                <w:sz w:val="22"/>
                <w:szCs w:val="22"/>
              </w:rPr>
              <w:t>réseaux</w:t>
            </w:r>
            <w:proofErr w:type="spellEnd"/>
            <w:r w:rsidRPr="00A374A0">
              <w:rPr>
                <w:rFonts w:eastAsia="Times New Roman"/>
                <w:sz w:val="22"/>
                <w:szCs w:val="22"/>
              </w:rPr>
              <w:t xml:space="preserve"> (The French Institute of Science and Technology for Transport, Development and Networks)</w:t>
            </w:r>
          </w:p>
        </w:tc>
      </w:tr>
      <w:tr w:rsidR="00D825BF" w:rsidRPr="00A374A0" w14:paraId="3AE23FB9" w14:textId="77777777" w:rsidTr="00E76956">
        <w:tc>
          <w:tcPr>
            <w:tcW w:w="1362" w:type="dxa"/>
          </w:tcPr>
          <w:p w14:paraId="12F40083"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IMS</w:t>
            </w:r>
          </w:p>
        </w:tc>
        <w:tc>
          <w:tcPr>
            <w:tcW w:w="7880" w:type="dxa"/>
          </w:tcPr>
          <w:p w14:paraId="30B5716D"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(Highways Agency) Incident Management Solutions (Team)</w:t>
            </w:r>
          </w:p>
        </w:tc>
      </w:tr>
      <w:tr w:rsidR="00D825BF" w:rsidRPr="00A374A0" w14:paraId="2C1CAD01" w14:textId="77777777" w:rsidTr="00E76956">
        <w:tc>
          <w:tcPr>
            <w:tcW w:w="1362" w:type="dxa"/>
          </w:tcPr>
          <w:p w14:paraId="4EF9A864"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ISO</w:t>
            </w:r>
          </w:p>
        </w:tc>
        <w:tc>
          <w:tcPr>
            <w:tcW w:w="7880" w:type="dxa"/>
          </w:tcPr>
          <w:p w14:paraId="3464D406"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International Standards Organisation</w:t>
            </w:r>
          </w:p>
        </w:tc>
      </w:tr>
      <w:tr w:rsidR="00D825BF" w:rsidRPr="00A374A0" w14:paraId="081F92B9" w14:textId="77777777" w:rsidTr="00E76956">
        <w:tc>
          <w:tcPr>
            <w:tcW w:w="1362" w:type="dxa"/>
          </w:tcPr>
          <w:p w14:paraId="7475C1CF"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ISU</w:t>
            </w:r>
          </w:p>
        </w:tc>
        <w:tc>
          <w:tcPr>
            <w:tcW w:w="7880" w:type="dxa"/>
          </w:tcPr>
          <w:p w14:paraId="7448844B"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 xml:space="preserve">Incident Support Units </w:t>
            </w:r>
            <w:r w:rsidR="00531E16" w:rsidRPr="00A374A0">
              <w:rPr>
                <w:rFonts w:eastAsia="Times New Roman"/>
                <w:sz w:val="22"/>
                <w:szCs w:val="22"/>
              </w:rPr>
              <w:t>–</w:t>
            </w:r>
            <w:r w:rsidRPr="00A374A0">
              <w:rPr>
                <w:rFonts w:eastAsia="Times New Roman"/>
                <w:sz w:val="22"/>
                <w:szCs w:val="22"/>
              </w:rPr>
              <w:t xml:space="preserve"> </w:t>
            </w:r>
            <w:r w:rsidR="00531E16" w:rsidRPr="00A374A0">
              <w:rPr>
                <w:rFonts w:eastAsia="Times New Roman"/>
                <w:sz w:val="22"/>
                <w:szCs w:val="22"/>
              </w:rPr>
              <w:t xml:space="preserve">National </w:t>
            </w:r>
            <w:proofErr w:type="gramStart"/>
            <w:r w:rsidR="00531E16" w:rsidRPr="00A374A0">
              <w:rPr>
                <w:rFonts w:eastAsia="Times New Roman"/>
                <w:sz w:val="22"/>
                <w:szCs w:val="22"/>
              </w:rPr>
              <w:t xml:space="preserve">Highways </w:t>
            </w:r>
            <w:r w:rsidRPr="00A374A0">
              <w:rPr>
                <w:rFonts w:eastAsia="Times New Roman"/>
                <w:sz w:val="22"/>
                <w:szCs w:val="22"/>
              </w:rPr>
              <w:t xml:space="preserve"> Service</w:t>
            </w:r>
            <w:proofErr w:type="gramEnd"/>
            <w:r w:rsidRPr="00A374A0">
              <w:rPr>
                <w:rFonts w:eastAsia="Times New Roman"/>
                <w:sz w:val="22"/>
                <w:szCs w:val="22"/>
              </w:rPr>
              <w:t xml:space="preserve"> Provider</w:t>
            </w:r>
          </w:p>
        </w:tc>
      </w:tr>
      <w:tr w:rsidR="00D825BF" w:rsidRPr="00A374A0" w14:paraId="54E23F48" w14:textId="77777777" w:rsidTr="00E76956">
        <w:tc>
          <w:tcPr>
            <w:tcW w:w="1362" w:type="dxa"/>
          </w:tcPr>
          <w:p w14:paraId="153CF4EA"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Oil</w:t>
            </w:r>
          </w:p>
        </w:tc>
        <w:tc>
          <w:tcPr>
            <w:tcW w:w="7880" w:type="dxa"/>
          </w:tcPr>
          <w:p w14:paraId="04B9F159"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Generic term in some test procedures, for the purposes of this research, diesel fuel as typically used in the UK was the liquid tested.</w:t>
            </w:r>
          </w:p>
        </w:tc>
      </w:tr>
      <w:tr w:rsidR="00D825BF" w:rsidRPr="00A374A0" w14:paraId="5174E50B" w14:textId="77777777" w:rsidTr="00E76956">
        <w:tc>
          <w:tcPr>
            <w:tcW w:w="1362" w:type="dxa"/>
          </w:tcPr>
          <w:p w14:paraId="2D4C5B15"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Sorbent</w:t>
            </w:r>
          </w:p>
        </w:tc>
        <w:tc>
          <w:tcPr>
            <w:tcW w:w="7880" w:type="dxa"/>
          </w:tcPr>
          <w:p w14:paraId="663210FC"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Any material applied to a diesel spill to immobilize it and facilitate physical lift-up of the spilled liquid. (after BS 7959-1:2004)</w:t>
            </w:r>
          </w:p>
        </w:tc>
      </w:tr>
      <w:tr w:rsidR="00D825BF" w:rsidRPr="00A374A0" w14:paraId="2637DB4D" w14:textId="77777777" w:rsidTr="00E76956">
        <w:tc>
          <w:tcPr>
            <w:tcW w:w="1362" w:type="dxa"/>
          </w:tcPr>
          <w:p w14:paraId="284CB6FC"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SRN</w:t>
            </w:r>
          </w:p>
        </w:tc>
        <w:tc>
          <w:tcPr>
            <w:tcW w:w="7880" w:type="dxa"/>
          </w:tcPr>
          <w:p w14:paraId="4DAD1C79"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Strategic Road Network</w:t>
            </w:r>
          </w:p>
        </w:tc>
      </w:tr>
      <w:tr w:rsidR="00D825BF" w:rsidRPr="00A374A0" w14:paraId="2F8A47D4" w14:textId="77777777" w:rsidTr="00E76956">
        <w:tc>
          <w:tcPr>
            <w:tcW w:w="1362" w:type="dxa"/>
          </w:tcPr>
          <w:p w14:paraId="3B157AA3"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SRT</w:t>
            </w:r>
          </w:p>
        </w:tc>
        <w:tc>
          <w:tcPr>
            <w:tcW w:w="7880" w:type="dxa"/>
          </w:tcPr>
          <w:p w14:paraId="3D6B818C"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 xml:space="preserve">Skid Resistance Test </w:t>
            </w:r>
          </w:p>
        </w:tc>
      </w:tr>
      <w:tr w:rsidR="00D825BF" w:rsidRPr="00A374A0" w14:paraId="7B93AB1A" w14:textId="77777777" w:rsidTr="00E76956">
        <w:tc>
          <w:tcPr>
            <w:tcW w:w="1362" w:type="dxa"/>
          </w:tcPr>
          <w:p w14:paraId="363372B2"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TO</w:t>
            </w:r>
          </w:p>
        </w:tc>
        <w:tc>
          <w:tcPr>
            <w:tcW w:w="7880" w:type="dxa"/>
          </w:tcPr>
          <w:p w14:paraId="783420FF"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Traffic Officer</w:t>
            </w:r>
          </w:p>
        </w:tc>
      </w:tr>
      <w:tr w:rsidR="00D825BF" w:rsidRPr="00A374A0" w14:paraId="3283F50B" w14:textId="77777777" w:rsidTr="00E76956">
        <w:tc>
          <w:tcPr>
            <w:tcW w:w="1362" w:type="dxa"/>
          </w:tcPr>
          <w:p w14:paraId="6E5ED289"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TS</w:t>
            </w:r>
          </w:p>
        </w:tc>
        <w:tc>
          <w:tcPr>
            <w:tcW w:w="7880" w:type="dxa"/>
          </w:tcPr>
          <w:p w14:paraId="16B4672B" w14:textId="77777777" w:rsidR="00D825BF" w:rsidRPr="00A374A0" w:rsidRDefault="00D825BF" w:rsidP="00D825BF">
            <w:pPr>
              <w:tabs>
                <w:tab w:val="center" w:pos="4153"/>
                <w:tab w:val="right" w:pos="8306"/>
              </w:tabs>
              <w:spacing w:after="0" w:line="240" w:lineRule="auto"/>
              <w:rPr>
                <w:rFonts w:eastAsia="Times New Roman"/>
                <w:sz w:val="22"/>
                <w:szCs w:val="22"/>
              </w:rPr>
            </w:pPr>
            <w:r w:rsidRPr="00A374A0">
              <w:rPr>
                <w:rFonts w:eastAsia="Times New Roman"/>
                <w:sz w:val="22"/>
                <w:szCs w:val="22"/>
              </w:rPr>
              <w:t>A European Technical Specification</w:t>
            </w:r>
          </w:p>
        </w:tc>
      </w:tr>
    </w:tbl>
    <w:p w14:paraId="738610EB" w14:textId="77777777" w:rsidR="00D825BF" w:rsidRPr="00D825BF" w:rsidRDefault="00D825BF" w:rsidP="00D825BF">
      <w:pPr>
        <w:spacing w:after="0" w:line="240" w:lineRule="auto"/>
        <w:rPr>
          <w:rFonts w:eastAsia="Times New Roman" w:cs="Times New Roman"/>
        </w:rPr>
      </w:pPr>
    </w:p>
    <w:p w14:paraId="637805D2" w14:textId="77777777" w:rsidR="00D825BF" w:rsidRPr="00D825BF" w:rsidRDefault="00D825BF" w:rsidP="00D825BF">
      <w:pPr>
        <w:spacing w:after="0" w:line="240" w:lineRule="auto"/>
        <w:rPr>
          <w:rFonts w:eastAsia="Times New Roman" w:cs="Times New Roman"/>
        </w:rPr>
      </w:pPr>
    </w:p>
    <w:sectPr w:rsidR="00D825BF" w:rsidRPr="00D82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41EE"/>
    <w:multiLevelType w:val="multilevel"/>
    <w:tmpl w:val="E40E7566"/>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370A3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11E672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3186311">
    <w:abstractNumId w:val="1"/>
  </w:num>
  <w:num w:numId="2" w16cid:durableId="1784883404">
    <w:abstractNumId w:val="2"/>
  </w:num>
  <w:num w:numId="3" w16cid:durableId="19565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BF"/>
    <w:rsid w:val="00103C02"/>
    <w:rsid w:val="00426CF7"/>
    <w:rsid w:val="004E67C2"/>
    <w:rsid w:val="00531E16"/>
    <w:rsid w:val="0072525A"/>
    <w:rsid w:val="00A374A0"/>
    <w:rsid w:val="00BB43C0"/>
    <w:rsid w:val="00D825BF"/>
    <w:rsid w:val="00EA30E4"/>
    <w:rsid w:val="041BE01C"/>
    <w:rsid w:val="4DE1FDA1"/>
    <w:rsid w:val="6BACF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9090"/>
  <w15:chartTrackingRefBased/>
  <w15:docId w15:val="{C4458874-5F60-41B5-BCB5-4031FEEE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7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74A0"/>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374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4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74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74A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374A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37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0AC8779D43E4E9E455296C5A270A0" ma:contentTypeVersion="5" ma:contentTypeDescription="Create a new document." ma:contentTypeScope="" ma:versionID="aa12f5b9a0ae86315967d05d763872fe">
  <xsd:schema xmlns:xsd="http://www.w3.org/2001/XMLSchema" xmlns:xs="http://www.w3.org/2001/XMLSchema" xmlns:p="http://schemas.microsoft.com/office/2006/metadata/properties" xmlns:ns2="e278071e-fbc1-435d-b677-c94351f24848" xmlns:ns3="b4503d75-78be-4338-a980-c9c1e48d8a95" targetNamespace="http://schemas.microsoft.com/office/2006/metadata/properties" ma:root="true" ma:fieldsID="36483e20ebb9f6fac0162b7f91c90b1b" ns2:_="" ns3:_="">
    <xsd:import namespace="e278071e-fbc1-435d-b677-c94351f24848"/>
    <xsd:import namespace="b4503d75-78be-4338-a980-c9c1e48d8a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071e-fbc1-435d-b677-c94351f2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03d75-78be-4338-a980-c9c1e48d8a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303E-F791-4DF5-98EF-348A3021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8071e-fbc1-435d-b677-c94351f24848"/>
    <ds:schemaRef ds:uri="b4503d75-78be-4338-a980-c9c1e48d8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32E0C-601B-43AF-AD1C-CE7CD09FA55E}">
  <ds:schemaRefs>
    <ds:schemaRef ds:uri="http://schemas.microsoft.com/sharepoint/v3/contenttype/forms"/>
  </ds:schemaRefs>
</ds:datastoreItem>
</file>

<file path=customXml/itemProps3.xml><?xml version="1.0" encoding="utf-8"?>
<ds:datastoreItem xmlns:ds="http://schemas.openxmlformats.org/officeDocument/2006/customXml" ds:itemID="{FA2A6F00-2C25-429E-9DE7-2B6D5AE6B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B167E-E024-4225-B50F-7A914B65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Susan</dc:creator>
  <cp:keywords/>
  <dc:description/>
  <cp:lastModifiedBy>Andrew Pritchard</cp:lastModifiedBy>
  <cp:revision>2</cp:revision>
  <dcterms:created xsi:type="dcterms:W3CDTF">2024-06-21T14:35:00Z</dcterms:created>
  <dcterms:modified xsi:type="dcterms:W3CDTF">2024-06-21T14:35:00Z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0x010100B1D0AC8779D43E4E9E455296C5A270A0</vt:lpwstr>
  </property>
</Properties>
</file>