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02729445"/>
        <w:docPartObj>
          <w:docPartGallery w:val="Cover Pages"/>
          <w:docPartUnique/>
        </w:docPartObj>
      </w:sdtPr>
      <w:sdtEndPr>
        <w:rPr>
          <w:b/>
        </w:rPr>
      </w:sdtEndPr>
      <w:sdtContent>
        <w:p w14:paraId="64262108" w14:textId="77777777" w:rsidR="00D7459E" w:rsidRDefault="00D7459E"/>
        <w:p w14:paraId="560FB90B" w14:textId="15367861" w:rsidR="00D7459E" w:rsidRDefault="00D7459E">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noProof/>
              <w:lang w:eastAsia="en-GB"/>
            </w:rPr>
            <w:drawing>
              <wp:anchor distT="0" distB="0" distL="114300" distR="114300" simplePos="0" relativeHeight="251658240" behindDoc="0" locked="0" layoutInCell="1" allowOverlap="1" wp14:anchorId="38BE9ABA" wp14:editId="1BB805B0">
                <wp:simplePos x="0" y="0"/>
                <wp:positionH relativeFrom="column">
                  <wp:posOffset>0</wp:posOffset>
                </wp:positionH>
                <wp:positionV relativeFrom="paragraph">
                  <wp:posOffset>0</wp:posOffset>
                </wp:positionV>
                <wp:extent cx="1645920" cy="1371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anchor>
            </w:drawing>
          </w:r>
          <w:r>
            <w:tab/>
          </w:r>
          <w:r>
            <w:tab/>
          </w:r>
        </w:p>
        <w:p w14:paraId="599034C6" w14:textId="77777777" w:rsidR="00D7459E" w:rsidRDefault="00D7459E" w:rsidP="00D7459E">
          <w:pPr>
            <w:spacing w:after="200" w:line="276" w:lineRule="auto"/>
            <w:rPr>
              <w:rFonts w:cs="Arial"/>
              <w:b/>
              <w:sz w:val="48"/>
              <w:szCs w:val="48"/>
            </w:rPr>
          </w:pPr>
        </w:p>
        <w:p w14:paraId="5D454441" w14:textId="77777777" w:rsidR="00D7459E" w:rsidRDefault="00D7459E" w:rsidP="00D7459E">
          <w:pPr>
            <w:spacing w:after="200" w:line="276" w:lineRule="auto"/>
            <w:rPr>
              <w:rFonts w:cs="Arial"/>
              <w:b/>
              <w:sz w:val="48"/>
              <w:szCs w:val="48"/>
            </w:rPr>
          </w:pPr>
        </w:p>
        <w:p w14:paraId="5FD2B40D" w14:textId="0C456520" w:rsidR="00D7459E" w:rsidRPr="006B38E3" w:rsidRDefault="00D7459E" w:rsidP="00D7459E">
          <w:pPr>
            <w:spacing w:after="200" w:line="276" w:lineRule="auto"/>
            <w:rPr>
              <w:rFonts w:cs="Arial"/>
              <w:b/>
              <w:sz w:val="48"/>
              <w:szCs w:val="48"/>
            </w:rPr>
          </w:pPr>
          <w:r w:rsidRPr="006B38E3">
            <w:rPr>
              <w:rFonts w:cs="Arial"/>
              <w:b/>
              <w:sz w:val="48"/>
              <w:szCs w:val="48"/>
            </w:rPr>
            <w:t xml:space="preserve">Bid Pack </w:t>
          </w:r>
        </w:p>
        <w:p w14:paraId="315230DD" w14:textId="509318A5" w:rsidR="00D7459E" w:rsidRPr="006B38E3" w:rsidRDefault="00D7459E" w:rsidP="00D7459E">
          <w:pPr>
            <w:spacing w:after="200" w:line="276" w:lineRule="auto"/>
            <w:rPr>
              <w:rFonts w:cs="Arial"/>
              <w:b/>
              <w:sz w:val="36"/>
              <w:szCs w:val="36"/>
            </w:rPr>
          </w:pPr>
          <w:bookmarkStart w:id="0" w:name="_xraukwuezq6d" w:colFirst="0" w:colLast="0"/>
          <w:bookmarkEnd w:id="0"/>
          <w:r w:rsidRPr="006B38E3">
            <w:rPr>
              <w:rFonts w:cs="Arial"/>
              <w:b/>
              <w:sz w:val="36"/>
              <w:szCs w:val="36"/>
            </w:rPr>
            <w:t>Statement of Requirements</w:t>
          </w:r>
        </w:p>
        <w:p w14:paraId="39295578" w14:textId="66EE78FA" w:rsidR="00D7459E" w:rsidRDefault="00D7459E" w:rsidP="00D7459E">
          <w:pPr>
            <w:spacing w:line="360" w:lineRule="auto"/>
            <w:ind w:left="2835" w:hanging="2835"/>
            <w:rPr>
              <w:rFonts w:cs="Arial"/>
              <w:sz w:val="32"/>
              <w:szCs w:val="32"/>
              <w:highlight w:val="yellow"/>
            </w:rPr>
          </w:pPr>
          <w:bookmarkStart w:id="1" w:name="_1fob9te" w:colFirst="0" w:colLast="0"/>
          <w:bookmarkEnd w:id="1"/>
          <w:r w:rsidRPr="006B38E3">
            <w:rPr>
              <w:rFonts w:cs="Arial"/>
              <w:sz w:val="32"/>
              <w:szCs w:val="32"/>
              <w:highlight w:val="white"/>
            </w:rPr>
            <w:t>Contract Reference:</w:t>
          </w:r>
          <w:r>
            <w:rPr>
              <w:rFonts w:cs="Arial"/>
              <w:sz w:val="32"/>
              <w:szCs w:val="32"/>
              <w:highlight w:val="white"/>
            </w:rPr>
            <w:t xml:space="preserve"> CCCC19B05</w:t>
          </w:r>
        </w:p>
        <w:p w14:paraId="01C0A581" w14:textId="6C36A385" w:rsidR="00D7459E" w:rsidRPr="006B38E3" w:rsidRDefault="00D7459E" w:rsidP="00D7459E">
          <w:pPr>
            <w:spacing w:line="360" w:lineRule="auto"/>
            <w:ind w:left="2835"/>
            <w:rPr>
              <w:rFonts w:cs="Arial"/>
              <w:sz w:val="32"/>
              <w:szCs w:val="32"/>
            </w:rPr>
          </w:pPr>
          <w:r>
            <w:rPr>
              <w:rFonts w:cs="Arial"/>
              <w:sz w:val="32"/>
              <w:szCs w:val="32"/>
            </w:rPr>
            <w:t>Provision of Consultancy Support to Assist with IR35 Tax Issues</w:t>
          </w:r>
        </w:p>
        <w:p w14:paraId="7B89B2D8" w14:textId="77777777" w:rsidR="00D7459E" w:rsidRDefault="00D7459E">
          <w:pPr>
            <w:rPr>
              <w:b/>
            </w:rPr>
          </w:pPr>
          <w:r>
            <w:rPr>
              <w:b/>
            </w:rPr>
            <w:br w:type="page"/>
          </w:r>
        </w:p>
        <w:p w14:paraId="79021A12" w14:textId="0290794A" w:rsidR="00D7459E" w:rsidRDefault="0091547E"/>
      </w:sdtContent>
    </w:sdt>
    <w:p w14:paraId="1D188072" w14:textId="77777777" w:rsidR="00D7459E" w:rsidRDefault="00D7459E" w:rsidP="00FE18AC">
      <w:pPr>
        <w:pStyle w:val="bodystrongcentred"/>
      </w:pPr>
    </w:p>
    <w:p w14:paraId="52111C44" w14:textId="3FE55599" w:rsidR="00FE18AC" w:rsidRPr="00D7459E" w:rsidRDefault="00FE18AC" w:rsidP="00D7459E">
      <w:pPr>
        <w:jc w:val="center"/>
        <w:rPr>
          <w:b/>
          <w:sz w:val="28"/>
          <w:szCs w:val="28"/>
        </w:rPr>
      </w:pPr>
      <w:r w:rsidRPr="00D7459E">
        <w:rPr>
          <w:b/>
          <w:sz w:val="28"/>
          <w:szCs w:val="28"/>
        </w:rPr>
        <w:t>CONTENTS</w:t>
      </w:r>
    </w:p>
    <w:p w14:paraId="757634AA" w14:textId="77777777" w:rsidR="00FE18AC" w:rsidRPr="001C014C" w:rsidRDefault="00FE18AC" w:rsidP="00FE18AC"/>
    <w:p w14:paraId="0FDC5FEF" w14:textId="32277E09" w:rsidR="00022EAB" w:rsidRDefault="00E10E97">
      <w:pPr>
        <w:pStyle w:val="TOC1"/>
        <w:rPr>
          <w:rFonts w:asciiTheme="minorHAnsi" w:eastAsiaTheme="minorEastAsia" w:hAnsiTheme="minorHAnsi" w:cstheme="minorBidi"/>
          <w:caps w:val="0"/>
          <w:noProof/>
          <w:szCs w:val="22"/>
          <w:lang w:eastAsia="en-GB"/>
        </w:rPr>
      </w:pPr>
      <w:r w:rsidRPr="001C014C">
        <w:rPr>
          <w:rFonts w:cs="Arial"/>
          <w:caps w:val="0"/>
        </w:rPr>
        <w:fldChar w:fldCharType="begin"/>
      </w:r>
      <w:r w:rsidR="00FE18AC" w:rsidRPr="001C014C">
        <w:rPr>
          <w:rFonts w:cs="Arial"/>
          <w:caps w:val="0"/>
        </w:rPr>
        <w:instrText xml:space="preserve"> TOC \o "1-1" \h \z \u </w:instrText>
      </w:r>
      <w:r w:rsidRPr="001C014C">
        <w:rPr>
          <w:rFonts w:cs="Arial"/>
          <w:caps w:val="0"/>
        </w:rPr>
        <w:fldChar w:fldCharType="separate"/>
      </w:r>
      <w:hyperlink w:anchor="_Toc29300967" w:history="1">
        <w:r w:rsidR="00022EAB" w:rsidRPr="00554F93">
          <w:rPr>
            <w:rStyle w:val="Hyperlink"/>
            <w:noProof/>
          </w:rPr>
          <w:t>1.</w:t>
        </w:r>
        <w:r w:rsidR="00022EAB">
          <w:rPr>
            <w:rFonts w:asciiTheme="minorHAnsi" w:eastAsiaTheme="minorEastAsia" w:hAnsiTheme="minorHAnsi" w:cstheme="minorBidi"/>
            <w:caps w:val="0"/>
            <w:noProof/>
            <w:szCs w:val="22"/>
            <w:lang w:eastAsia="en-GB"/>
          </w:rPr>
          <w:tab/>
        </w:r>
        <w:r w:rsidR="00022EAB" w:rsidRPr="00554F93">
          <w:rPr>
            <w:rStyle w:val="Hyperlink"/>
            <w:noProof/>
          </w:rPr>
          <w:t>PURPOSE</w:t>
        </w:r>
        <w:r w:rsidR="00022EAB">
          <w:rPr>
            <w:noProof/>
            <w:webHidden/>
          </w:rPr>
          <w:tab/>
        </w:r>
        <w:r w:rsidR="00022EAB">
          <w:rPr>
            <w:noProof/>
            <w:webHidden/>
          </w:rPr>
          <w:fldChar w:fldCharType="begin"/>
        </w:r>
        <w:r w:rsidR="00022EAB">
          <w:rPr>
            <w:noProof/>
            <w:webHidden/>
          </w:rPr>
          <w:instrText xml:space="preserve"> PAGEREF _Toc29300967 \h </w:instrText>
        </w:r>
        <w:r w:rsidR="00022EAB">
          <w:rPr>
            <w:noProof/>
            <w:webHidden/>
          </w:rPr>
        </w:r>
        <w:r w:rsidR="00022EAB">
          <w:rPr>
            <w:noProof/>
            <w:webHidden/>
          </w:rPr>
          <w:fldChar w:fldCharType="separate"/>
        </w:r>
        <w:r w:rsidR="00022EAB">
          <w:rPr>
            <w:noProof/>
            <w:webHidden/>
          </w:rPr>
          <w:t>2</w:t>
        </w:r>
        <w:r w:rsidR="00022EAB">
          <w:rPr>
            <w:noProof/>
            <w:webHidden/>
          </w:rPr>
          <w:fldChar w:fldCharType="end"/>
        </w:r>
      </w:hyperlink>
    </w:p>
    <w:p w14:paraId="145915B0" w14:textId="6B0C8820" w:rsidR="00022EAB" w:rsidRDefault="0091547E">
      <w:pPr>
        <w:pStyle w:val="TOC1"/>
        <w:rPr>
          <w:rFonts w:asciiTheme="minorHAnsi" w:eastAsiaTheme="minorEastAsia" w:hAnsiTheme="minorHAnsi" w:cstheme="minorBidi"/>
          <w:caps w:val="0"/>
          <w:noProof/>
          <w:szCs w:val="22"/>
          <w:lang w:eastAsia="en-GB"/>
        </w:rPr>
      </w:pPr>
      <w:hyperlink w:anchor="_Toc29300968" w:history="1">
        <w:r w:rsidR="00022EAB" w:rsidRPr="00554F93">
          <w:rPr>
            <w:rStyle w:val="Hyperlink"/>
            <w:noProof/>
          </w:rPr>
          <w:t>2.</w:t>
        </w:r>
        <w:r w:rsidR="00022EAB">
          <w:rPr>
            <w:rFonts w:asciiTheme="minorHAnsi" w:eastAsiaTheme="minorEastAsia" w:hAnsiTheme="minorHAnsi" w:cstheme="minorBidi"/>
            <w:caps w:val="0"/>
            <w:noProof/>
            <w:szCs w:val="22"/>
            <w:lang w:eastAsia="en-GB"/>
          </w:rPr>
          <w:tab/>
        </w:r>
        <w:r w:rsidR="00022EAB" w:rsidRPr="00554F93">
          <w:rPr>
            <w:rStyle w:val="Hyperlink"/>
            <w:noProof/>
          </w:rPr>
          <w:t>BACKGROUND TO THE CONTRACTING aUTHORITY</w:t>
        </w:r>
        <w:r w:rsidR="00022EAB">
          <w:rPr>
            <w:noProof/>
            <w:webHidden/>
          </w:rPr>
          <w:tab/>
        </w:r>
        <w:r w:rsidR="00022EAB">
          <w:rPr>
            <w:noProof/>
            <w:webHidden/>
          </w:rPr>
          <w:fldChar w:fldCharType="begin"/>
        </w:r>
        <w:r w:rsidR="00022EAB">
          <w:rPr>
            <w:noProof/>
            <w:webHidden/>
          </w:rPr>
          <w:instrText xml:space="preserve"> PAGEREF _Toc29300968 \h </w:instrText>
        </w:r>
        <w:r w:rsidR="00022EAB">
          <w:rPr>
            <w:noProof/>
            <w:webHidden/>
          </w:rPr>
        </w:r>
        <w:r w:rsidR="00022EAB">
          <w:rPr>
            <w:noProof/>
            <w:webHidden/>
          </w:rPr>
          <w:fldChar w:fldCharType="separate"/>
        </w:r>
        <w:r w:rsidR="00022EAB">
          <w:rPr>
            <w:noProof/>
            <w:webHidden/>
          </w:rPr>
          <w:t>2</w:t>
        </w:r>
        <w:r w:rsidR="00022EAB">
          <w:rPr>
            <w:noProof/>
            <w:webHidden/>
          </w:rPr>
          <w:fldChar w:fldCharType="end"/>
        </w:r>
      </w:hyperlink>
    </w:p>
    <w:p w14:paraId="38A1CDD1" w14:textId="17D6F4F2" w:rsidR="00022EAB" w:rsidRDefault="0091547E">
      <w:pPr>
        <w:pStyle w:val="TOC1"/>
        <w:rPr>
          <w:rFonts w:asciiTheme="minorHAnsi" w:eastAsiaTheme="minorEastAsia" w:hAnsiTheme="minorHAnsi" w:cstheme="minorBidi"/>
          <w:caps w:val="0"/>
          <w:noProof/>
          <w:szCs w:val="22"/>
          <w:lang w:eastAsia="en-GB"/>
        </w:rPr>
      </w:pPr>
      <w:hyperlink w:anchor="_Toc29300969" w:history="1">
        <w:r w:rsidR="00022EAB" w:rsidRPr="00554F93">
          <w:rPr>
            <w:rStyle w:val="Hyperlink"/>
            <w:noProof/>
          </w:rPr>
          <w:t>3.</w:t>
        </w:r>
        <w:r w:rsidR="00022EAB">
          <w:rPr>
            <w:rFonts w:asciiTheme="minorHAnsi" w:eastAsiaTheme="minorEastAsia" w:hAnsiTheme="minorHAnsi" w:cstheme="minorBidi"/>
            <w:caps w:val="0"/>
            <w:noProof/>
            <w:szCs w:val="22"/>
            <w:lang w:eastAsia="en-GB"/>
          </w:rPr>
          <w:tab/>
        </w:r>
        <w:r w:rsidR="00022EAB" w:rsidRPr="00554F93">
          <w:rPr>
            <w:rStyle w:val="Hyperlink"/>
            <w:noProof/>
          </w:rPr>
          <w:t>Background to requirement/OVERVIEW of requirement</w:t>
        </w:r>
        <w:r w:rsidR="00022EAB">
          <w:rPr>
            <w:noProof/>
            <w:webHidden/>
          </w:rPr>
          <w:tab/>
        </w:r>
        <w:r w:rsidR="00022EAB">
          <w:rPr>
            <w:noProof/>
            <w:webHidden/>
          </w:rPr>
          <w:fldChar w:fldCharType="begin"/>
        </w:r>
        <w:r w:rsidR="00022EAB">
          <w:rPr>
            <w:noProof/>
            <w:webHidden/>
          </w:rPr>
          <w:instrText xml:space="preserve"> PAGEREF _Toc29300969 \h </w:instrText>
        </w:r>
        <w:r w:rsidR="00022EAB">
          <w:rPr>
            <w:noProof/>
            <w:webHidden/>
          </w:rPr>
        </w:r>
        <w:r w:rsidR="00022EAB">
          <w:rPr>
            <w:noProof/>
            <w:webHidden/>
          </w:rPr>
          <w:fldChar w:fldCharType="separate"/>
        </w:r>
        <w:r w:rsidR="00022EAB">
          <w:rPr>
            <w:noProof/>
            <w:webHidden/>
          </w:rPr>
          <w:t>2</w:t>
        </w:r>
        <w:r w:rsidR="00022EAB">
          <w:rPr>
            <w:noProof/>
            <w:webHidden/>
          </w:rPr>
          <w:fldChar w:fldCharType="end"/>
        </w:r>
      </w:hyperlink>
    </w:p>
    <w:p w14:paraId="32618C57" w14:textId="440A84FD" w:rsidR="00022EAB" w:rsidRDefault="0091547E">
      <w:pPr>
        <w:pStyle w:val="TOC1"/>
        <w:rPr>
          <w:rFonts w:asciiTheme="minorHAnsi" w:eastAsiaTheme="minorEastAsia" w:hAnsiTheme="minorHAnsi" w:cstheme="minorBidi"/>
          <w:caps w:val="0"/>
          <w:noProof/>
          <w:szCs w:val="22"/>
          <w:lang w:eastAsia="en-GB"/>
        </w:rPr>
      </w:pPr>
      <w:hyperlink w:anchor="_Toc29300970" w:history="1">
        <w:r w:rsidR="00022EAB" w:rsidRPr="00554F93">
          <w:rPr>
            <w:rStyle w:val="Hyperlink"/>
            <w:noProof/>
          </w:rPr>
          <w:t>4.</w:t>
        </w:r>
        <w:r w:rsidR="00022EAB">
          <w:rPr>
            <w:rFonts w:asciiTheme="minorHAnsi" w:eastAsiaTheme="minorEastAsia" w:hAnsiTheme="minorHAnsi" w:cstheme="minorBidi"/>
            <w:caps w:val="0"/>
            <w:noProof/>
            <w:szCs w:val="22"/>
            <w:lang w:eastAsia="en-GB"/>
          </w:rPr>
          <w:tab/>
        </w:r>
        <w:r w:rsidR="00022EAB" w:rsidRPr="00554F93">
          <w:rPr>
            <w:rStyle w:val="Hyperlink"/>
            <w:noProof/>
          </w:rPr>
          <w:t>definitions</w:t>
        </w:r>
        <w:r w:rsidR="00022EAB">
          <w:rPr>
            <w:noProof/>
            <w:webHidden/>
          </w:rPr>
          <w:tab/>
        </w:r>
        <w:r w:rsidR="00022EAB">
          <w:rPr>
            <w:noProof/>
            <w:webHidden/>
          </w:rPr>
          <w:fldChar w:fldCharType="begin"/>
        </w:r>
        <w:r w:rsidR="00022EAB">
          <w:rPr>
            <w:noProof/>
            <w:webHidden/>
          </w:rPr>
          <w:instrText xml:space="preserve"> PAGEREF _Toc29300970 \h </w:instrText>
        </w:r>
        <w:r w:rsidR="00022EAB">
          <w:rPr>
            <w:noProof/>
            <w:webHidden/>
          </w:rPr>
        </w:r>
        <w:r w:rsidR="00022EAB">
          <w:rPr>
            <w:noProof/>
            <w:webHidden/>
          </w:rPr>
          <w:fldChar w:fldCharType="separate"/>
        </w:r>
        <w:r w:rsidR="00022EAB">
          <w:rPr>
            <w:noProof/>
            <w:webHidden/>
          </w:rPr>
          <w:t>4</w:t>
        </w:r>
        <w:r w:rsidR="00022EAB">
          <w:rPr>
            <w:noProof/>
            <w:webHidden/>
          </w:rPr>
          <w:fldChar w:fldCharType="end"/>
        </w:r>
      </w:hyperlink>
    </w:p>
    <w:p w14:paraId="6351AF09" w14:textId="7E2A0035" w:rsidR="00022EAB" w:rsidRDefault="0091547E">
      <w:pPr>
        <w:pStyle w:val="TOC1"/>
        <w:rPr>
          <w:rFonts w:asciiTheme="minorHAnsi" w:eastAsiaTheme="minorEastAsia" w:hAnsiTheme="minorHAnsi" w:cstheme="minorBidi"/>
          <w:caps w:val="0"/>
          <w:noProof/>
          <w:szCs w:val="22"/>
          <w:lang w:eastAsia="en-GB"/>
        </w:rPr>
      </w:pPr>
      <w:hyperlink w:anchor="_Toc29300971" w:history="1">
        <w:r w:rsidR="00022EAB" w:rsidRPr="00554F93">
          <w:rPr>
            <w:rStyle w:val="Hyperlink"/>
            <w:noProof/>
          </w:rPr>
          <w:t>5.</w:t>
        </w:r>
        <w:r w:rsidR="00022EAB">
          <w:rPr>
            <w:rFonts w:asciiTheme="minorHAnsi" w:eastAsiaTheme="minorEastAsia" w:hAnsiTheme="minorHAnsi" w:cstheme="minorBidi"/>
            <w:caps w:val="0"/>
            <w:noProof/>
            <w:szCs w:val="22"/>
            <w:lang w:eastAsia="en-GB"/>
          </w:rPr>
          <w:tab/>
        </w:r>
        <w:r w:rsidR="00022EAB" w:rsidRPr="00554F93">
          <w:rPr>
            <w:rStyle w:val="Hyperlink"/>
            <w:noProof/>
          </w:rPr>
          <w:t>scope of requirement</w:t>
        </w:r>
        <w:r w:rsidR="00022EAB">
          <w:rPr>
            <w:noProof/>
            <w:webHidden/>
          </w:rPr>
          <w:tab/>
        </w:r>
        <w:r w:rsidR="005444FC">
          <w:rPr>
            <w:noProof/>
            <w:webHidden/>
          </w:rPr>
          <w:t>5</w:t>
        </w:r>
      </w:hyperlink>
    </w:p>
    <w:p w14:paraId="4FB4C668" w14:textId="53DC844B" w:rsidR="00022EAB" w:rsidRDefault="0091547E">
      <w:pPr>
        <w:pStyle w:val="TOC1"/>
        <w:rPr>
          <w:rFonts w:asciiTheme="minorHAnsi" w:eastAsiaTheme="minorEastAsia" w:hAnsiTheme="minorHAnsi" w:cstheme="minorBidi"/>
          <w:caps w:val="0"/>
          <w:noProof/>
          <w:szCs w:val="22"/>
          <w:lang w:eastAsia="en-GB"/>
        </w:rPr>
      </w:pPr>
      <w:hyperlink w:anchor="_Toc29300972" w:history="1">
        <w:r w:rsidR="00022EAB" w:rsidRPr="00554F93">
          <w:rPr>
            <w:rStyle w:val="Hyperlink"/>
            <w:noProof/>
          </w:rPr>
          <w:t>6.</w:t>
        </w:r>
        <w:r w:rsidR="00022EAB">
          <w:rPr>
            <w:rFonts w:asciiTheme="minorHAnsi" w:eastAsiaTheme="minorEastAsia" w:hAnsiTheme="minorHAnsi" w:cstheme="minorBidi"/>
            <w:caps w:val="0"/>
            <w:noProof/>
            <w:szCs w:val="22"/>
            <w:lang w:eastAsia="en-GB"/>
          </w:rPr>
          <w:tab/>
        </w:r>
        <w:r w:rsidR="00022EAB" w:rsidRPr="00554F93">
          <w:rPr>
            <w:rStyle w:val="Hyperlink"/>
            <w:noProof/>
          </w:rPr>
          <w:t>The requirement</w:t>
        </w:r>
        <w:r w:rsidR="00022EAB">
          <w:rPr>
            <w:noProof/>
            <w:webHidden/>
          </w:rPr>
          <w:tab/>
        </w:r>
        <w:r w:rsidR="00022EAB">
          <w:rPr>
            <w:noProof/>
            <w:webHidden/>
          </w:rPr>
          <w:fldChar w:fldCharType="begin"/>
        </w:r>
        <w:r w:rsidR="00022EAB">
          <w:rPr>
            <w:noProof/>
            <w:webHidden/>
          </w:rPr>
          <w:instrText xml:space="preserve"> PAGEREF _Toc29300972 \h </w:instrText>
        </w:r>
        <w:r w:rsidR="00022EAB">
          <w:rPr>
            <w:noProof/>
            <w:webHidden/>
          </w:rPr>
        </w:r>
        <w:r w:rsidR="00022EAB">
          <w:rPr>
            <w:noProof/>
            <w:webHidden/>
          </w:rPr>
          <w:fldChar w:fldCharType="separate"/>
        </w:r>
        <w:r w:rsidR="00022EAB">
          <w:rPr>
            <w:noProof/>
            <w:webHidden/>
          </w:rPr>
          <w:t>5</w:t>
        </w:r>
        <w:r w:rsidR="00022EAB">
          <w:rPr>
            <w:noProof/>
            <w:webHidden/>
          </w:rPr>
          <w:fldChar w:fldCharType="end"/>
        </w:r>
      </w:hyperlink>
    </w:p>
    <w:p w14:paraId="652C7153" w14:textId="73E2280E" w:rsidR="00022EAB" w:rsidRDefault="0091547E">
      <w:pPr>
        <w:pStyle w:val="TOC1"/>
        <w:rPr>
          <w:rFonts w:asciiTheme="minorHAnsi" w:eastAsiaTheme="minorEastAsia" w:hAnsiTheme="minorHAnsi" w:cstheme="minorBidi"/>
          <w:caps w:val="0"/>
          <w:noProof/>
          <w:szCs w:val="22"/>
          <w:lang w:eastAsia="en-GB"/>
        </w:rPr>
      </w:pPr>
      <w:hyperlink w:anchor="_Toc29300973" w:history="1">
        <w:r w:rsidR="00022EAB" w:rsidRPr="00554F93">
          <w:rPr>
            <w:rStyle w:val="Hyperlink"/>
            <w:noProof/>
          </w:rPr>
          <w:t>7.</w:t>
        </w:r>
        <w:r w:rsidR="00022EAB">
          <w:rPr>
            <w:rFonts w:asciiTheme="minorHAnsi" w:eastAsiaTheme="minorEastAsia" w:hAnsiTheme="minorHAnsi" w:cstheme="minorBidi"/>
            <w:caps w:val="0"/>
            <w:noProof/>
            <w:szCs w:val="22"/>
            <w:lang w:eastAsia="en-GB"/>
          </w:rPr>
          <w:tab/>
        </w:r>
        <w:r w:rsidR="00022EAB" w:rsidRPr="00554F93">
          <w:rPr>
            <w:rStyle w:val="Hyperlink"/>
            <w:noProof/>
          </w:rPr>
          <w:t>key milestones and Deliverables</w:t>
        </w:r>
        <w:r w:rsidR="00022EAB">
          <w:rPr>
            <w:noProof/>
            <w:webHidden/>
          </w:rPr>
          <w:tab/>
        </w:r>
        <w:r w:rsidR="00AE4962">
          <w:rPr>
            <w:noProof/>
            <w:webHidden/>
          </w:rPr>
          <w:t>7</w:t>
        </w:r>
      </w:hyperlink>
    </w:p>
    <w:p w14:paraId="75046C6B" w14:textId="08DBA65E" w:rsidR="00022EAB" w:rsidRDefault="0091547E">
      <w:pPr>
        <w:pStyle w:val="TOC1"/>
        <w:rPr>
          <w:rFonts w:asciiTheme="minorHAnsi" w:eastAsiaTheme="minorEastAsia" w:hAnsiTheme="minorHAnsi" w:cstheme="minorBidi"/>
          <w:caps w:val="0"/>
          <w:noProof/>
          <w:szCs w:val="22"/>
          <w:lang w:eastAsia="en-GB"/>
        </w:rPr>
      </w:pPr>
      <w:hyperlink w:anchor="_Toc29300974" w:history="1">
        <w:r w:rsidR="00022EAB" w:rsidRPr="00554F93">
          <w:rPr>
            <w:rStyle w:val="Hyperlink"/>
            <w:rFonts w:cs="Arial"/>
            <w:noProof/>
          </w:rPr>
          <w:t>8.</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MANAGEMENT INFORMATION/reporting</w:t>
        </w:r>
        <w:r w:rsidR="00022EAB">
          <w:rPr>
            <w:noProof/>
            <w:webHidden/>
          </w:rPr>
          <w:tab/>
        </w:r>
        <w:r w:rsidR="00AE4962">
          <w:rPr>
            <w:noProof/>
            <w:webHidden/>
          </w:rPr>
          <w:t>7</w:t>
        </w:r>
      </w:hyperlink>
    </w:p>
    <w:p w14:paraId="45C03AF5" w14:textId="6D940F45" w:rsidR="00022EAB" w:rsidRDefault="0091547E">
      <w:pPr>
        <w:pStyle w:val="TOC1"/>
        <w:rPr>
          <w:rFonts w:asciiTheme="minorHAnsi" w:eastAsiaTheme="minorEastAsia" w:hAnsiTheme="minorHAnsi" w:cstheme="minorBidi"/>
          <w:caps w:val="0"/>
          <w:noProof/>
          <w:szCs w:val="22"/>
          <w:lang w:eastAsia="en-GB"/>
        </w:rPr>
      </w:pPr>
      <w:hyperlink w:anchor="_Toc29300975" w:history="1">
        <w:r w:rsidR="00022EAB" w:rsidRPr="00554F93">
          <w:rPr>
            <w:rStyle w:val="Hyperlink"/>
            <w:rFonts w:cs="Arial"/>
            <w:noProof/>
          </w:rPr>
          <w:t>9.</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volumes</w:t>
        </w:r>
        <w:r w:rsidR="00022EAB">
          <w:rPr>
            <w:noProof/>
            <w:webHidden/>
          </w:rPr>
          <w:tab/>
        </w:r>
        <w:r w:rsidR="00022EAB">
          <w:rPr>
            <w:noProof/>
            <w:webHidden/>
          </w:rPr>
          <w:fldChar w:fldCharType="begin"/>
        </w:r>
        <w:r w:rsidR="00022EAB">
          <w:rPr>
            <w:noProof/>
            <w:webHidden/>
          </w:rPr>
          <w:instrText xml:space="preserve"> PAGEREF _Toc29300975 \h </w:instrText>
        </w:r>
        <w:r w:rsidR="00022EAB">
          <w:rPr>
            <w:noProof/>
            <w:webHidden/>
          </w:rPr>
        </w:r>
        <w:r w:rsidR="00022EAB">
          <w:rPr>
            <w:noProof/>
            <w:webHidden/>
          </w:rPr>
          <w:fldChar w:fldCharType="separate"/>
        </w:r>
        <w:r w:rsidR="00022EAB">
          <w:rPr>
            <w:noProof/>
            <w:webHidden/>
          </w:rPr>
          <w:t>8</w:t>
        </w:r>
        <w:r w:rsidR="00022EAB">
          <w:rPr>
            <w:noProof/>
            <w:webHidden/>
          </w:rPr>
          <w:fldChar w:fldCharType="end"/>
        </w:r>
      </w:hyperlink>
    </w:p>
    <w:p w14:paraId="7AA2AD08" w14:textId="5628E447" w:rsidR="00022EAB" w:rsidRDefault="0091547E">
      <w:pPr>
        <w:pStyle w:val="TOC1"/>
        <w:rPr>
          <w:rFonts w:asciiTheme="minorHAnsi" w:eastAsiaTheme="minorEastAsia" w:hAnsiTheme="minorHAnsi" w:cstheme="minorBidi"/>
          <w:caps w:val="0"/>
          <w:noProof/>
          <w:szCs w:val="22"/>
          <w:lang w:eastAsia="en-GB"/>
        </w:rPr>
      </w:pPr>
      <w:hyperlink w:anchor="_Toc29300976" w:history="1">
        <w:r w:rsidR="00022EAB" w:rsidRPr="00554F93">
          <w:rPr>
            <w:rStyle w:val="Hyperlink"/>
            <w:rFonts w:cs="Arial"/>
            <w:noProof/>
          </w:rPr>
          <w:t>10.</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continuous improvement</w:t>
        </w:r>
        <w:r w:rsidR="00022EAB">
          <w:rPr>
            <w:noProof/>
            <w:webHidden/>
          </w:rPr>
          <w:tab/>
        </w:r>
        <w:r w:rsidR="00022EAB">
          <w:rPr>
            <w:noProof/>
            <w:webHidden/>
          </w:rPr>
          <w:fldChar w:fldCharType="begin"/>
        </w:r>
        <w:r w:rsidR="00022EAB">
          <w:rPr>
            <w:noProof/>
            <w:webHidden/>
          </w:rPr>
          <w:instrText xml:space="preserve"> PAGEREF _Toc29300976 \h </w:instrText>
        </w:r>
        <w:r w:rsidR="00022EAB">
          <w:rPr>
            <w:noProof/>
            <w:webHidden/>
          </w:rPr>
        </w:r>
        <w:r w:rsidR="00022EAB">
          <w:rPr>
            <w:noProof/>
            <w:webHidden/>
          </w:rPr>
          <w:fldChar w:fldCharType="separate"/>
        </w:r>
        <w:r w:rsidR="00022EAB">
          <w:rPr>
            <w:noProof/>
            <w:webHidden/>
          </w:rPr>
          <w:t>8</w:t>
        </w:r>
        <w:r w:rsidR="00022EAB">
          <w:rPr>
            <w:noProof/>
            <w:webHidden/>
          </w:rPr>
          <w:fldChar w:fldCharType="end"/>
        </w:r>
      </w:hyperlink>
    </w:p>
    <w:p w14:paraId="4DD4F88D" w14:textId="612AA8E8" w:rsidR="00022EAB" w:rsidRDefault="0091547E">
      <w:pPr>
        <w:pStyle w:val="TOC1"/>
        <w:rPr>
          <w:rFonts w:asciiTheme="minorHAnsi" w:eastAsiaTheme="minorEastAsia" w:hAnsiTheme="minorHAnsi" w:cstheme="minorBidi"/>
          <w:caps w:val="0"/>
          <w:noProof/>
          <w:szCs w:val="22"/>
          <w:lang w:eastAsia="en-GB"/>
        </w:rPr>
      </w:pPr>
      <w:hyperlink w:anchor="_Toc29300977" w:history="1">
        <w:r w:rsidR="00022EAB" w:rsidRPr="00554F93">
          <w:rPr>
            <w:rStyle w:val="Hyperlink"/>
            <w:rFonts w:cs="Arial"/>
            <w:noProof/>
          </w:rPr>
          <w:t>11.</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quality</w:t>
        </w:r>
        <w:r w:rsidR="00022EAB">
          <w:rPr>
            <w:noProof/>
            <w:webHidden/>
          </w:rPr>
          <w:tab/>
        </w:r>
        <w:r w:rsidR="00AE4962">
          <w:rPr>
            <w:noProof/>
            <w:webHidden/>
          </w:rPr>
          <w:t>8</w:t>
        </w:r>
      </w:hyperlink>
    </w:p>
    <w:p w14:paraId="7E5021BF" w14:textId="1A3E6459" w:rsidR="00022EAB" w:rsidRDefault="0091547E">
      <w:pPr>
        <w:pStyle w:val="TOC1"/>
        <w:rPr>
          <w:rFonts w:asciiTheme="minorHAnsi" w:eastAsiaTheme="minorEastAsia" w:hAnsiTheme="minorHAnsi" w:cstheme="minorBidi"/>
          <w:caps w:val="0"/>
          <w:noProof/>
          <w:szCs w:val="22"/>
          <w:lang w:eastAsia="en-GB"/>
        </w:rPr>
      </w:pPr>
      <w:hyperlink w:anchor="_Toc29300978" w:history="1">
        <w:r w:rsidR="00022EAB" w:rsidRPr="00554F93">
          <w:rPr>
            <w:rStyle w:val="Hyperlink"/>
            <w:rFonts w:cs="Arial"/>
            <w:noProof/>
          </w:rPr>
          <w:t>12.</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PRICE</w:t>
        </w:r>
        <w:r w:rsidR="00022EAB">
          <w:rPr>
            <w:noProof/>
            <w:webHidden/>
          </w:rPr>
          <w:tab/>
        </w:r>
        <w:r w:rsidR="00AE4962">
          <w:rPr>
            <w:noProof/>
            <w:webHidden/>
          </w:rPr>
          <w:t>8</w:t>
        </w:r>
      </w:hyperlink>
    </w:p>
    <w:p w14:paraId="632B8522" w14:textId="57090E9C" w:rsidR="00022EAB" w:rsidRDefault="0091547E">
      <w:pPr>
        <w:pStyle w:val="TOC1"/>
        <w:rPr>
          <w:rFonts w:asciiTheme="minorHAnsi" w:eastAsiaTheme="minorEastAsia" w:hAnsiTheme="minorHAnsi" w:cstheme="minorBidi"/>
          <w:caps w:val="0"/>
          <w:noProof/>
          <w:szCs w:val="22"/>
          <w:lang w:eastAsia="en-GB"/>
        </w:rPr>
      </w:pPr>
      <w:hyperlink w:anchor="_Toc29300979" w:history="1">
        <w:r w:rsidR="00022EAB" w:rsidRPr="00554F93">
          <w:rPr>
            <w:rStyle w:val="Hyperlink"/>
            <w:rFonts w:cs="Arial"/>
            <w:noProof/>
          </w:rPr>
          <w:t>13.</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STAFF AND CUSTOMER SERVICE</w:t>
        </w:r>
        <w:r w:rsidR="00022EAB">
          <w:rPr>
            <w:noProof/>
            <w:webHidden/>
          </w:rPr>
          <w:tab/>
        </w:r>
        <w:r w:rsidR="00AE4962">
          <w:rPr>
            <w:noProof/>
            <w:webHidden/>
          </w:rPr>
          <w:t>8</w:t>
        </w:r>
      </w:hyperlink>
    </w:p>
    <w:p w14:paraId="179F6729" w14:textId="6CE3AE80" w:rsidR="00022EAB" w:rsidRDefault="0091547E">
      <w:pPr>
        <w:pStyle w:val="TOC1"/>
        <w:rPr>
          <w:rFonts w:asciiTheme="minorHAnsi" w:eastAsiaTheme="minorEastAsia" w:hAnsiTheme="minorHAnsi" w:cstheme="minorBidi"/>
          <w:caps w:val="0"/>
          <w:noProof/>
          <w:szCs w:val="22"/>
          <w:lang w:eastAsia="en-GB"/>
        </w:rPr>
      </w:pPr>
      <w:hyperlink w:anchor="_Toc29300980" w:history="1">
        <w:r w:rsidR="00022EAB" w:rsidRPr="00554F93">
          <w:rPr>
            <w:rStyle w:val="Hyperlink"/>
            <w:rFonts w:cs="Arial"/>
            <w:noProof/>
          </w:rPr>
          <w:t>14.</w:t>
        </w:r>
        <w:r w:rsidR="00022EAB">
          <w:rPr>
            <w:rFonts w:asciiTheme="minorHAnsi" w:eastAsiaTheme="minorEastAsia" w:hAnsiTheme="minorHAnsi" w:cstheme="minorBidi"/>
            <w:caps w:val="0"/>
            <w:noProof/>
            <w:szCs w:val="22"/>
            <w:lang w:eastAsia="en-GB"/>
          </w:rPr>
          <w:tab/>
        </w:r>
        <w:r w:rsidR="00022EAB" w:rsidRPr="00554F93">
          <w:rPr>
            <w:rStyle w:val="Hyperlink"/>
            <w:rFonts w:cs="Arial"/>
            <w:noProof/>
          </w:rPr>
          <w:t>service levels and performance</w:t>
        </w:r>
        <w:r w:rsidR="00022EAB">
          <w:rPr>
            <w:noProof/>
            <w:webHidden/>
          </w:rPr>
          <w:tab/>
        </w:r>
        <w:r w:rsidR="00AE4962">
          <w:rPr>
            <w:noProof/>
            <w:webHidden/>
          </w:rPr>
          <w:t>8</w:t>
        </w:r>
      </w:hyperlink>
    </w:p>
    <w:p w14:paraId="59454265" w14:textId="2D29D04B" w:rsidR="00022EAB" w:rsidRDefault="0091547E">
      <w:pPr>
        <w:pStyle w:val="TOC1"/>
        <w:rPr>
          <w:rFonts w:asciiTheme="minorHAnsi" w:eastAsiaTheme="minorEastAsia" w:hAnsiTheme="minorHAnsi" w:cstheme="minorBidi"/>
          <w:caps w:val="0"/>
          <w:noProof/>
          <w:szCs w:val="22"/>
          <w:lang w:eastAsia="en-GB"/>
        </w:rPr>
      </w:pPr>
      <w:hyperlink w:anchor="_Toc29300981" w:history="1">
        <w:r w:rsidR="00022EAB" w:rsidRPr="00554F93">
          <w:rPr>
            <w:rStyle w:val="Hyperlink"/>
            <w:rFonts w:cs="Arial"/>
            <w:noProof/>
          </w:rPr>
          <w:t>15.</w:t>
        </w:r>
        <w:r w:rsidR="00022EAB">
          <w:rPr>
            <w:rFonts w:asciiTheme="minorHAnsi" w:eastAsiaTheme="minorEastAsia" w:hAnsiTheme="minorHAnsi" w:cstheme="minorBidi"/>
            <w:caps w:val="0"/>
            <w:noProof/>
            <w:szCs w:val="22"/>
            <w:lang w:eastAsia="en-GB"/>
          </w:rPr>
          <w:tab/>
        </w:r>
        <w:r w:rsidR="00E94F2D">
          <w:rPr>
            <w:rStyle w:val="Hyperlink"/>
            <w:rFonts w:cs="Arial"/>
            <w:noProof/>
          </w:rPr>
          <w:t>Security And Confidentiality requirements</w:t>
        </w:r>
        <w:r w:rsidR="00022EAB">
          <w:rPr>
            <w:noProof/>
            <w:webHidden/>
          </w:rPr>
          <w:tab/>
        </w:r>
        <w:r w:rsidR="00AE4962">
          <w:rPr>
            <w:noProof/>
            <w:webHidden/>
          </w:rPr>
          <w:t>9</w:t>
        </w:r>
      </w:hyperlink>
    </w:p>
    <w:p w14:paraId="511106DD" w14:textId="3E129B91" w:rsidR="00022EAB" w:rsidRDefault="0091547E">
      <w:pPr>
        <w:pStyle w:val="TOC1"/>
        <w:rPr>
          <w:noProof/>
        </w:rPr>
      </w:pPr>
      <w:hyperlink w:anchor="_Toc29300982" w:history="1">
        <w:r w:rsidR="00022EAB" w:rsidRPr="00554F93">
          <w:rPr>
            <w:rStyle w:val="Hyperlink"/>
            <w:rFonts w:cs="Arial"/>
            <w:noProof/>
          </w:rPr>
          <w:t>16.</w:t>
        </w:r>
        <w:r w:rsidR="00022EAB">
          <w:rPr>
            <w:rFonts w:asciiTheme="minorHAnsi" w:eastAsiaTheme="minorEastAsia" w:hAnsiTheme="minorHAnsi" w:cstheme="minorBidi"/>
            <w:caps w:val="0"/>
            <w:noProof/>
            <w:szCs w:val="22"/>
            <w:lang w:eastAsia="en-GB"/>
          </w:rPr>
          <w:tab/>
        </w:r>
        <w:r w:rsidR="00E94F2D">
          <w:rPr>
            <w:rStyle w:val="Hyperlink"/>
            <w:rFonts w:cs="Arial"/>
            <w:noProof/>
          </w:rPr>
          <w:t>Payment ANd Invoicing</w:t>
        </w:r>
        <w:r w:rsidR="00022EAB">
          <w:rPr>
            <w:noProof/>
            <w:webHidden/>
          </w:rPr>
          <w:tab/>
        </w:r>
        <w:r w:rsidR="00AE4962">
          <w:rPr>
            <w:noProof/>
            <w:webHidden/>
          </w:rPr>
          <w:t>9</w:t>
        </w:r>
      </w:hyperlink>
    </w:p>
    <w:p w14:paraId="22ECA338" w14:textId="72E9F902" w:rsidR="00E94F2D" w:rsidRDefault="00E94F2D">
      <w:pPr>
        <w:pStyle w:val="TOC1"/>
        <w:rPr>
          <w:noProof/>
          <w:webHidden/>
        </w:rPr>
      </w:pPr>
      <w:r>
        <w:rPr>
          <w:noProof/>
        </w:rPr>
        <w:t xml:space="preserve">17.       </w:t>
      </w:r>
      <w:r w:rsidRPr="00E94F2D">
        <w:rPr>
          <w:noProof/>
        </w:rPr>
        <w:t>CONTRACT MANAGEMENT</w:t>
      </w:r>
      <w:r w:rsidRPr="00E94F2D">
        <w:rPr>
          <w:noProof/>
          <w:webHidden/>
        </w:rPr>
        <w:tab/>
      </w:r>
      <w:r w:rsidR="00AE4962">
        <w:rPr>
          <w:noProof/>
          <w:webHidden/>
        </w:rPr>
        <w:t>9</w:t>
      </w:r>
    </w:p>
    <w:p w14:paraId="0008072C" w14:textId="560506F4" w:rsidR="00E94F2D" w:rsidRDefault="00E94F2D" w:rsidP="00E94F2D">
      <w:pPr>
        <w:pStyle w:val="TOC1"/>
        <w:rPr>
          <w:noProof/>
          <w:webHidden/>
        </w:rPr>
      </w:pPr>
      <w:r>
        <w:rPr>
          <w:noProof/>
        </w:rPr>
        <w:t>18.       Location</w:t>
      </w:r>
      <w:r w:rsidRPr="00E94F2D">
        <w:rPr>
          <w:noProof/>
          <w:webHidden/>
        </w:rPr>
        <w:tab/>
      </w:r>
      <w:r w:rsidR="00AE4962">
        <w:rPr>
          <w:noProof/>
          <w:webHidden/>
        </w:rPr>
        <w:t>9</w:t>
      </w:r>
    </w:p>
    <w:p w14:paraId="6E7907A6" w14:textId="77777777" w:rsidR="00E94F2D" w:rsidRDefault="00E94F2D">
      <w:pPr>
        <w:pStyle w:val="TOC1"/>
        <w:rPr>
          <w:noProof/>
          <w:webHidden/>
        </w:rPr>
      </w:pPr>
    </w:p>
    <w:p w14:paraId="7D2521DF" w14:textId="0BBEC002" w:rsidR="00E94F2D" w:rsidRDefault="00E94F2D">
      <w:pPr>
        <w:pStyle w:val="TOC1"/>
        <w:rPr>
          <w:rFonts w:asciiTheme="minorHAnsi" w:eastAsiaTheme="minorEastAsia" w:hAnsiTheme="minorHAnsi" w:cstheme="minorBidi"/>
          <w:caps w:val="0"/>
          <w:noProof/>
          <w:szCs w:val="22"/>
          <w:lang w:eastAsia="en-GB"/>
        </w:rPr>
      </w:pPr>
    </w:p>
    <w:p w14:paraId="374B790A" w14:textId="18E47800" w:rsidR="00FE18AC" w:rsidRPr="001C014C" w:rsidRDefault="00E10E97" w:rsidP="00FE18AC">
      <w:pPr>
        <w:spacing w:after="120"/>
        <w:jc w:val="center"/>
        <w:rPr>
          <w:b/>
        </w:rPr>
      </w:pPr>
      <w:r w:rsidRPr="001C014C">
        <w:rPr>
          <w:rFonts w:cs="Arial"/>
          <w:caps/>
        </w:rPr>
        <w:fldChar w:fldCharType="end"/>
      </w:r>
    </w:p>
    <w:p w14:paraId="4DA4FDFA" w14:textId="77777777" w:rsidR="00F44D62" w:rsidRPr="001C014C" w:rsidRDefault="00F44D62" w:rsidP="001A45DF">
      <w:pPr>
        <w:adjustRightInd w:val="0"/>
        <w:spacing w:before="60" w:after="60"/>
        <w:ind w:left="142"/>
        <w:jc w:val="center"/>
        <w:rPr>
          <w:rFonts w:eastAsia="STZhongsong" w:cs="Arial"/>
          <w:b/>
          <w:szCs w:val="22"/>
        </w:rPr>
      </w:pPr>
      <w:bookmarkStart w:id="2" w:name="_Toc297554772"/>
    </w:p>
    <w:p w14:paraId="656F4A80" w14:textId="0A21CC3D" w:rsidR="00FE18AC" w:rsidRPr="001C014C" w:rsidRDefault="00FE18AC" w:rsidP="009A5817">
      <w:pPr>
        <w:pStyle w:val="Heading1"/>
        <w:numPr>
          <w:ilvl w:val="0"/>
          <w:numId w:val="0"/>
        </w:numPr>
        <w:overflowPunct w:val="0"/>
        <w:autoSpaceDE w:val="0"/>
        <w:autoSpaceDN w:val="0"/>
        <w:spacing w:after="120"/>
        <w:ind w:left="720" w:hanging="720"/>
        <w:textAlignment w:val="baseline"/>
        <w:rPr>
          <w:szCs w:val="22"/>
        </w:rPr>
      </w:pPr>
      <w:r w:rsidRPr="001C014C">
        <w:rPr>
          <w:caps w:val="0"/>
          <w:szCs w:val="22"/>
        </w:rPr>
        <w:br w:type="page"/>
      </w:r>
    </w:p>
    <w:p w14:paraId="7989F07B" w14:textId="77777777" w:rsidR="00FE18AC" w:rsidRPr="001C014C" w:rsidRDefault="00FE18AC" w:rsidP="001E24FD">
      <w:pPr>
        <w:pStyle w:val="Heading1"/>
        <w:tabs>
          <w:tab w:val="clear" w:pos="720"/>
        </w:tabs>
        <w:overflowPunct w:val="0"/>
        <w:autoSpaceDE w:val="0"/>
        <w:autoSpaceDN w:val="0"/>
        <w:spacing w:before="240" w:after="120"/>
        <w:textAlignment w:val="baseline"/>
        <w:rPr>
          <w:sz w:val="32"/>
          <w:szCs w:val="32"/>
        </w:rPr>
      </w:pPr>
      <w:bookmarkStart w:id="3" w:name="_Toc368573027"/>
      <w:bookmarkStart w:id="4" w:name="_Toc29300967"/>
      <w:r w:rsidRPr="001C014C">
        <w:rPr>
          <w:caps w:val="0"/>
          <w:sz w:val="32"/>
          <w:szCs w:val="32"/>
        </w:rPr>
        <w:lastRenderedPageBreak/>
        <w:t>PURPOSE</w:t>
      </w:r>
      <w:bookmarkEnd w:id="2"/>
      <w:bookmarkEnd w:id="3"/>
      <w:bookmarkEnd w:id="4"/>
    </w:p>
    <w:p w14:paraId="7F50F8AF" w14:textId="00F76B6E" w:rsidR="0082075A" w:rsidRPr="0082075A" w:rsidRDefault="00506315" w:rsidP="0082075A">
      <w:pPr>
        <w:pStyle w:val="Heading2"/>
        <w:rPr>
          <w:sz w:val="24"/>
          <w:szCs w:val="24"/>
        </w:rPr>
      </w:pPr>
      <w:bookmarkStart w:id="5" w:name="_Toc296415791"/>
      <w:r w:rsidRPr="001C014C">
        <w:rPr>
          <w:sz w:val="24"/>
          <w:szCs w:val="24"/>
        </w:rPr>
        <w:t>This document sets out the services the Department for Work and Pensions (DWP) requires to call off from the Crown Commercial Service (CCS) Management Consu</w:t>
      </w:r>
      <w:r w:rsidR="00C731F5">
        <w:rPr>
          <w:sz w:val="24"/>
          <w:szCs w:val="24"/>
        </w:rPr>
        <w:t>ltancy Framework (RM 3745) Lot 4</w:t>
      </w:r>
      <w:r w:rsidRPr="001C014C">
        <w:rPr>
          <w:sz w:val="24"/>
          <w:szCs w:val="24"/>
        </w:rPr>
        <w:t xml:space="preserve"> </w:t>
      </w:r>
      <w:r w:rsidR="00C21388">
        <w:rPr>
          <w:sz w:val="24"/>
          <w:szCs w:val="24"/>
        </w:rPr>
        <w:t xml:space="preserve">– HR </w:t>
      </w:r>
      <w:r w:rsidRPr="001C014C">
        <w:rPr>
          <w:sz w:val="24"/>
          <w:szCs w:val="24"/>
        </w:rPr>
        <w:t xml:space="preserve">for the provision of </w:t>
      </w:r>
      <w:r w:rsidR="009A5817" w:rsidRPr="001C014C">
        <w:rPr>
          <w:sz w:val="24"/>
          <w:szCs w:val="24"/>
        </w:rPr>
        <w:t>C</w:t>
      </w:r>
      <w:r w:rsidRPr="001C014C">
        <w:rPr>
          <w:sz w:val="24"/>
          <w:szCs w:val="24"/>
        </w:rPr>
        <w:t xml:space="preserve">onsultancy </w:t>
      </w:r>
      <w:r w:rsidR="009A5817" w:rsidRPr="001C014C">
        <w:rPr>
          <w:sz w:val="24"/>
          <w:szCs w:val="24"/>
        </w:rPr>
        <w:t xml:space="preserve">to assist with IR35 </w:t>
      </w:r>
      <w:r w:rsidR="00954E91">
        <w:rPr>
          <w:sz w:val="24"/>
          <w:szCs w:val="24"/>
        </w:rPr>
        <w:t xml:space="preserve">tax </w:t>
      </w:r>
      <w:r w:rsidR="009A5817" w:rsidRPr="001C014C">
        <w:rPr>
          <w:sz w:val="24"/>
          <w:szCs w:val="24"/>
        </w:rPr>
        <w:t>legislation in</w:t>
      </w:r>
      <w:r w:rsidRPr="001C014C">
        <w:rPr>
          <w:sz w:val="24"/>
          <w:szCs w:val="24"/>
        </w:rPr>
        <w:t xml:space="preserve"> DWP</w:t>
      </w:r>
      <w:r w:rsidR="009A5817" w:rsidRPr="001C014C">
        <w:rPr>
          <w:sz w:val="24"/>
          <w:szCs w:val="24"/>
        </w:rPr>
        <w:t>.</w:t>
      </w:r>
    </w:p>
    <w:p w14:paraId="7196B137" w14:textId="77777777" w:rsidR="00671798" w:rsidRPr="001C014C"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29300968"/>
      <w:bookmarkStart w:id="8" w:name="_Toc297554773"/>
      <w:bookmarkStart w:id="9" w:name="_Toc296415805"/>
      <w:bookmarkStart w:id="10" w:name="_Toc296415793"/>
      <w:bookmarkEnd w:id="5"/>
      <w:r w:rsidRPr="001C014C">
        <w:rPr>
          <w:sz w:val="32"/>
          <w:szCs w:val="32"/>
        </w:rPr>
        <w:t>BACKGROUND TO THE CONTRACTING aUTHORITY</w:t>
      </w:r>
      <w:bookmarkEnd w:id="6"/>
      <w:bookmarkEnd w:id="7"/>
    </w:p>
    <w:p w14:paraId="42CB6669" w14:textId="77777777" w:rsidR="00506315" w:rsidRPr="001C014C" w:rsidRDefault="00506315" w:rsidP="00506315">
      <w:pPr>
        <w:pStyle w:val="Heading2"/>
        <w:tabs>
          <w:tab w:val="clear" w:pos="720"/>
        </w:tabs>
        <w:spacing w:after="120"/>
        <w:ind w:left="709" w:hanging="709"/>
        <w:rPr>
          <w:sz w:val="24"/>
          <w:szCs w:val="24"/>
        </w:rPr>
      </w:pPr>
      <w:r w:rsidRPr="001C014C">
        <w:rPr>
          <w:sz w:val="24"/>
          <w:szCs w:val="24"/>
        </w:rPr>
        <w:t xml:space="preserve">DWP, is a major Government Department responsible for customer delivery and policy formation on all aspects of the Government's welfare to work strategy and social security provision. </w:t>
      </w:r>
    </w:p>
    <w:p w14:paraId="1024AFD3" w14:textId="77777777" w:rsidR="00506315" w:rsidRPr="001C014C" w:rsidRDefault="00506315" w:rsidP="00506315">
      <w:pPr>
        <w:pStyle w:val="Heading2"/>
        <w:tabs>
          <w:tab w:val="clear" w:pos="720"/>
          <w:tab w:val="num" w:pos="1996"/>
        </w:tabs>
        <w:spacing w:after="120"/>
        <w:ind w:left="709" w:hanging="709"/>
        <w:rPr>
          <w:sz w:val="24"/>
          <w:szCs w:val="24"/>
        </w:rPr>
      </w:pPr>
      <w:r w:rsidRPr="001C014C">
        <w:rPr>
          <w:sz w:val="24"/>
          <w:szCs w:val="24"/>
        </w:rPr>
        <w:t>This includes the provision of welfare to work and social security benefits to individuals with health conditions and disabilities and those over working age. The Department has over 80,000 staff to deliver £165bn of payments annually, comprising of pensions, welfare to work and social security benefits.</w:t>
      </w:r>
    </w:p>
    <w:p w14:paraId="6A79F7C8" w14:textId="02030D3D" w:rsidR="00506315" w:rsidRPr="001C014C" w:rsidRDefault="00506315" w:rsidP="00506315">
      <w:pPr>
        <w:pStyle w:val="Heading2"/>
        <w:tabs>
          <w:tab w:val="clear" w:pos="720"/>
          <w:tab w:val="num" w:pos="1996"/>
        </w:tabs>
        <w:spacing w:after="120"/>
        <w:ind w:left="709"/>
        <w:rPr>
          <w:sz w:val="24"/>
          <w:szCs w:val="24"/>
        </w:rPr>
      </w:pPr>
      <w:r w:rsidRPr="001C014C">
        <w:rPr>
          <w:sz w:val="24"/>
          <w:szCs w:val="24"/>
        </w:rPr>
        <w:t>For more information on the work and overall objectives of the Department, please view our single business plan</w:t>
      </w:r>
      <w:r w:rsidR="00104909">
        <w:rPr>
          <w:sz w:val="24"/>
          <w:szCs w:val="24"/>
        </w:rPr>
        <w:t xml:space="preserve"> 2018 - 2022</w:t>
      </w:r>
      <w:r w:rsidRPr="001C014C">
        <w:rPr>
          <w:sz w:val="24"/>
          <w:szCs w:val="24"/>
        </w:rPr>
        <w:t xml:space="preserve">, </w:t>
      </w:r>
      <w:r w:rsidR="00104909">
        <w:rPr>
          <w:sz w:val="24"/>
          <w:szCs w:val="24"/>
        </w:rPr>
        <w:t xml:space="preserve">which is </w:t>
      </w:r>
      <w:r w:rsidRPr="001C014C">
        <w:rPr>
          <w:sz w:val="24"/>
          <w:szCs w:val="24"/>
        </w:rPr>
        <w:t>published at:</w:t>
      </w:r>
    </w:p>
    <w:p w14:paraId="6423B475" w14:textId="64D48469" w:rsidR="00506315" w:rsidRDefault="0091547E" w:rsidP="00FE34EC">
      <w:pPr>
        <w:pStyle w:val="Heading2"/>
        <w:numPr>
          <w:ilvl w:val="0"/>
          <w:numId w:val="0"/>
        </w:numPr>
        <w:spacing w:after="120"/>
        <w:ind w:left="709"/>
        <w:rPr>
          <w:sz w:val="24"/>
          <w:szCs w:val="24"/>
        </w:rPr>
      </w:pPr>
      <w:hyperlink r:id="rId9" w:history="1">
        <w:r w:rsidR="00FE34EC" w:rsidRPr="00FE34EC">
          <w:rPr>
            <w:rStyle w:val="Hyperlink"/>
            <w:sz w:val="24"/>
            <w:szCs w:val="24"/>
          </w:rPr>
          <w:t>https://www.gov.uk/government/publications/department-for-work-and-pensions-single-departmental-plan/department-for-work-and-pensions-single-departmental-plan--2</w:t>
        </w:r>
      </w:hyperlink>
      <w:r w:rsidR="00FE34EC" w:rsidRPr="00FE34EC">
        <w:rPr>
          <w:sz w:val="24"/>
          <w:szCs w:val="24"/>
        </w:rPr>
        <w:t xml:space="preserve"> </w:t>
      </w:r>
    </w:p>
    <w:p w14:paraId="151A9D23" w14:textId="77777777" w:rsidR="00FE18AC" w:rsidRPr="001C014C" w:rsidRDefault="00FE18AC" w:rsidP="006A2C13">
      <w:pPr>
        <w:pStyle w:val="Heading1"/>
        <w:tabs>
          <w:tab w:val="clear" w:pos="720"/>
        </w:tabs>
        <w:overflowPunct w:val="0"/>
        <w:autoSpaceDE w:val="0"/>
        <w:autoSpaceDN w:val="0"/>
        <w:spacing w:before="240" w:after="120"/>
        <w:textAlignment w:val="baseline"/>
        <w:rPr>
          <w:sz w:val="32"/>
          <w:szCs w:val="32"/>
        </w:rPr>
      </w:pPr>
      <w:bookmarkStart w:id="11" w:name="_Toc368573029"/>
      <w:bookmarkStart w:id="12" w:name="_Toc29300969"/>
      <w:r w:rsidRPr="001C014C">
        <w:rPr>
          <w:sz w:val="32"/>
          <w:szCs w:val="32"/>
        </w:rPr>
        <w:t>Background to requirement/OVERVIEW</w:t>
      </w:r>
      <w:bookmarkEnd w:id="8"/>
      <w:r w:rsidRPr="001C014C">
        <w:rPr>
          <w:sz w:val="32"/>
          <w:szCs w:val="32"/>
        </w:rPr>
        <w:t xml:space="preserve"> of requirement</w:t>
      </w:r>
      <w:bookmarkEnd w:id="11"/>
      <w:bookmarkEnd w:id="12"/>
    </w:p>
    <w:p w14:paraId="7F4278BD" w14:textId="5CCED6E6" w:rsidR="004377D6" w:rsidRPr="004377D6" w:rsidRDefault="004377D6" w:rsidP="004377D6">
      <w:pPr>
        <w:pStyle w:val="Heading2"/>
        <w:rPr>
          <w:sz w:val="24"/>
          <w:szCs w:val="24"/>
        </w:rPr>
      </w:pPr>
      <w:bookmarkStart w:id="13" w:name="_Toc297554774"/>
      <w:bookmarkEnd w:id="9"/>
      <w:r w:rsidRPr="004377D6">
        <w:rPr>
          <w:sz w:val="24"/>
          <w:szCs w:val="24"/>
        </w:rPr>
        <w:t xml:space="preserve">The DWP Tax Team and cross government Tax Centre of Excellence lack the capacity to support the amount of queries and issues that have surfaced and continue to arise in relation to IR35. IR35 work has been the priority over recent months and other tax work (e.g. VAT returns) has been deprioritised as a result. </w:t>
      </w:r>
    </w:p>
    <w:p w14:paraId="341EEB17" w14:textId="6692771A" w:rsidR="004377D6" w:rsidRPr="004377D6" w:rsidRDefault="004377D6" w:rsidP="004377D6">
      <w:pPr>
        <w:pStyle w:val="Heading2"/>
        <w:rPr>
          <w:sz w:val="24"/>
          <w:szCs w:val="24"/>
        </w:rPr>
      </w:pPr>
      <w:r w:rsidRPr="004377D6">
        <w:rPr>
          <w:sz w:val="24"/>
          <w:szCs w:val="24"/>
        </w:rPr>
        <w:t xml:space="preserve">Work thus far on IR35 has been concentrated in one part of DWP i.e. Digital Group where the vast majority of workers are assigned. </w:t>
      </w:r>
      <w:r w:rsidR="0002388A" w:rsidRPr="00980308">
        <w:rPr>
          <w:rFonts w:cs="Arial"/>
          <w:b/>
        </w:rPr>
        <w:t>REDACTED</w:t>
      </w:r>
      <w:r w:rsidR="0002388A" w:rsidRPr="0036679C">
        <w:rPr>
          <w:rFonts w:cs="Arial"/>
          <w:b/>
        </w:rPr>
        <w:tab/>
      </w:r>
    </w:p>
    <w:p w14:paraId="212D91B9" w14:textId="39EEAF78" w:rsidR="004377D6" w:rsidRPr="004377D6" w:rsidRDefault="004377D6" w:rsidP="004377D6">
      <w:pPr>
        <w:pStyle w:val="Heading2"/>
        <w:rPr>
          <w:sz w:val="24"/>
          <w:szCs w:val="24"/>
        </w:rPr>
      </w:pPr>
      <w:r w:rsidRPr="004377D6">
        <w:rPr>
          <w:sz w:val="24"/>
          <w:szCs w:val="24"/>
        </w:rPr>
        <w:t>In addition, some service based contracts may have been used to employ contractors, without the appropriate IR35 assessments. These service based contractors require review.</w:t>
      </w:r>
    </w:p>
    <w:p w14:paraId="294D2AEA" w14:textId="77777777" w:rsidR="0002388A" w:rsidRPr="0002388A" w:rsidRDefault="0002388A" w:rsidP="007F5E08">
      <w:pPr>
        <w:pStyle w:val="Heading2"/>
        <w:spacing w:after="120"/>
        <w:ind w:left="709" w:hanging="709"/>
        <w:rPr>
          <w:sz w:val="24"/>
          <w:szCs w:val="24"/>
        </w:rPr>
      </w:pPr>
      <w:r w:rsidRPr="00980308">
        <w:rPr>
          <w:rFonts w:cs="Arial"/>
          <w:b/>
        </w:rPr>
        <w:t>REDACTED</w:t>
      </w:r>
      <w:r w:rsidRPr="0036679C">
        <w:rPr>
          <w:rFonts w:cs="Arial"/>
          <w:b/>
        </w:rPr>
        <w:tab/>
      </w:r>
    </w:p>
    <w:p w14:paraId="2D9BEEBA" w14:textId="3908FFE1" w:rsidR="007F5E08" w:rsidRPr="001C014C" w:rsidRDefault="00BA3B35" w:rsidP="007F5E08">
      <w:pPr>
        <w:pStyle w:val="Heading2"/>
        <w:spacing w:after="120"/>
        <w:ind w:left="709" w:hanging="709"/>
        <w:rPr>
          <w:sz w:val="24"/>
          <w:szCs w:val="24"/>
        </w:rPr>
      </w:pPr>
      <w:r w:rsidRPr="001C014C">
        <w:rPr>
          <w:sz w:val="24"/>
          <w:szCs w:val="24"/>
        </w:rPr>
        <w:t xml:space="preserve">Earlier this year, compliance checks by the DWP Tax Team revealed </w:t>
      </w:r>
      <w:r w:rsidR="000E13D8">
        <w:rPr>
          <w:sz w:val="24"/>
          <w:szCs w:val="24"/>
        </w:rPr>
        <w:t xml:space="preserve">potential </w:t>
      </w:r>
      <w:r w:rsidRPr="001C014C">
        <w:rPr>
          <w:sz w:val="24"/>
          <w:szCs w:val="24"/>
        </w:rPr>
        <w:t xml:space="preserve">areas of non-compliance with IR35 legislation i.e. workers that should have been assessed as in-scope (and therefore liable to pay tax and NI) were deemed to be out-of-scope. </w:t>
      </w:r>
    </w:p>
    <w:p w14:paraId="75EB5AD6" w14:textId="3F5266AD" w:rsidR="00580509" w:rsidRPr="001C014C" w:rsidRDefault="00BA3B35" w:rsidP="007F5E08">
      <w:pPr>
        <w:pStyle w:val="Heading2"/>
        <w:spacing w:after="120"/>
        <w:ind w:left="709" w:hanging="709"/>
        <w:rPr>
          <w:sz w:val="24"/>
          <w:szCs w:val="24"/>
        </w:rPr>
      </w:pPr>
      <w:r w:rsidRPr="001C014C">
        <w:rPr>
          <w:sz w:val="24"/>
          <w:szCs w:val="24"/>
        </w:rPr>
        <w:t xml:space="preserve">A small working group was formed to understand whether these compliance checks were an indication of a larger issue with IR35 compliance. A Panel </w:t>
      </w:r>
      <w:r w:rsidRPr="001C014C">
        <w:rPr>
          <w:sz w:val="24"/>
          <w:szCs w:val="24"/>
        </w:rPr>
        <w:lastRenderedPageBreak/>
        <w:t>comprising DWP Tax, Finance, HR, Commercial and Digital colleagues interviewed several assignment managers who are responsible for assessing IR35 using the HMRC Check Employment Status Tool (CEST)</w:t>
      </w:r>
      <w:r w:rsidR="00580509" w:rsidRPr="001C014C">
        <w:rPr>
          <w:sz w:val="24"/>
          <w:szCs w:val="24"/>
        </w:rPr>
        <w:t xml:space="preserve">. </w:t>
      </w:r>
      <w:r w:rsidR="0002388A" w:rsidRPr="00980308">
        <w:rPr>
          <w:rFonts w:cs="Arial"/>
          <w:b/>
        </w:rPr>
        <w:t>REDACTED</w:t>
      </w:r>
      <w:r w:rsidR="0002388A" w:rsidRPr="0036679C">
        <w:rPr>
          <w:rFonts w:cs="Arial"/>
          <w:b/>
        </w:rPr>
        <w:tab/>
      </w:r>
    </w:p>
    <w:p w14:paraId="08032811" w14:textId="38621AE0" w:rsidR="00580509" w:rsidRPr="001C014C" w:rsidRDefault="00580509" w:rsidP="007F5E08">
      <w:pPr>
        <w:pStyle w:val="Heading2"/>
        <w:spacing w:after="120"/>
        <w:ind w:left="709" w:hanging="709"/>
        <w:rPr>
          <w:sz w:val="24"/>
          <w:szCs w:val="24"/>
        </w:rPr>
      </w:pPr>
      <w:r w:rsidRPr="001C014C">
        <w:rPr>
          <w:sz w:val="24"/>
          <w:szCs w:val="24"/>
        </w:rPr>
        <w:t xml:space="preserve">The Government Internal Audit Agency (GIAA) </w:t>
      </w:r>
      <w:r w:rsidR="001B066D" w:rsidRPr="001C014C">
        <w:rPr>
          <w:sz w:val="24"/>
          <w:szCs w:val="24"/>
        </w:rPr>
        <w:t xml:space="preserve">also </w:t>
      </w:r>
      <w:r w:rsidRPr="001C014C">
        <w:rPr>
          <w:sz w:val="24"/>
          <w:szCs w:val="24"/>
        </w:rPr>
        <w:t>conducted a review to understand the reason for incorrectly assessing workers</w:t>
      </w:r>
      <w:r w:rsidR="001B066D" w:rsidRPr="001C014C">
        <w:rPr>
          <w:sz w:val="24"/>
          <w:szCs w:val="24"/>
        </w:rPr>
        <w:t xml:space="preserve"> as out of scope</w:t>
      </w:r>
      <w:r w:rsidRPr="001C014C">
        <w:rPr>
          <w:sz w:val="24"/>
          <w:szCs w:val="24"/>
        </w:rPr>
        <w:t>. GIAA concluded</w:t>
      </w:r>
      <w:r w:rsidR="001B066D" w:rsidRPr="001C014C">
        <w:rPr>
          <w:sz w:val="24"/>
          <w:szCs w:val="24"/>
        </w:rPr>
        <w:t xml:space="preserve">, amongst other things, </w:t>
      </w:r>
      <w:r w:rsidRPr="001C014C">
        <w:rPr>
          <w:sz w:val="24"/>
          <w:szCs w:val="24"/>
        </w:rPr>
        <w:t xml:space="preserve">that </w:t>
      </w:r>
      <w:r w:rsidR="001B066D" w:rsidRPr="001C014C">
        <w:rPr>
          <w:sz w:val="24"/>
          <w:szCs w:val="24"/>
        </w:rPr>
        <w:t xml:space="preserve">because </w:t>
      </w:r>
      <w:r w:rsidRPr="001C014C">
        <w:rPr>
          <w:sz w:val="24"/>
          <w:szCs w:val="24"/>
        </w:rPr>
        <w:t>the IR35 legislation had only been published in March-2017, there was ambiguity over the CEST tool and associated guidance, particularly associated with substitution, the primary reason why workers had been assessed as out of scope.</w:t>
      </w:r>
    </w:p>
    <w:p w14:paraId="25F27558" w14:textId="750B39A8" w:rsidR="00F437D5" w:rsidRPr="001C014C" w:rsidRDefault="001B066D" w:rsidP="007F5E08">
      <w:pPr>
        <w:pStyle w:val="Heading2"/>
        <w:spacing w:after="120"/>
        <w:ind w:left="709" w:hanging="709"/>
        <w:rPr>
          <w:sz w:val="24"/>
          <w:szCs w:val="24"/>
        </w:rPr>
      </w:pPr>
      <w:r w:rsidRPr="001C014C">
        <w:rPr>
          <w:sz w:val="24"/>
          <w:szCs w:val="24"/>
        </w:rPr>
        <w:t>During the summer this year, t</w:t>
      </w:r>
      <w:r w:rsidR="00580509" w:rsidRPr="001C014C">
        <w:rPr>
          <w:sz w:val="24"/>
          <w:szCs w:val="24"/>
        </w:rPr>
        <w:t xml:space="preserve">he DWP Tax Team working as part of a cross-government Tax Centre of Excellence, produced updated guidance and case studies. During September, this guidance was used to train and upskill </w:t>
      </w:r>
      <w:r w:rsidR="00F437D5" w:rsidRPr="001C014C">
        <w:rPr>
          <w:sz w:val="24"/>
          <w:szCs w:val="24"/>
        </w:rPr>
        <w:t xml:space="preserve">over 200 </w:t>
      </w:r>
      <w:r w:rsidR="00580509" w:rsidRPr="001C014C">
        <w:rPr>
          <w:sz w:val="24"/>
          <w:szCs w:val="24"/>
        </w:rPr>
        <w:t>assignment managers and newly appointed IR35 Business Champions</w:t>
      </w:r>
      <w:r w:rsidR="00F437D5" w:rsidRPr="001C014C">
        <w:rPr>
          <w:sz w:val="24"/>
          <w:szCs w:val="24"/>
        </w:rPr>
        <w:t xml:space="preserve"> to ensure they had the right level of education and understanding to undertake IR35 reassessments.</w:t>
      </w:r>
    </w:p>
    <w:p w14:paraId="60533E11" w14:textId="4CD90F8B" w:rsidR="001B066D" w:rsidRPr="001C014C" w:rsidRDefault="00F437D5" w:rsidP="007F5E08">
      <w:pPr>
        <w:pStyle w:val="Heading2"/>
        <w:spacing w:after="120"/>
        <w:ind w:left="709" w:hanging="709"/>
        <w:rPr>
          <w:sz w:val="24"/>
          <w:szCs w:val="24"/>
        </w:rPr>
      </w:pPr>
      <w:r w:rsidRPr="001C014C">
        <w:rPr>
          <w:sz w:val="24"/>
          <w:szCs w:val="24"/>
        </w:rPr>
        <w:t xml:space="preserve">At the end of September, a rolling programme of IR35 reassessments commenced upon contract renewal with the aim of ensuring DWP </w:t>
      </w:r>
      <w:r w:rsidR="000E13D8">
        <w:rPr>
          <w:sz w:val="24"/>
          <w:szCs w:val="24"/>
        </w:rPr>
        <w:t xml:space="preserve">was </w:t>
      </w:r>
      <w:r w:rsidRPr="001C014C">
        <w:rPr>
          <w:sz w:val="24"/>
          <w:szCs w:val="24"/>
        </w:rPr>
        <w:t xml:space="preserve">compliant </w:t>
      </w:r>
      <w:r w:rsidR="0039597C" w:rsidRPr="001C014C">
        <w:rPr>
          <w:sz w:val="24"/>
          <w:szCs w:val="24"/>
        </w:rPr>
        <w:t>with IR35 legislation</w:t>
      </w:r>
      <w:r w:rsidR="0039597C">
        <w:rPr>
          <w:sz w:val="24"/>
          <w:szCs w:val="24"/>
        </w:rPr>
        <w:t xml:space="preserve"> </w:t>
      </w:r>
      <w:r w:rsidR="000E13D8">
        <w:rPr>
          <w:sz w:val="24"/>
          <w:szCs w:val="24"/>
        </w:rPr>
        <w:t>going forward</w:t>
      </w:r>
      <w:r w:rsidRPr="001C014C">
        <w:rPr>
          <w:sz w:val="24"/>
          <w:szCs w:val="24"/>
        </w:rPr>
        <w:t xml:space="preserve">. </w:t>
      </w:r>
      <w:r w:rsidR="001B066D" w:rsidRPr="001C014C">
        <w:rPr>
          <w:sz w:val="24"/>
          <w:szCs w:val="24"/>
        </w:rPr>
        <w:t xml:space="preserve">This rolling programme </w:t>
      </w:r>
      <w:r w:rsidR="000E13D8">
        <w:rPr>
          <w:sz w:val="24"/>
          <w:szCs w:val="24"/>
        </w:rPr>
        <w:t>was</w:t>
      </w:r>
      <w:r w:rsidR="001B066D" w:rsidRPr="001C014C">
        <w:rPr>
          <w:sz w:val="24"/>
          <w:szCs w:val="24"/>
        </w:rPr>
        <w:t xml:space="preserve"> expected to last until summer 2020, by which time all c.700 workers </w:t>
      </w:r>
      <w:r w:rsidR="00392DC8" w:rsidRPr="001C014C">
        <w:rPr>
          <w:sz w:val="24"/>
          <w:szCs w:val="24"/>
        </w:rPr>
        <w:t>w</w:t>
      </w:r>
      <w:r w:rsidR="00392DC8">
        <w:rPr>
          <w:sz w:val="24"/>
          <w:szCs w:val="24"/>
        </w:rPr>
        <w:t xml:space="preserve">ould </w:t>
      </w:r>
      <w:r w:rsidR="00392DC8" w:rsidRPr="001C014C">
        <w:rPr>
          <w:sz w:val="24"/>
          <w:szCs w:val="24"/>
        </w:rPr>
        <w:t>have</w:t>
      </w:r>
      <w:r w:rsidR="001B066D" w:rsidRPr="001C014C">
        <w:rPr>
          <w:sz w:val="24"/>
          <w:szCs w:val="24"/>
        </w:rPr>
        <w:t xml:space="preserve"> been reassessed and their contract terms changed where necessary. </w:t>
      </w:r>
    </w:p>
    <w:p w14:paraId="689E680F" w14:textId="38776E8B" w:rsidR="00BA3B35" w:rsidRDefault="00D04315" w:rsidP="007F5E08">
      <w:pPr>
        <w:pStyle w:val="Heading2"/>
        <w:spacing w:after="120"/>
        <w:ind w:left="709" w:hanging="709"/>
        <w:rPr>
          <w:sz w:val="24"/>
          <w:szCs w:val="24"/>
        </w:rPr>
      </w:pPr>
      <w:r w:rsidRPr="001C014C">
        <w:rPr>
          <w:sz w:val="24"/>
          <w:szCs w:val="24"/>
        </w:rPr>
        <w:t xml:space="preserve">A small number of critical projects </w:t>
      </w:r>
      <w:r w:rsidR="000E13D8">
        <w:rPr>
          <w:sz w:val="24"/>
          <w:szCs w:val="24"/>
        </w:rPr>
        <w:t>were</w:t>
      </w:r>
      <w:r w:rsidRPr="001C014C">
        <w:rPr>
          <w:sz w:val="24"/>
          <w:szCs w:val="24"/>
        </w:rPr>
        <w:t xml:space="preserve"> excluded from this process for a short duration (up to 3-months) whilst alternative commercial arrangements </w:t>
      </w:r>
      <w:r w:rsidR="000E13D8">
        <w:rPr>
          <w:sz w:val="24"/>
          <w:szCs w:val="24"/>
        </w:rPr>
        <w:t>were</w:t>
      </w:r>
      <w:r w:rsidRPr="001C014C">
        <w:rPr>
          <w:sz w:val="24"/>
          <w:szCs w:val="24"/>
        </w:rPr>
        <w:t xml:space="preserve"> put in place as a contingency in case the workers decide to leave DWP rather than working in-scope.</w:t>
      </w:r>
    </w:p>
    <w:p w14:paraId="76EF01B8" w14:textId="48059A82" w:rsidR="000E13D8" w:rsidRDefault="000E13D8" w:rsidP="007F5E08">
      <w:pPr>
        <w:pStyle w:val="Heading2"/>
        <w:spacing w:after="120"/>
        <w:ind w:left="709" w:hanging="709"/>
        <w:rPr>
          <w:sz w:val="24"/>
          <w:szCs w:val="24"/>
        </w:rPr>
      </w:pPr>
      <w:r>
        <w:rPr>
          <w:sz w:val="24"/>
          <w:szCs w:val="24"/>
        </w:rPr>
        <w:t xml:space="preserve">In November, the rolling programme of reassessments was supplemented by an updated </w:t>
      </w:r>
      <w:r w:rsidR="00D5674A">
        <w:rPr>
          <w:sz w:val="24"/>
          <w:szCs w:val="24"/>
        </w:rPr>
        <w:t xml:space="preserve">DWP Digital Group </w:t>
      </w:r>
      <w:r w:rsidR="008D42D5">
        <w:rPr>
          <w:sz w:val="24"/>
          <w:szCs w:val="24"/>
        </w:rPr>
        <w:t xml:space="preserve">IR35 </w:t>
      </w:r>
      <w:r>
        <w:rPr>
          <w:sz w:val="24"/>
          <w:szCs w:val="24"/>
        </w:rPr>
        <w:t>policy</w:t>
      </w:r>
      <w:r w:rsidR="00D5674A">
        <w:rPr>
          <w:sz w:val="24"/>
          <w:szCs w:val="24"/>
        </w:rPr>
        <w:t xml:space="preserve"> accepting that substitution </w:t>
      </w:r>
      <w:r w:rsidR="008D42D5">
        <w:rPr>
          <w:sz w:val="24"/>
          <w:szCs w:val="24"/>
        </w:rPr>
        <w:t xml:space="preserve">will </w:t>
      </w:r>
      <w:r w:rsidR="00D5674A">
        <w:rPr>
          <w:sz w:val="24"/>
          <w:szCs w:val="24"/>
        </w:rPr>
        <w:t>not</w:t>
      </w:r>
      <w:r w:rsidR="008D42D5">
        <w:rPr>
          <w:sz w:val="24"/>
          <w:szCs w:val="24"/>
        </w:rPr>
        <w:t xml:space="preserve"> be</w:t>
      </w:r>
      <w:r w:rsidR="00D5674A">
        <w:rPr>
          <w:sz w:val="24"/>
          <w:szCs w:val="24"/>
        </w:rPr>
        <w:t xml:space="preserve"> feasible in the DWP operating model </w:t>
      </w:r>
      <w:r w:rsidR="008D42D5">
        <w:rPr>
          <w:sz w:val="24"/>
          <w:szCs w:val="24"/>
        </w:rPr>
        <w:t xml:space="preserve">going forward </w:t>
      </w:r>
      <w:r w:rsidR="00D5674A">
        <w:rPr>
          <w:sz w:val="24"/>
          <w:szCs w:val="24"/>
        </w:rPr>
        <w:t>and acknowledging that control and direction is necessary in the majority of roles going forward</w:t>
      </w:r>
      <w:r w:rsidR="00D93B16">
        <w:rPr>
          <w:sz w:val="24"/>
          <w:szCs w:val="24"/>
        </w:rPr>
        <w:t>, whilst</w:t>
      </w:r>
      <w:r w:rsidR="00D5674A">
        <w:rPr>
          <w:sz w:val="24"/>
          <w:szCs w:val="24"/>
        </w:rPr>
        <w:t xml:space="preserve"> noting there would be exceptions.</w:t>
      </w:r>
    </w:p>
    <w:p w14:paraId="16374628" w14:textId="056C503A" w:rsidR="00D93B16" w:rsidRDefault="00D93B16" w:rsidP="007F5E08">
      <w:pPr>
        <w:pStyle w:val="Heading2"/>
        <w:spacing w:after="120"/>
        <w:ind w:left="709" w:hanging="709"/>
        <w:rPr>
          <w:sz w:val="24"/>
          <w:szCs w:val="24"/>
        </w:rPr>
      </w:pPr>
      <w:r>
        <w:rPr>
          <w:sz w:val="24"/>
          <w:szCs w:val="24"/>
        </w:rPr>
        <w:t>The plan to complete reassessments upon contract renewal was also intercepted and brought forward to the 31</w:t>
      </w:r>
      <w:r w:rsidRPr="001929C4">
        <w:rPr>
          <w:sz w:val="24"/>
          <w:szCs w:val="24"/>
          <w:vertAlign w:val="superscript"/>
        </w:rPr>
        <w:t>st</w:t>
      </w:r>
      <w:r>
        <w:rPr>
          <w:sz w:val="24"/>
          <w:szCs w:val="24"/>
        </w:rPr>
        <w:t xml:space="preserve"> January 2020 for both contract renewals and existing contracts. Whilst this plan is applicable to Digital Group, plans still need to be agreed for one of the critical projects mentioned above and for contractors working in DWP that are not part of Digital Group.</w:t>
      </w:r>
    </w:p>
    <w:p w14:paraId="387AF25E" w14:textId="16C5B3C7" w:rsidR="008D42D5" w:rsidRDefault="008D42D5" w:rsidP="008D42D5">
      <w:pPr>
        <w:pStyle w:val="Heading2"/>
        <w:spacing w:after="120"/>
        <w:ind w:left="709" w:hanging="709"/>
        <w:rPr>
          <w:sz w:val="24"/>
        </w:rPr>
      </w:pPr>
      <w:r>
        <w:rPr>
          <w:sz w:val="24"/>
          <w:szCs w:val="24"/>
        </w:rPr>
        <w:t xml:space="preserve">The implementation of the plan above encompasses Digital Group </w:t>
      </w:r>
      <w:r w:rsidRPr="008D42D5">
        <w:rPr>
          <w:sz w:val="24"/>
        </w:rPr>
        <w:t>conduct</w:t>
      </w:r>
      <w:r>
        <w:rPr>
          <w:sz w:val="24"/>
        </w:rPr>
        <w:t>ing</w:t>
      </w:r>
      <w:r w:rsidRPr="008D42D5">
        <w:rPr>
          <w:sz w:val="24"/>
        </w:rPr>
        <w:t xml:space="preserve"> centrally a single IR35 assessment (i.e. applying the same IR35 status assessment to</w:t>
      </w:r>
      <w:r>
        <w:rPr>
          <w:sz w:val="24"/>
        </w:rPr>
        <w:t xml:space="preserve"> all</w:t>
      </w:r>
      <w:r w:rsidRPr="008D42D5">
        <w:rPr>
          <w:sz w:val="24"/>
        </w:rPr>
        <w:t xml:space="preserve"> workers in Digital</w:t>
      </w:r>
      <w:r>
        <w:rPr>
          <w:sz w:val="24"/>
        </w:rPr>
        <w:t xml:space="preserve"> Group in line with the new policy</w:t>
      </w:r>
      <w:r w:rsidRPr="008D42D5">
        <w:rPr>
          <w:sz w:val="24"/>
        </w:rPr>
        <w:t>)</w:t>
      </w:r>
      <w:r>
        <w:rPr>
          <w:sz w:val="24"/>
        </w:rPr>
        <w:t>,</w:t>
      </w:r>
      <w:r w:rsidRPr="008D42D5">
        <w:rPr>
          <w:sz w:val="24"/>
        </w:rPr>
        <w:t> </w:t>
      </w:r>
      <w:r>
        <w:rPr>
          <w:sz w:val="24"/>
        </w:rPr>
        <w:t xml:space="preserve">working </w:t>
      </w:r>
      <w:r w:rsidRPr="008D42D5">
        <w:rPr>
          <w:sz w:val="24"/>
        </w:rPr>
        <w:t xml:space="preserve">with </w:t>
      </w:r>
      <w:r>
        <w:rPr>
          <w:sz w:val="24"/>
        </w:rPr>
        <w:t>the Tax Centre of Excellence, </w:t>
      </w:r>
      <w:r w:rsidRPr="008D42D5">
        <w:rPr>
          <w:sz w:val="24"/>
        </w:rPr>
        <w:t xml:space="preserve">on the basis that all contractors will be subject to control and direction, and substitution will not be accepted.  This </w:t>
      </w:r>
      <w:r>
        <w:rPr>
          <w:sz w:val="24"/>
        </w:rPr>
        <w:t xml:space="preserve">aims to </w:t>
      </w:r>
      <w:r w:rsidRPr="008D42D5">
        <w:rPr>
          <w:sz w:val="24"/>
        </w:rPr>
        <w:t>remove the need for further assignment manager led assessments. </w:t>
      </w:r>
      <w:r>
        <w:rPr>
          <w:sz w:val="24"/>
        </w:rPr>
        <w:t>An e</w:t>
      </w:r>
      <w:r w:rsidRPr="008D42D5">
        <w:rPr>
          <w:sz w:val="24"/>
        </w:rPr>
        <w:t>xception</w:t>
      </w:r>
      <w:r>
        <w:rPr>
          <w:sz w:val="24"/>
        </w:rPr>
        <w:t xml:space="preserve"> process will operate to manage contractor appeals.</w:t>
      </w:r>
    </w:p>
    <w:p w14:paraId="081CFAE7" w14:textId="6CF7FD26" w:rsidR="00C4233A" w:rsidRPr="001C014C" w:rsidRDefault="00106F24">
      <w:pPr>
        <w:pStyle w:val="Heading1"/>
        <w:tabs>
          <w:tab w:val="clear" w:pos="720"/>
        </w:tabs>
        <w:overflowPunct w:val="0"/>
        <w:autoSpaceDE w:val="0"/>
        <w:autoSpaceDN w:val="0"/>
        <w:spacing w:after="120"/>
        <w:textAlignment w:val="baseline"/>
        <w:rPr>
          <w:sz w:val="32"/>
          <w:szCs w:val="32"/>
        </w:rPr>
      </w:pPr>
      <w:bookmarkStart w:id="14" w:name="_Toc29300970"/>
      <w:bookmarkStart w:id="15" w:name="_Toc368573030"/>
      <w:r w:rsidRPr="001C014C">
        <w:rPr>
          <w:sz w:val="32"/>
          <w:szCs w:val="32"/>
        </w:rPr>
        <w:lastRenderedPageBreak/>
        <w:t>definitions</w:t>
      </w:r>
      <w:bookmarkEnd w:id="14"/>
      <w:r w:rsidRPr="001C014C">
        <w:rPr>
          <w:sz w:val="32"/>
          <w:szCs w:val="32"/>
        </w:rPr>
        <w:t xml:space="preserve"> </w:t>
      </w:r>
    </w:p>
    <w:tbl>
      <w:tblPr>
        <w:tblStyle w:val="TableGrid"/>
        <w:tblW w:w="0" w:type="auto"/>
        <w:tblInd w:w="720" w:type="dxa"/>
        <w:tblLook w:val="04A0" w:firstRow="1" w:lastRow="0" w:firstColumn="1" w:lastColumn="0" w:noHBand="0" w:noVBand="1"/>
      </w:tblPr>
      <w:tblGrid>
        <w:gridCol w:w="2122"/>
        <w:gridCol w:w="6177"/>
      </w:tblGrid>
      <w:tr w:rsidR="00F437D5" w:rsidRPr="001C014C" w14:paraId="0B5904CC" w14:textId="77777777" w:rsidTr="004F4C53">
        <w:tc>
          <w:tcPr>
            <w:tcW w:w="2122" w:type="dxa"/>
            <w:shd w:val="clear" w:color="auto" w:fill="C6D9F1" w:themeFill="text2" w:themeFillTint="33"/>
          </w:tcPr>
          <w:p w14:paraId="51A39B8D" w14:textId="77777777" w:rsidR="00F437D5" w:rsidRPr="001C014C" w:rsidRDefault="00F437D5" w:rsidP="004F4C53">
            <w:pPr>
              <w:pStyle w:val="Heading2"/>
              <w:numPr>
                <w:ilvl w:val="0"/>
                <w:numId w:val="0"/>
              </w:numPr>
              <w:spacing w:after="120"/>
              <w:ind w:left="18" w:hanging="18"/>
              <w:jc w:val="center"/>
              <w:outlineLvl w:val="1"/>
              <w:rPr>
                <w:b/>
                <w:sz w:val="24"/>
                <w:szCs w:val="24"/>
              </w:rPr>
            </w:pPr>
            <w:r w:rsidRPr="001C014C">
              <w:rPr>
                <w:b/>
                <w:sz w:val="24"/>
                <w:szCs w:val="24"/>
              </w:rPr>
              <w:t>Expression or Acronym:</w:t>
            </w:r>
          </w:p>
        </w:tc>
        <w:tc>
          <w:tcPr>
            <w:tcW w:w="6177" w:type="dxa"/>
            <w:shd w:val="clear" w:color="auto" w:fill="C6D9F1" w:themeFill="text2" w:themeFillTint="33"/>
          </w:tcPr>
          <w:p w14:paraId="0C93560E" w14:textId="77777777" w:rsidR="00F437D5" w:rsidRPr="001C014C" w:rsidRDefault="00F437D5" w:rsidP="004F4C53">
            <w:pPr>
              <w:pStyle w:val="Heading2"/>
              <w:numPr>
                <w:ilvl w:val="0"/>
                <w:numId w:val="0"/>
              </w:numPr>
              <w:spacing w:after="120"/>
              <w:outlineLvl w:val="1"/>
              <w:rPr>
                <w:b/>
                <w:sz w:val="24"/>
                <w:szCs w:val="24"/>
              </w:rPr>
            </w:pPr>
            <w:r w:rsidRPr="001C014C">
              <w:rPr>
                <w:b/>
                <w:sz w:val="24"/>
                <w:szCs w:val="24"/>
              </w:rPr>
              <w:t>Definition:</w:t>
            </w:r>
          </w:p>
        </w:tc>
      </w:tr>
      <w:tr w:rsidR="00F437D5" w:rsidRPr="001C014C" w14:paraId="15E6D0CD" w14:textId="77777777" w:rsidTr="004F4C53">
        <w:tc>
          <w:tcPr>
            <w:tcW w:w="2122" w:type="dxa"/>
          </w:tcPr>
          <w:p w14:paraId="7119B1F1" w14:textId="77777777" w:rsidR="00F437D5" w:rsidRPr="001C014C" w:rsidRDefault="00F437D5" w:rsidP="00F437D5">
            <w:pPr>
              <w:pStyle w:val="Heading2"/>
              <w:numPr>
                <w:ilvl w:val="0"/>
                <w:numId w:val="0"/>
              </w:numPr>
              <w:spacing w:after="120"/>
              <w:jc w:val="left"/>
              <w:outlineLvl w:val="1"/>
              <w:rPr>
                <w:b/>
                <w:sz w:val="24"/>
                <w:szCs w:val="24"/>
              </w:rPr>
            </w:pPr>
            <w:r w:rsidRPr="001C014C">
              <w:rPr>
                <w:b/>
                <w:sz w:val="24"/>
                <w:szCs w:val="24"/>
              </w:rPr>
              <w:t>Agreement</w:t>
            </w:r>
          </w:p>
        </w:tc>
        <w:tc>
          <w:tcPr>
            <w:tcW w:w="6177" w:type="dxa"/>
          </w:tcPr>
          <w:p w14:paraId="01CC4E5C" w14:textId="3D6B69FE" w:rsidR="00F437D5" w:rsidRPr="001C014C" w:rsidRDefault="00F437D5" w:rsidP="004F4C53">
            <w:pPr>
              <w:pStyle w:val="Heading2"/>
              <w:numPr>
                <w:ilvl w:val="0"/>
                <w:numId w:val="0"/>
              </w:numPr>
              <w:spacing w:after="120"/>
              <w:outlineLvl w:val="1"/>
              <w:rPr>
                <w:rFonts w:cs="Arial"/>
                <w:sz w:val="24"/>
                <w:szCs w:val="24"/>
              </w:rPr>
            </w:pPr>
            <w:r w:rsidRPr="001C014C">
              <w:rPr>
                <w:rFonts w:cs="Arial"/>
                <w:sz w:val="24"/>
                <w:szCs w:val="24"/>
              </w:rPr>
              <w:t>Means the services to be supplied a</w:t>
            </w:r>
            <w:r w:rsidR="003250E3">
              <w:rPr>
                <w:rFonts w:cs="Arial"/>
                <w:sz w:val="24"/>
                <w:szCs w:val="24"/>
              </w:rPr>
              <w:t>s specified in the Statement of Requirements</w:t>
            </w:r>
            <w:r w:rsidRPr="001C014C">
              <w:rPr>
                <w:rFonts w:cs="Arial"/>
                <w:sz w:val="24"/>
                <w:szCs w:val="24"/>
              </w:rPr>
              <w:t>.</w:t>
            </w:r>
          </w:p>
        </w:tc>
      </w:tr>
      <w:tr w:rsidR="00B229F0" w:rsidRPr="001C014C" w14:paraId="5B1EBCB6" w14:textId="77777777" w:rsidTr="004F4C53">
        <w:tc>
          <w:tcPr>
            <w:tcW w:w="2122" w:type="dxa"/>
          </w:tcPr>
          <w:p w14:paraId="52E516D9" w14:textId="5D9601AF" w:rsidR="00B229F0" w:rsidRPr="001C014C" w:rsidRDefault="00B229F0" w:rsidP="00B229F0">
            <w:pPr>
              <w:pStyle w:val="Heading2"/>
              <w:numPr>
                <w:ilvl w:val="0"/>
                <w:numId w:val="0"/>
              </w:numPr>
              <w:spacing w:after="120"/>
              <w:jc w:val="left"/>
              <w:outlineLvl w:val="1"/>
              <w:rPr>
                <w:b/>
                <w:sz w:val="24"/>
                <w:szCs w:val="24"/>
              </w:rPr>
            </w:pPr>
            <w:r w:rsidRPr="001C014C">
              <w:rPr>
                <w:b/>
                <w:sz w:val="24"/>
                <w:szCs w:val="24"/>
              </w:rPr>
              <w:t>Assignment Manager</w:t>
            </w:r>
          </w:p>
        </w:tc>
        <w:tc>
          <w:tcPr>
            <w:tcW w:w="6177" w:type="dxa"/>
          </w:tcPr>
          <w:p w14:paraId="39AA7386" w14:textId="5ECB779B" w:rsidR="00B229F0" w:rsidRPr="001C014C" w:rsidRDefault="00B229F0" w:rsidP="00B229F0">
            <w:pPr>
              <w:pStyle w:val="Heading2"/>
              <w:numPr>
                <w:ilvl w:val="0"/>
                <w:numId w:val="0"/>
              </w:numPr>
              <w:spacing w:after="120"/>
              <w:outlineLvl w:val="1"/>
              <w:rPr>
                <w:rFonts w:cs="Arial"/>
                <w:sz w:val="24"/>
                <w:szCs w:val="24"/>
              </w:rPr>
            </w:pPr>
            <w:r w:rsidRPr="001C014C">
              <w:rPr>
                <w:rFonts w:cs="Arial"/>
                <w:sz w:val="24"/>
                <w:szCs w:val="24"/>
              </w:rPr>
              <w:t>The person responsible for requesting the worker, directing their work, and assessing their IR35 status.</w:t>
            </w:r>
          </w:p>
        </w:tc>
      </w:tr>
      <w:tr w:rsidR="00B229F0" w:rsidRPr="001C014C" w14:paraId="50E4CCAF" w14:textId="77777777" w:rsidTr="004F4C53">
        <w:tc>
          <w:tcPr>
            <w:tcW w:w="2122" w:type="dxa"/>
          </w:tcPr>
          <w:p w14:paraId="02791FF5" w14:textId="11C28061" w:rsidR="00B229F0" w:rsidRPr="001C014C" w:rsidRDefault="00B229F0" w:rsidP="00B229F0">
            <w:pPr>
              <w:pStyle w:val="Heading2"/>
              <w:numPr>
                <w:ilvl w:val="0"/>
                <w:numId w:val="0"/>
              </w:numPr>
              <w:spacing w:after="120"/>
              <w:jc w:val="left"/>
              <w:outlineLvl w:val="1"/>
              <w:rPr>
                <w:b/>
                <w:sz w:val="24"/>
                <w:szCs w:val="24"/>
              </w:rPr>
            </w:pPr>
            <w:r w:rsidRPr="001C014C">
              <w:rPr>
                <w:rStyle w:val="NormalBoldChar1"/>
                <w:szCs w:val="24"/>
              </w:rPr>
              <w:t>Contract Renewals Team</w:t>
            </w:r>
          </w:p>
        </w:tc>
        <w:tc>
          <w:tcPr>
            <w:tcW w:w="6177" w:type="dxa"/>
          </w:tcPr>
          <w:p w14:paraId="7BCBB4D2" w14:textId="6DC3C0D5" w:rsidR="00B229F0" w:rsidRPr="001C014C" w:rsidRDefault="00B229F0" w:rsidP="00B229F0">
            <w:pPr>
              <w:pStyle w:val="Heading2"/>
              <w:numPr>
                <w:ilvl w:val="0"/>
                <w:numId w:val="0"/>
              </w:numPr>
              <w:spacing w:after="120"/>
              <w:outlineLvl w:val="1"/>
              <w:rPr>
                <w:rFonts w:cs="Arial"/>
                <w:sz w:val="24"/>
                <w:szCs w:val="24"/>
              </w:rPr>
            </w:pPr>
            <w:r w:rsidRPr="001C014C">
              <w:rPr>
                <w:rFonts w:cs="Arial"/>
                <w:sz w:val="24"/>
                <w:szCs w:val="24"/>
              </w:rPr>
              <w:t>A small team in DWP Digital Group responsible for the administration of contingent labour contract renewals, checking that all renewals comply with the agreed process and instructions.</w:t>
            </w:r>
          </w:p>
        </w:tc>
      </w:tr>
      <w:tr w:rsidR="00B229F0" w:rsidRPr="001C014C" w14:paraId="34FD1C81" w14:textId="77777777" w:rsidTr="004F4C53">
        <w:tc>
          <w:tcPr>
            <w:tcW w:w="2122" w:type="dxa"/>
          </w:tcPr>
          <w:p w14:paraId="72E0BC2B" w14:textId="7F523650" w:rsidR="00B229F0" w:rsidRPr="001C014C" w:rsidRDefault="00B229F0" w:rsidP="00B229F0">
            <w:pPr>
              <w:pStyle w:val="Heading2"/>
              <w:numPr>
                <w:ilvl w:val="0"/>
                <w:numId w:val="0"/>
              </w:numPr>
              <w:spacing w:after="120"/>
              <w:jc w:val="left"/>
              <w:outlineLvl w:val="1"/>
              <w:rPr>
                <w:rStyle w:val="NormalBoldChar1"/>
                <w:szCs w:val="24"/>
              </w:rPr>
            </w:pPr>
            <w:r w:rsidRPr="001C014C">
              <w:rPr>
                <w:rStyle w:val="NormalBoldChar1"/>
                <w:szCs w:val="24"/>
              </w:rPr>
              <w:t>Cross-government Tax Centre of Excellence</w:t>
            </w:r>
          </w:p>
        </w:tc>
        <w:tc>
          <w:tcPr>
            <w:tcW w:w="6177" w:type="dxa"/>
          </w:tcPr>
          <w:p w14:paraId="329FBC07" w14:textId="0FFAA9A8" w:rsidR="00B229F0" w:rsidRPr="001C014C" w:rsidRDefault="00B229F0" w:rsidP="00B229F0">
            <w:pPr>
              <w:pStyle w:val="Heading2"/>
              <w:numPr>
                <w:ilvl w:val="0"/>
                <w:numId w:val="0"/>
              </w:numPr>
              <w:spacing w:after="120"/>
              <w:outlineLvl w:val="1"/>
              <w:rPr>
                <w:rFonts w:cs="Arial"/>
                <w:sz w:val="24"/>
                <w:szCs w:val="24"/>
              </w:rPr>
            </w:pPr>
            <w:r w:rsidRPr="001C014C">
              <w:rPr>
                <w:rFonts w:cs="Arial"/>
                <w:sz w:val="24"/>
                <w:szCs w:val="24"/>
              </w:rPr>
              <w:t>The DWP Tax Team are part of a larger team of tax specialists supporting a number of government departments with tax advice and compliance checks</w:t>
            </w:r>
            <w:r>
              <w:rPr>
                <w:rFonts w:cs="Arial"/>
                <w:sz w:val="24"/>
                <w:szCs w:val="24"/>
              </w:rPr>
              <w:t>.</w:t>
            </w:r>
            <w:r w:rsidRPr="001C014C">
              <w:rPr>
                <w:rFonts w:cs="Arial"/>
                <w:sz w:val="24"/>
                <w:szCs w:val="24"/>
              </w:rPr>
              <w:t xml:space="preserve"> </w:t>
            </w:r>
          </w:p>
        </w:tc>
      </w:tr>
      <w:tr w:rsidR="00B229F0" w:rsidRPr="001C014C" w14:paraId="4B0BBA89" w14:textId="77777777" w:rsidTr="004F4C53">
        <w:tc>
          <w:tcPr>
            <w:tcW w:w="2122" w:type="dxa"/>
          </w:tcPr>
          <w:p w14:paraId="070E3B12" w14:textId="469EEDE6" w:rsidR="00B229F0" w:rsidRPr="001C014C" w:rsidRDefault="00B229F0" w:rsidP="00B229F0">
            <w:pPr>
              <w:pStyle w:val="Heading2"/>
              <w:numPr>
                <w:ilvl w:val="0"/>
                <w:numId w:val="0"/>
              </w:numPr>
              <w:spacing w:after="120"/>
              <w:jc w:val="left"/>
              <w:outlineLvl w:val="1"/>
              <w:rPr>
                <w:rStyle w:val="NormalBoldChar1"/>
                <w:szCs w:val="24"/>
              </w:rPr>
            </w:pPr>
            <w:r w:rsidRPr="001C014C">
              <w:rPr>
                <w:rStyle w:val="NormalBoldChar1"/>
                <w:szCs w:val="24"/>
              </w:rPr>
              <w:t>DWP Tax Team</w:t>
            </w:r>
          </w:p>
        </w:tc>
        <w:tc>
          <w:tcPr>
            <w:tcW w:w="6177" w:type="dxa"/>
          </w:tcPr>
          <w:p w14:paraId="47FCDF34" w14:textId="5A195EEE" w:rsidR="00B229F0" w:rsidRPr="001C014C" w:rsidRDefault="00B229F0" w:rsidP="00B229F0">
            <w:pPr>
              <w:pStyle w:val="Heading2"/>
              <w:numPr>
                <w:ilvl w:val="0"/>
                <w:numId w:val="0"/>
              </w:numPr>
              <w:spacing w:after="120"/>
              <w:outlineLvl w:val="1"/>
              <w:rPr>
                <w:rFonts w:cs="Arial"/>
                <w:sz w:val="24"/>
                <w:szCs w:val="24"/>
              </w:rPr>
            </w:pPr>
            <w:r w:rsidRPr="001C014C">
              <w:rPr>
                <w:rFonts w:cs="Arial"/>
                <w:sz w:val="24"/>
                <w:szCs w:val="24"/>
              </w:rPr>
              <w:t>A small team of responsible for ensuring DWP complies with all tax legislation e.g. IR35, VAT etc.</w:t>
            </w:r>
          </w:p>
        </w:tc>
      </w:tr>
      <w:tr w:rsidR="00F437D5" w:rsidRPr="001C014C" w14:paraId="30D3C2AA" w14:textId="77777777" w:rsidTr="004F4C53">
        <w:tc>
          <w:tcPr>
            <w:tcW w:w="2122" w:type="dxa"/>
          </w:tcPr>
          <w:p w14:paraId="453A7493" w14:textId="50FBC2CA" w:rsidR="00F437D5" w:rsidRPr="001C014C" w:rsidRDefault="00F437D5" w:rsidP="00F437D5">
            <w:pPr>
              <w:pStyle w:val="Heading2"/>
              <w:numPr>
                <w:ilvl w:val="0"/>
                <w:numId w:val="0"/>
              </w:numPr>
              <w:spacing w:after="120"/>
              <w:ind w:left="720" w:hanging="720"/>
              <w:jc w:val="left"/>
              <w:outlineLvl w:val="1"/>
              <w:rPr>
                <w:b/>
                <w:sz w:val="24"/>
                <w:szCs w:val="24"/>
              </w:rPr>
            </w:pPr>
            <w:r w:rsidRPr="001C014C">
              <w:rPr>
                <w:b/>
                <w:sz w:val="24"/>
                <w:szCs w:val="24"/>
              </w:rPr>
              <w:t>In-scope</w:t>
            </w:r>
          </w:p>
        </w:tc>
        <w:tc>
          <w:tcPr>
            <w:tcW w:w="6177" w:type="dxa"/>
          </w:tcPr>
          <w:p w14:paraId="6E96F8CD" w14:textId="23001567" w:rsidR="00F437D5" w:rsidRPr="001C014C" w:rsidRDefault="00F437D5" w:rsidP="003250E3">
            <w:pPr>
              <w:pStyle w:val="Heading2"/>
              <w:numPr>
                <w:ilvl w:val="0"/>
                <w:numId w:val="0"/>
              </w:numPr>
              <w:spacing w:after="120"/>
              <w:ind w:left="23" w:hanging="23"/>
              <w:jc w:val="left"/>
              <w:outlineLvl w:val="1"/>
              <w:rPr>
                <w:rFonts w:cs="Arial"/>
                <w:sz w:val="24"/>
                <w:szCs w:val="24"/>
              </w:rPr>
            </w:pPr>
            <w:r w:rsidRPr="001C014C">
              <w:rPr>
                <w:rFonts w:cs="Arial"/>
                <w:sz w:val="24"/>
                <w:szCs w:val="24"/>
              </w:rPr>
              <w:t>The worker is classed as an employee for tax purposes and is responsible for paying tax and NI</w:t>
            </w:r>
            <w:r w:rsidR="003250E3">
              <w:rPr>
                <w:rFonts w:cs="Arial"/>
                <w:sz w:val="24"/>
                <w:szCs w:val="24"/>
              </w:rPr>
              <w:t>.</w:t>
            </w:r>
          </w:p>
        </w:tc>
      </w:tr>
      <w:tr w:rsidR="00F437D5" w:rsidRPr="001C014C" w14:paraId="772FE10F" w14:textId="77777777" w:rsidTr="004F4C53">
        <w:tc>
          <w:tcPr>
            <w:tcW w:w="2122" w:type="dxa"/>
          </w:tcPr>
          <w:p w14:paraId="46DFC6B4" w14:textId="6A488D62" w:rsidR="00F437D5" w:rsidRPr="001C014C" w:rsidRDefault="00F437D5" w:rsidP="00F437D5">
            <w:pPr>
              <w:pStyle w:val="Heading2"/>
              <w:numPr>
                <w:ilvl w:val="0"/>
                <w:numId w:val="0"/>
              </w:numPr>
              <w:spacing w:after="120"/>
              <w:ind w:left="720" w:hanging="720"/>
              <w:jc w:val="left"/>
              <w:outlineLvl w:val="1"/>
              <w:rPr>
                <w:rStyle w:val="NormalBoldChar1"/>
                <w:szCs w:val="24"/>
              </w:rPr>
            </w:pPr>
            <w:r w:rsidRPr="001C014C">
              <w:rPr>
                <w:rStyle w:val="NormalBoldChar1"/>
                <w:szCs w:val="24"/>
              </w:rPr>
              <w:t>Out-of-scope</w:t>
            </w:r>
          </w:p>
        </w:tc>
        <w:tc>
          <w:tcPr>
            <w:tcW w:w="6177" w:type="dxa"/>
          </w:tcPr>
          <w:p w14:paraId="11D6C428" w14:textId="53A7B9C4" w:rsidR="00F437D5" w:rsidRPr="001C014C" w:rsidRDefault="00F437D5" w:rsidP="004F4C53">
            <w:pPr>
              <w:rPr>
                <w:rFonts w:cs="Arial"/>
                <w:sz w:val="24"/>
              </w:rPr>
            </w:pPr>
            <w:r w:rsidRPr="001C014C">
              <w:rPr>
                <w:rFonts w:cs="Arial"/>
                <w:sz w:val="24"/>
              </w:rPr>
              <w:t>The worker is not classed as an employee for tax purposes.</w:t>
            </w:r>
          </w:p>
        </w:tc>
      </w:tr>
      <w:tr w:rsidR="00B229F0" w:rsidRPr="001C014C" w14:paraId="67C79C42" w14:textId="77777777" w:rsidTr="004F4C53">
        <w:tc>
          <w:tcPr>
            <w:tcW w:w="2122" w:type="dxa"/>
          </w:tcPr>
          <w:p w14:paraId="02D9F4F0" w14:textId="10A024B0" w:rsidR="00B229F0" w:rsidRPr="001C014C" w:rsidRDefault="00B229F0" w:rsidP="00B229F0">
            <w:pPr>
              <w:pStyle w:val="Heading2"/>
              <w:numPr>
                <w:ilvl w:val="0"/>
                <w:numId w:val="0"/>
              </w:numPr>
              <w:spacing w:after="120"/>
              <w:ind w:left="18"/>
              <w:jc w:val="left"/>
              <w:outlineLvl w:val="1"/>
              <w:rPr>
                <w:b/>
                <w:sz w:val="24"/>
                <w:szCs w:val="24"/>
              </w:rPr>
            </w:pPr>
            <w:r w:rsidRPr="001C014C">
              <w:rPr>
                <w:rStyle w:val="NormalBoldChar1"/>
                <w:szCs w:val="24"/>
              </w:rPr>
              <w:t>HMRC Compliance Team</w:t>
            </w:r>
          </w:p>
        </w:tc>
        <w:tc>
          <w:tcPr>
            <w:tcW w:w="6177" w:type="dxa"/>
          </w:tcPr>
          <w:p w14:paraId="7E9651A8" w14:textId="6AAC21DE" w:rsidR="00B229F0" w:rsidRPr="001C014C" w:rsidRDefault="00B229F0" w:rsidP="00B229F0">
            <w:pPr>
              <w:pStyle w:val="Heading2"/>
              <w:numPr>
                <w:ilvl w:val="0"/>
                <w:numId w:val="0"/>
              </w:numPr>
              <w:spacing w:after="120"/>
              <w:jc w:val="left"/>
              <w:outlineLvl w:val="1"/>
              <w:rPr>
                <w:rFonts w:cs="Arial"/>
                <w:sz w:val="24"/>
                <w:szCs w:val="24"/>
              </w:rPr>
            </w:pPr>
            <w:r w:rsidRPr="001C014C">
              <w:rPr>
                <w:rFonts w:cs="Arial"/>
                <w:sz w:val="24"/>
                <w:szCs w:val="24"/>
              </w:rPr>
              <w:t>HMRC Team responsible for undertaking audits to ensure DWP and other government departments comply with tax legislation and pay the taxes that fall due.</w:t>
            </w:r>
          </w:p>
        </w:tc>
      </w:tr>
      <w:tr w:rsidR="00B229F0" w:rsidRPr="001C014C" w14:paraId="29394E7D" w14:textId="77777777" w:rsidTr="004F4C53">
        <w:tc>
          <w:tcPr>
            <w:tcW w:w="2122" w:type="dxa"/>
          </w:tcPr>
          <w:p w14:paraId="39E33704" w14:textId="7D19CD27" w:rsidR="00B229F0" w:rsidRPr="001C014C" w:rsidRDefault="00B229F0" w:rsidP="00B229F0">
            <w:pPr>
              <w:pStyle w:val="Heading2"/>
              <w:numPr>
                <w:ilvl w:val="0"/>
                <w:numId w:val="0"/>
              </w:numPr>
              <w:spacing w:after="120"/>
              <w:ind w:left="18" w:hanging="18"/>
              <w:jc w:val="left"/>
              <w:outlineLvl w:val="1"/>
              <w:rPr>
                <w:rStyle w:val="NormalBoldChar1"/>
                <w:szCs w:val="24"/>
              </w:rPr>
            </w:pPr>
            <w:r w:rsidRPr="001C014C">
              <w:rPr>
                <w:b/>
                <w:sz w:val="24"/>
                <w:szCs w:val="24"/>
              </w:rPr>
              <w:t>IR35</w:t>
            </w:r>
          </w:p>
        </w:tc>
        <w:tc>
          <w:tcPr>
            <w:tcW w:w="6177" w:type="dxa"/>
          </w:tcPr>
          <w:p w14:paraId="5CC268BF" w14:textId="61E048FA" w:rsidR="00B229F0" w:rsidRPr="001C014C" w:rsidRDefault="00B229F0" w:rsidP="00B229F0">
            <w:pPr>
              <w:pStyle w:val="Heading2"/>
              <w:numPr>
                <w:ilvl w:val="0"/>
                <w:numId w:val="0"/>
              </w:numPr>
              <w:spacing w:after="120"/>
              <w:jc w:val="left"/>
              <w:outlineLvl w:val="1"/>
              <w:rPr>
                <w:rFonts w:cs="Arial"/>
                <w:sz w:val="24"/>
                <w:szCs w:val="24"/>
              </w:rPr>
            </w:pPr>
            <w:r w:rsidRPr="001C014C">
              <w:rPr>
                <w:rFonts w:cs="Arial"/>
                <w:sz w:val="24"/>
                <w:szCs w:val="24"/>
              </w:rPr>
              <w:t>Off-payroll legislation introduced into the public sector in April 2017</w:t>
            </w:r>
            <w:r>
              <w:rPr>
                <w:rFonts w:cs="Arial"/>
                <w:sz w:val="24"/>
                <w:szCs w:val="24"/>
              </w:rPr>
              <w:t>.</w:t>
            </w:r>
          </w:p>
        </w:tc>
      </w:tr>
      <w:tr w:rsidR="00F437D5" w:rsidRPr="001C014C" w14:paraId="42C9FA92" w14:textId="77777777" w:rsidTr="004F4C53">
        <w:tc>
          <w:tcPr>
            <w:tcW w:w="2122" w:type="dxa"/>
          </w:tcPr>
          <w:p w14:paraId="6FC2750D" w14:textId="16A7295E" w:rsidR="00F437D5" w:rsidRPr="001C014C" w:rsidRDefault="00F437D5" w:rsidP="00F437D5">
            <w:pPr>
              <w:pStyle w:val="Heading2"/>
              <w:numPr>
                <w:ilvl w:val="0"/>
                <w:numId w:val="0"/>
              </w:numPr>
              <w:spacing w:after="120"/>
              <w:ind w:left="18" w:hanging="18"/>
              <w:jc w:val="left"/>
              <w:outlineLvl w:val="1"/>
              <w:rPr>
                <w:rStyle w:val="NormalBoldChar1"/>
                <w:szCs w:val="24"/>
              </w:rPr>
            </w:pPr>
            <w:r w:rsidRPr="001C014C">
              <w:rPr>
                <w:rStyle w:val="NormalBoldChar1"/>
                <w:szCs w:val="24"/>
              </w:rPr>
              <w:t>IR35 Business Champion</w:t>
            </w:r>
          </w:p>
        </w:tc>
        <w:tc>
          <w:tcPr>
            <w:tcW w:w="6177" w:type="dxa"/>
          </w:tcPr>
          <w:p w14:paraId="12117534" w14:textId="1ECA293A" w:rsidR="00F437D5" w:rsidRPr="001C014C" w:rsidRDefault="008A4B29" w:rsidP="004F4C53">
            <w:pPr>
              <w:pStyle w:val="Heading2"/>
              <w:numPr>
                <w:ilvl w:val="0"/>
                <w:numId w:val="0"/>
              </w:numPr>
              <w:spacing w:after="120"/>
              <w:jc w:val="left"/>
              <w:outlineLvl w:val="1"/>
              <w:rPr>
                <w:rFonts w:cs="Arial"/>
                <w:sz w:val="24"/>
                <w:szCs w:val="24"/>
              </w:rPr>
            </w:pPr>
            <w:r w:rsidRPr="001C014C">
              <w:rPr>
                <w:rFonts w:cs="Arial"/>
                <w:sz w:val="24"/>
                <w:szCs w:val="24"/>
              </w:rPr>
              <w:t>A newly appointed group of c.20 people responsible for checking the IR35 status determined by the assignment manager, particularly out-of-scope assessments</w:t>
            </w:r>
            <w:r w:rsidR="003250E3">
              <w:rPr>
                <w:rFonts w:cs="Arial"/>
                <w:sz w:val="24"/>
                <w:szCs w:val="24"/>
              </w:rPr>
              <w:t>.</w:t>
            </w:r>
          </w:p>
        </w:tc>
      </w:tr>
      <w:tr w:rsidR="00B229F0" w:rsidRPr="001C014C" w14:paraId="27863C7B" w14:textId="77777777" w:rsidTr="004F4C53">
        <w:tc>
          <w:tcPr>
            <w:tcW w:w="2122" w:type="dxa"/>
          </w:tcPr>
          <w:p w14:paraId="4400565A" w14:textId="6B520234" w:rsidR="00B229F0" w:rsidRPr="001C014C" w:rsidRDefault="00B229F0" w:rsidP="00B229F0">
            <w:pPr>
              <w:pStyle w:val="Heading2"/>
              <w:numPr>
                <w:ilvl w:val="0"/>
                <w:numId w:val="0"/>
              </w:numPr>
              <w:spacing w:after="120"/>
              <w:ind w:left="18" w:right="410"/>
              <w:jc w:val="left"/>
              <w:outlineLvl w:val="1"/>
              <w:rPr>
                <w:rStyle w:val="NormalBoldChar1"/>
                <w:szCs w:val="24"/>
              </w:rPr>
            </w:pPr>
            <w:r w:rsidRPr="001C014C">
              <w:rPr>
                <w:rStyle w:val="NormalBoldChar1"/>
                <w:szCs w:val="24"/>
              </w:rPr>
              <w:t>Worker</w:t>
            </w:r>
          </w:p>
        </w:tc>
        <w:tc>
          <w:tcPr>
            <w:tcW w:w="6177" w:type="dxa"/>
          </w:tcPr>
          <w:p w14:paraId="5BFD828D" w14:textId="442B743C" w:rsidR="00B229F0" w:rsidRPr="001C014C" w:rsidRDefault="00B229F0" w:rsidP="00B229F0">
            <w:pPr>
              <w:pStyle w:val="Heading2"/>
              <w:numPr>
                <w:ilvl w:val="0"/>
                <w:numId w:val="0"/>
              </w:numPr>
              <w:spacing w:after="120"/>
              <w:jc w:val="left"/>
              <w:outlineLvl w:val="1"/>
              <w:rPr>
                <w:rFonts w:cs="Arial"/>
                <w:sz w:val="24"/>
                <w:szCs w:val="24"/>
              </w:rPr>
            </w:pPr>
            <w:r w:rsidRPr="001C014C">
              <w:rPr>
                <w:rFonts w:cs="Arial"/>
                <w:sz w:val="24"/>
                <w:szCs w:val="24"/>
              </w:rPr>
              <w:t>A contractor usually appointed through a personal services contract.</w:t>
            </w:r>
          </w:p>
        </w:tc>
      </w:tr>
    </w:tbl>
    <w:p w14:paraId="562256B5" w14:textId="4AA0BC1D" w:rsidR="006B2728" w:rsidRDefault="00FE18AC" w:rsidP="005C271D">
      <w:pPr>
        <w:pStyle w:val="Heading1"/>
        <w:tabs>
          <w:tab w:val="clear" w:pos="720"/>
        </w:tabs>
        <w:overflowPunct w:val="0"/>
        <w:autoSpaceDE w:val="0"/>
        <w:autoSpaceDN w:val="0"/>
        <w:spacing w:before="240" w:after="120"/>
        <w:textAlignment w:val="baseline"/>
        <w:rPr>
          <w:sz w:val="32"/>
          <w:szCs w:val="32"/>
        </w:rPr>
      </w:pPr>
      <w:bookmarkStart w:id="16" w:name="_Toc29300971"/>
      <w:r w:rsidRPr="001C014C">
        <w:rPr>
          <w:sz w:val="32"/>
          <w:szCs w:val="32"/>
        </w:rPr>
        <w:t>scope of requirement</w:t>
      </w:r>
      <w:bookmarkEnd w:id="13"/>
      <w:bookmarkEnd w:id="15"/>
      <w:bookmarkEnd w:id="16"/>
      <w:r w:rsidRPr="001C014C">
        <w:rPr>
          <w:sz w:val="32"/>
          <w:szCs w:val="32"/>
        </w:rPr>
        <w:t xml:space="preserve"> </w:t>
      </w:r>
      <w:bookmarkEnd w:id="10"/>
    </w:p>
    <w:p w14:paraId="135D77C9" w14:textId="14F6CBF2" w:rsidR="005C5289" w:rsidRPr="005C5289" w:rsidRDefault="005C5289" w:rsidP="005C5289">
      <w:pPr>
        <w:pStyle w:val="Heading1"/>
        <w:numPr>
          <w:ilvl w:val="0"/>
          <w:numId w:val="0"/>
        </w:numPr>
        <w:overflowPunct w:val="0"/>
        <w:autoSpaceDE w:val="0"/>
        <w:autoSpaceDN w:val="0"/>
        <w:spacing w:before="240" w:after="120"/>
        <w:textAlignment w:val="baseline"/>
        <w:rPr>
          <w:b w:val="0"/>
          <w:caps w:val="0"/>
          <w:sz w:val="24"/>
          <w:szCs w:val="24"/>
        </w:rPr>
      </w:pPr>
      <w:r w:rsidRPr="005C5289">
        <w:rPr>
          <w:b w:val="0"/>
          <w:caps w:val="0"/>
          <w:sz w:val="24"/>
          <w:szCs w:val="24"/>
        </w:rPr>
        <w:t>5.1</w:t>
      </w:r>
      <w:r>
        <w:rPr>
          <w:b w:val="0"/>
          <w:caps w:val="0"/>
          <w:sz w:val="24"/>
          <w:szCs w:val="24"/>
        </w:rPr>
        <w:t xml:space="preserve"> The Potential Supplier shall be expected to do below actions:</w:t>
      </w:r>
    </w:p>
    <w:p w14:paraId="41DA889A" w14:textId="77777777" w:rsidR="006B2728" w:rsidRPr="006B2728" w:rsidRDefault="006B2728" w:rsidP="006B2728">
      <w:pPr>
        <w:pStyle w:val="Heading2"/>
        <w:numPr>
          <w:ilvl w:val="0"/>
          <w:numId w:val="0"/>
        </w:numPr>
        <w:spacing w:after="0"/>
        <w:ind w:left="1332"/>
        <w:rPr>
          <w:sz w:val="24"/>
          <w:szCs w:val="24"/>
        </w:rPr>
      </w:pPr>
    </w:p>
    <w:p w14:paraId="0250C413" w14:textId="253CB4DF" w:rsidR="004377D6" w:rsidRDefault="005C5289" w:rsidP="004D3B0A">
      <w:pPr>
        <w:pStyle w:val="Heading3"/>
        <w:numPr>
          <w:ilvl w:val="2"/>
          <w:numId w:val="2"/>
        </w:numPr>
        <w:rPr>
          <w:sz w:val="24"/>
          <w:szCs w:val="24"/>
        </w:rPr>
      </w:pPr>
      <w:bookmarkStart w:id="17" w:name="_Toc368573031"/>
      <w:bookmarkStart w:id="18" w:name="_Toc29300972"/>
      <w:r>
        <w:rPr>
          <w:sz w:val="24"/>
          <w:szCs w:val="24"/>
        </w:rPr>
        <w:t>Review</w:t>
      </w:r>
      <w:r w:rsidR="004377D6">
        <w:rPr>
          <w:sz w:val="24"/>
          <w:szCs w:val="24"/>
        </w:rPr>
        <w:t xml:space="preserve"> all service based contracts used to employ contractors; to confirm they have correctly followed IR35 legislation.</w:t>
      </w:r>
    </w:p>
    <w:p w14:paraId="1AA0ED34" w14:textId="2DF9D882" w:rsidR="004D3B0A" w:rsidRDefault="00E56D22" w:rsidP="004D3B0A">
      <w:pPr>
        <w:pStyle w:val="Heading3"/>
        <w:numPr>
          <w:ilvl w:val="2"/>
          <w:numId w:val="2"/>
        </w:numPr>
        <w:rPr>
          <w:sz w:val="24"/>
          <w:szCs w:val="24"/>
        </w:rPr>
      </w:pPr>
      <w:r>
        <w:rPr>
          <w:sz w:val="24"/>
          <w:szCs w:val="24"/>
        </w:rPr>
        <w:lastRenderedPageBreak/>
        <w:t>T</w:t>
      </w:r>
      <w:r w:rsidR="004D3B0A">
        <w:rPr>
          <w:sz w:val="24"/>
          <w:szCs w:val="24"/>
        </w:rPr>
        <w:t>here is a requirement to compile a full list of all contractors employed by DWP since April 2017 (past and present) to ensure DWP has a complete record including the payments that have been made. This record will form the basis to answer and respond to HMRC audit queries and requests to resolve the Historic Position.</w:t>
      </w:r>
    </w:p>
    <w:p w14:paraId="2AB8AAB3" w14:textId="77777777" w:rsidR="004D3B0A" w:rsidRDefault="004D3B0A" w:rsidP="004D3B0A">
      <w:pPr>
        <w:pStyle w:val="Heading3"/>
        <w:numPr>
          <w:ilvl w:val="2"/>
          <w:numId w:val="2"/>
        </w:numPr>
        <w:rPr>
          <w:sz w:val="24"/>
          <w:szCs w:val="24"/>
        </w:rPr>
      </w:pPr>
      <w:r w:rsidRPr="001C014C">
        <w:rPr>
          <w:sz w:val="24"/>
          <w:szCs w:val="24"/>
        </w:rPr>
        <w:t>With new IR35 legislation due</w:t>
      </w:r>
      <w:r>
        <w:rPr>
          <w:sz w:val="24"/>
          <w:szCs w:val="24"/>
        </w:rPr>
        <w:t xml:space="preserve"> to come into effect from  6</w:t>
      </w:r>
      <w:r w:rsidRPr="00C14402">
        <w:rPr>
          <w:sz w:val="24"/>
          <w:szCs w:val="24"/>
          <w:vertAlign w:val="superscript"/>
        </w:rPr>
        <w:t>th</w:t>
      </w:r>
      <w:r>
        <w:rPr>
          <w:sz w:val="24"/>
          <w:szCs w:val="24"/>
        </w:rPr>
        <w:t xml:space="preserve"> April </w:t>
      </w:r>
      <w:r w:rsidRPr="001C014C">
        <w:rPr>
          <w:sz w:val="24"/>
          <w:szCs w:val="24"/>
        </w:rPr>
        <w:t xml:space="preserve">2020, planning needs to start now for its implementation and run in parallel with the </w:t>
      </w:r>
      <w:r>
        <w:rPr>
          <w:sz w:val="24"/>
          <w:szCs w:val="24"/>
        </w:rPr>
        <w:t>plan to implement the new Digital Group IR35 policy and to be compliant going forward by the 31</w:t>
      </w:r>
      <w:r w:rsidRPr="001929C4">
        <w:rPr>
          <w:sz w:val="24"/>
          <w:szCs w:val="24"/>
          <w:vertAlign w:val="superscript"/>
        </w:rPr>
        <w:t>st</w:t>
      </w:r>
      <w:r>
        <w:rPr>
          <w:sz w:val="24"/>
          <w:szCs w:val="24"/>
        </w:rPr>
        <w:t xml:space="preserve"> January 2021.</w:t>
      </w:r>
    </w:p>
    <w:p w14:paraId="09796175" w14:textId="5D003F2D" w:rsidR="004D3B0A" w:rsidRDefault="004D3B0A" w:rsidP="004D3B0A">
      <w:pPr>
        <w:pStyle w:val="Heading3"/>
        <w:numPr>
          <w:ilvl w:val="2"/>
          <w:numId w:val="2"/>
        </w:numPr>
        <w:rPr>
          <w:sz w:val="24"/>
          <w:szCs w:val="24"/>
        </w:rPr>
      </w:pPr>
      <w:r>
        <w:rPr>
          <w:sz w:val="24"/>
          <w:szCs w:val="24"/>
        </w:rPr>
        <w:t>Therefore, there is</w:t>
      </w:r>
      <w:r w:rsidR="005C5289">
        <w:rPr>
          <w:sz w:val="24"/>
          <w:szCs w:val="24"/>
        </w:rPr>
        <w:t xml:space="preserve"> a</w:t>
      </w:r>
      <w:r>
        <w:rPr>
          <w:sz w:val="24"/>
          <w:szCs w:val="24"/>
        </w:rPr>
        <w:t xml:space="preserve"> requirement to support the Forward Position, drawing a line in the sand on the Historic Position, and implementing the policy and plan, and making this applicable across the whole of DWP and not just Digital Group.</w:t>
      </w:r>
    </w:p>
    <w:p w14:paraId="109C8379" w14:textId="77777777" w:rsidR="004D3B0A" w:rsidRDefault="004D3B0A" w:rsidP="004D3B0A">
      <w:pPr>
        <w:pStyle w:val="Heading3"/>
        <w:numPr>
          <w:ilvl w:val="2"/>
          <w:numId w:val="2"/>
        </w:numPr>
        <w:rPr>
          <w:sz w:val="24"/>
          <w:szCs w:val="24"/>
        </w:rPr>
      </w:pPr>
      <w:r>
        <w:rPr>
          <w:sz w:val="24"/>
          <w:szCs w:val="24"/>
        </w:rPr>
        <w:t>There is also a requirement to have compliant processes in place for Business as Usual activity and for legislation changes that are due to come into effect from 6</w:t>
      </w:r>
      <w:r w:rsidRPr="00C14402">
        <w:rPr>
          <w:sz w:val="24"/>
          <w:szCs w:val="24"/>
          <w:vertAlign w:val="superscript"/>
        </w:rPr>
        <w:t>th</w:t>
      </w:r>
      <w:r>
        <w:rPr>
          <w:sz w:val="24"/>
          <w:szCs w:val="24"/>
        </w:rPr>
        <w:t xml:space="preserve"> April 2020. </w:t>
      </w:r>
    </w:p>
    <w:p w14:paraId="3491B80B" w14:textId="77777777" w:rsidR="00671798" w:rsidRPr="001C014C" w:rsidRDefault="00FE18AC">
      <w:pPr>
        <w:pStyle w:val="Heading1"/>
        <w:spacing w:after="120"/>
        <w:rPr>
          <w:sz w:val="32"/>
          <w:szCs w:val="32"/>
        </w:rPr>
      </w:pPr>
      <w:r w:rsidRPr="001C014C">
        <w:rPr>
          <w:sz w:val="32"/>
          <w:szCs w:val="32"/>
        </w:rPr>
        <w:t>The requirement</w:t>
      </w:r>
      <w:bookmarkEnd w:id="17"/>
      <w:bookmarkEnd w:id="18"/>
    </w:p>
    <w:p w14:paraId="56204E13" w14:textId="14C77BAD" w:rsidR="004D3B0A" w:rsidRPr="004D3B0A" w:rsidRDefault="00CF73FB" w:rsidP="004D3B0A">
      <w:pPr>
        <w:pStyle w:val="Heading2"/>
        <w:spacing w:after="120"/>
        <w:ind w:left="709" w:hanging="709"/>
        <w:rPr>
          <w:b/>
          <w:sz w:val="24"/>
          <w:szCs w:val="24"/>
        </w:rPr>
      </w:pPr>
      <w:r>
        <w:rPr>
          <w:b/>
          <w:sz w:val="24"/>
          <w:szCs w:val="24"/>
        </w:rPr>
        <w:t xml:space="preserve">The Potential Supplier shall provide </w:t>
      </w:r>
      <w:r w:rsidRPr="001C014C">
        <w:rPr>
          <w:b/>
          <w:sz w:val="24"/>
          <w:szCs w:val="24"/>
        </w:rPr>
        <w:t>Tax Advice and support</w:t>
      </w:r>
      <w:r>
        <w:rPr>
          <w:b/>
          <w:sz w:val="24"/>
          <w:szCs w:val="24"/>
        </w:rPr>
        <w:t xml:space="preserve"> on the following</w:t>
      </w:r>
      <w:r w:rsidR="004A61EA">
        <w:rPr>
          <w:b/>
          <w:sz w:val="24"/>
          <w:szCs w:val="24"/>
        </w:rPr>
        <w:t>;</w:t>
      </w:r>
    </w:p>
    <w:p w14:paraId="30601C4D" w14:textId="15B1C843" w:rsidR="004D3B0A" w:rsidRDefault="004D3B0A" w:rsidP="004D3B0A">
      <w:pPr>
        <w:pStyle w:val="Heading3"/>
        <w:numPr>
          <w:ilvl w:val="2"/>
          <w:numId w:val="2"/>
        </w:numPr>
        <w:rPr>
          <w:sz w:val="24"/>
          <w:szCs w:val="24"/>
        </w:rPr>
      </w:pPr>
      <w:r>
        <w:rPr>
          <w:sz w:val="24"/>
          <w:szCs w:val="24"/>
        </w:rPr>
        <w:t>Ensuring</w:t>
      </w:r>
      <w:r w:rsidRPr="005E69A8">
        <w:rPr>
          <w:sz w:val="24"/>
          <w:szCs w:val="24"/>
        </w:rPr>
        <w:t xml:space="preserve"> DWP is compliant </w:t>
      </w:r>
      <w:r>
        <w:rPr>
          <w:sz w:val="24"/>
          <w:szCs w:val="24"/>
        </w:rPr>
        <w:t>with IR35 and prepared for 6</w:t>
      </w:r>
      <w:r w:rsidRPr="00D36732">
        <w:rPr>
          <w:sz w:val="24"/>
          <w:szCs w:val="24"/>
          <w:vertAlign w:val="superscript"/>
        </w:rPr>
        <w:t>th</w:t>
      </w:r>
      <w:r w:rsidR="00D36732">
        <w:rPr>
          <w:sz w:val="24"/>
          <w:szCs w:val="24"/>
        </w:rPr>
        <w:t xml:space="preserve"> </w:t>
      </w:r>
      <w:r>
        <w:rPr>
          <w:sz w:val="24"/>
          <w:szCs w:val="24"/>
        </w:rPr>
        <w:t>April 2020</w:t>
      </w:r>
      <w:r w:rsidRPr="005E69A8">
        <w:rPr>
          <w:sz w:val="24"/>
          <w:szCs w:val="24"/>
        </w:rPr>
        <w:t>:</w:t>
      </w:r>
    </w:p>
    <w:p w14:paraId="088265F8" w14:textId="7E4F6783" w:rsidR="00D36732" w:rsidRDefault="00D36732" w:rsidP="00D36732">
      <w:pPr>
        <w:pStyle w:val="Heading3"/>
        <w:numPr>
          <w:ilvl w:val="0"/>
          <w:numId w:val="41"/>
        </w:numPr>
        <w:rPr>
          <w:sz w:val="24"/>
          <w:szCs w:val="24"/>
        </w:rPr>
      </w:pPr>
      <w:r>
        <w:rPr>
          <w:sz w:val="24"/>
          <w:szCs w:val="24"/>
        </w:rPr>
        <w:t>A detailed and workable project plan to deliver below actions.</w:t>
      </w:r>
    </w:p>
    <w:p w14:paraId="20549161" w14:textId="24762F1F" w:rsidR="00D36732" w:rsidRDefault="005C5289" w:rsidP="00D36732">
      <w:pPr>
        <w:pStyle w:val="Heading3"/>
        <w:numPr>
          <w:ilvl w:val="0"/>
          <w:numId w:val="41"/>
        </w:numPr>
        <w:rPr>
          <w:sz w:val="24"/>
          <w:szCs w:val="24"/>
        </w:rPr>
      </w:pPr>
      <w:r>
        <w:rPr>
          <w:sz w:val="24"/>
          <w:szCs w:val="24"/>
        </w:rPr>
        <w:t>Assess</w:t>
      </w:r>
      <w:r w:rsidR="00A15178">
        <w:rPr>
          <w:sz w:val="24"/>
          <w:szCs w:val="24"/>
        </w:rPr>
        <w:t xml:space="preserve"> impact of IR35 legislation changes from 6</w:t>
      </w:r>
      <w:r w:rsidR="00A15178" w:rsidRPr="00A15178">
        <w:rPr>
          <w:sz w:val="24"/>
          <w:szCs w:val="24"/>
          <w:vertAlign w:val="superscript"/>
        </w:rPr>
        <w:t>th</w:t>
      </w:r>
      <w:r w:rsidR="00A15178">
        <w:rPr>
          <w:sz w:val="24"/>
          <w:szCs w:val="24"/>
        </w:rPr>
        <w:t xml:space="preserve"> April 2020 on all DWP bodies; preparing and planning accordingly.</w:t>
      </w:r>
    </w:p>
    <w:p w14:paraId="722A70F0" w14:textId="4B8CAB34" w:rsidR="004D3B0A" w:rsidRPr="005E69A8" w:rsidRDefault="005C5289" w:rsidP="004D3B0A">
      <w:pPr>
        <w:pStyle w:val="Heading3"/>
        <w:numPr>
          <w:ilvl w:val="0"/>
          <w:numId w:val="0"/>
        </w:numPr>
        <w:ind w:left="720" w:firstLine="1123"/>
        <w:rPr>
          <w:sz w:val="24"/>
          <w:szCs w:val="24"/>
        </w:rPr>
      </w:pPr>
      <w:proofErr w:type="gramStart"/>
      <w:r>
        <w:rPr>
          <w:sz w:val="24"/>
          <w:szCs w:val="24"/>
        </w:rPr>
        <w:t>c</w:t>
      </w:r>
      <w:r w:rsidR="00D36732">
        <w:rPr>
          <w:sz w:val="24"/>
          <w:szCs w:val="24"/>
        </w:rPr>
        <w:t>.</w:t>
      </w:r>
      <w:r w:rsidR="004D3B0A" w:rsidRPr="005E69A8">
        <w:rPr>
          <w:sz w:val="24"/>
          <w:szCs w:val="24"/>
        </w:rPr>
        <w:tab/>
        <w:t>Digital</w:t>
      </w:r>
      <w:proofErr w:type="gramEnd"/>
      <w:r w:rsidR="004D3B0A" w:rsidRPr="005E69A8">
        <w:rPr>
          <w:sz w:val="24"/>
          <w:szCs w:val="24"/>
        </w:rPr>
        <w:t xml:space="preserve"> Group exceptions/appeals</w:t>
      </w:r>
      <w:r w:rsidR="004D3B0A">
        <w:rPr>
          <w:sz w:val="24"/>
          <w:szCs w:val="24"/>
        </w:rPr>
        <w:t xml:space="preserve"> process.</w:t>
      </w:r>
    </w:p>
    <w:p w14:paraId="613BA584" w14:textId="3942C93E" w:rsidR="004D3B0A" w:rsidRPr="005E69A8" w:rsidRDefault="005C5289" w:rsidP="004D3B0A">
      <w:pPr>
        <w:pStyle w:val="Heading3"/>
        <w:numPr>
          <w:ilvl w:val="0"/>
          <w:numId w:val="0"/>
        </w:numPr>
        <w:ind w:left="720" w:firstLine="1123"/>
        <w:rPr>
          <w:sz w:val="24"/>
          <w:szCs w:val="24"/>
        </w:rPr>
      </w:pPr>
      <w:r>
        <w:rPr>
          <w:sz w:val="24"/>
          <w:szCs w:val="24"/>
        </w:rPr>
        <w:t>d</w:t>
      </w:r>
      <w:r w:rsidR="004D3B0A">
        <w:rPr>
          <w:sz w:val="24"/>
          <w:szCs w:val="24"/>
        </w:rPr>
        <w:t>.</w:t>
      </w:r>
      <w:r w:rsidR="004D3B0A">
        <w:rPr>
          <w:sz w:val="24"/>
          <w:szCs w:val="24"/>
        </w:rPr>
        <w:tab/>
        <w:t>Universal Credit policy, plans and exceptions/appeals process.</w:t>
      </w:r>
    </w:p>
    <w:p w14:paraId="48499C62" w14:textId="0D104022" w:rsidR="004D3B0A" w:rsidRPr="005E69A8" w:rsidRDefault="005C5289" w:rsidP="004D3B0A">
      <w:pPr>
        <w:pStyle w:val="Heading3"/>
        <w:numPr>
          <w:ilvl w:val="0"/>
          <w:numId w:val="0"/>
        </w:numPr>
        <w:ind w:left="2127" w:hanging="284"/>
        <w:rPr>
          <w:sz w:val="24"/>
          <w:szCs w:val="24"/>
        </w:rPr>
      </w:pPr>
      <w:proofErr w:type="gramStart"/>
      <w:r>
        <w:rPr>
          <w:sz w:val="24"/>
          <w:szCs w:val="24"/>
        </w:rPr>
        <w:t>e</w:t>
      </w:r>
      <w:r w:rsidR="004D3B0A" w:rsidRPr="005E69A8">
        <w:rPr>
          <w:sz w:val="24"/>
          <w:szCs w:val="24"/>
        </w:rPr>
        <w:t>.</w:t>
      </w:r>
      <w:r w:rsidR="004D3B0A" w:rsidRPr="005E69A8">
        <w:rPr>
          <w:sz w:val="24"/>
          <w:szCs w:val="24"/>
        </w:rPr>
        <w:tab/>
        <w:t>Secur</w:t>
      </w:r>
      <w:r w:rsidR="00CF73FB">
        <w:rPr>
          <w:sz w:val="24"/>
          <w:szCs w:val="24"/>
        </w:rPr>
        <w:t>ity</w:t>
      </w:r>
      <w:proofErr w:type="gramEnd"/>
      <w:r w:rsidR="00CF73FB">
        <w:rPr>
          <w:sz w:val="24"/>
          <w:szCs w:val="24"/>
        </w:rPr>
        <w:t xml:space="preserve"> Group – upskilling</w:t>
      </w:r>
      <w:r w:rsidR="004D3B0A" w:rsidRPr="005E69A8">
        <w:rPr>
          <w:sz w:val="24"/>
          <w:szCs w:val="24"/>
        </w:rPr>
        <w:t xml:space="preserve"> with the aim of adopting the </w:t>
      </w:r>
      <w:r w:rsidR="004D3B0A">
        <w:rPr>
          <w:sz w:val="24"/>
          <w:szCs w:val="24"/>
        </w:rPr>
        <w:t>new</w:t>
      </w:r>
      <w:r w:rsidR="004D3B0A" w:rsidRPr="005E69A8">
        <w:rPr>
          <w:sz w:val="24"/>
          <w:szCs w:val="24"/>
        </w:rPr>
        <w:t xml:space="preserve"> policy and </w:t>
      </w:r>
      <w:r w:rsidR="00CF73FB">
        <w:rPr>
          <w:sz w:val="24"/>
          <w:szCs w:val="24"/>
        </w:rPr>
        <w:t>exceptions/appeals process.</w:t>
      </w:r>
    </w:p>
    <w:p w14:paraId="4B0136DD" w14:textId="72F80E47" w:rsidR="004D3B0A" w:rsidRPr="005E69A8" w:rsidRDefault="005C5289" w:rsidP="00D36732">
      <w:pPr>
        <w:pStyle w:val="Heading3"/>
        <w:numPr>
          <w:ilvl w:val="0"/>
          <w:numId w:val="0"/>
        </w:numPr>
        <w:ind w:left="2127" w:hanging="284"/>
        <w:rPr>
          <w:sz w:val="24"/>
          <w:szCs w:val="24"/>
        </w:rPr>
      </w:pPr>
      <w:r>
        <w:rPr>
          <w:sz w:val="24"/>
          <w:szCs w:val="24"/>
        </w:rPr>
        <w:t>f</w:t>
      </w:r>
      <w:r w:rsidR="004D3B0A" w:rsidRPr="005E69A8">
        <w:rPr>
          <w:sz w:val="24"/>
          <w:szCs w:val="24"/>
        </w:rPr>
        <w:t>.</w:t>
      </w:r>
      <w:r w:rsidR="004D3B0A" w:rsidRPr="005E69A8">
        <w:rPr>
          <w:sz w:val="24"/>
          <w:szCs w:val="24"/>
        </w:rPr>
        <w:tab/>
      </w:r>
      <w:r w:rsidR="004D3B0A">
        <w:rPr>
          <w:sz w:val="24"/>
          <w:szCs w:val="24"/>
        </w:rPr>
        <w:t xml:space="preserve">Applying </w:t>
      </w:r>
      <w:r w:rsidR="00D36732">
        <w:rPr>
          <w:sz w:val="24"/>
          <w:szCs w:val="24"/>
        </w:rPr>
        <w:t xml:space="preserve">revised contract approvals and governance for all </w:t>
      </w:r>
      <w:r w:rsidR="004D3B0A">
        <w:rPr>
          <w:sz w:val="24"/>
          <w:szCs w:val="24"/>
        </w:rPr>
        <w:t>business areas</w:t>
      </w:r>
      <w:r w:rsidR="004D3B0A" w:rsidRPr="005E69A8">
        <w:rPr>
          <w:sz w:val="24"/>
          <w:szCs w:val="24"/>
        </w:rPr>
        <w:t xml:space="preserve"> in DWP</w:t>
      </w:r>
      <w:r w:rsidR="004D3B0A">
        <w:rPr>
          <w:sz w:val="24"/>
          <w:szCs w:val="24"/>
        </w:rPr>
        <w:t>.</w:t>
      </w:r>
    </w:p>
    <w:p w14:paraId="08A29F45" w14:textId="4C3BFF29" w:rsidR="004D3B0A" w:rsidRDefault="005C5289" w:rsidP="00CF73FB">
      <w:pPr>
        <w:pStyle w:val="Heading3"/>
        <w:numPr>
          <w:ilvl w:val="0"/>
          <w:numId w:val="0"/>
        </w:numPr>
        <w:ind w:left="2160" w:hanging="317"/>
        <w:rPr>
          <w:sz w:val="24"/>
          <w:szCs w:val="24"/>
        </w:rPr>
      </w:pPr>
      <w:r>
        <w:rPr>
          <w:sz w:val="24"/>
          <w:szCs w:val="24"/>
        </w:rPr>
        <w:t>g</w:t>
      </w:r>
      <w:r w:rsidR="004D3B0A" w:rsidRPr="005E69A8">
        <w:rPr>
          <w:sz w:val="24"/>
          <w:szCs w:val="24"/>
        </w:rPr>
        <w:t>.</w:t>
      </w:r>
      <w:r w:rsidR="004D3B0A" w:rsidRPr="005E69A8">
        <w:rPr>
          <w:sz w:val="24"/>
          <w:szCs w:val="24"/>
        </w:rPr>
        <w:tab/>
      </w:r>
      <w:r w:rsidR="004D3B0A">
        <w:rPr>
          <w:sz w:val="24"/>
          <w:szCs w:val="24"/>
        </w:rPr>
        <w:t>Review of</w:t>
      </w:r>
      <w:r w:rsidR="00CF73FB">
        <w:rPr>
          <w:sz w:val="24"/>
          <w:szCs w:val="24"/>
        </w:rPr>
        <w:t xml:space="preserve"> all</w:t>
      </w:r>
      <w:r w:rsidR="004D3B0A">
        <w:rPr>
          <w:sz w:val="24"/>
          <w:szCs w:val="24"/>
        </w:rPr>
        <w:t xml:space="preserve"> </w:t>
      </w:r>
      <w:r w:rsidR="004D3B0A" w:rsidRPr="005E69A8">
        <w:rPr>
          <w:sz w:val="24"/>
          <w:szCs w:val="24"/>
        </w:rPr>
        <w:t>Service based contracts</w:t>
      </w:r>
      <w:r w:rsidR="00CF73FB">
        <w:rPr>
          <w:sz w:val="24"/>
          <w:szCs w:val="24"/>
        </w:rPr>
        <w:t xml:space="preserve"> from April 2017.  </w:t>
      </w:r>
    </w:p>
    <w:p w14:paraId="5D5F3C3C" w14:textId="389555DF" w:rsidR="00D36732" w:rsidRDefault="00D36732" w:rsidP="00CF73FB">
      <w:pPr>
        <w:pStyle w:val="Heading3"/>
        <w:numPr>
          <w:ilvl w:val="0"/>
          <w:numId w:val="0"/>
        </w:numPr>
        <w:ind w:left="2160" w:hanging="317"/>
        <w:rPr>
          <w:sz w:val="24"/>
          <w:szCs w:val="24"/>
        </w:rPr>
      </w:pPr>
    </w:p>
    <w:p w14:paraId="61C4CB84" w14:textId="77777777" w:rsidR="004D3B0A" w:rsidRDefault="004D3B0A" w:rsidP="004D3B0A">
      <w:pPr>
        <w:pStyle w:val="Heading3"/>
        <w:numPr>
          <w:ilvl w:val="2"/>
          <w:numId w:val="2"/>
        </w:numPr>
        <w:rPr>
          <w:sz w:val="24"/>
          <w:szCs w:val="24"/>
        </w:rPr>
      </w:pPr>
      <w:r w:rsidRPr="001E2D08">
        <w:rPr>
          <w:sz w:val="24"/>
          <w:szCs w:val="24"/>
        </w:rPr>
        <w:t xml:space="preserve"> </w:t>
      </w:r>
      <w:r>
        <w:rPr>
          <w:sz w:val="24"/>
          <w:szCs w:val="24"/>
        </w:rPr>
        <w:t>Assessing the historic position including</w:t>
      </w:r>
      <w:r w:rsidRPr="005E69A8">
        <w:rPr>
          <w:sz w:val="24"/>
          <w:szCs w:val="24"/>
        </w:rPr>
        <w:t>:</w:t>
      </w:r>
    </w:p>
    <w:p w14:paraId="55C082A9" w14:textId="77777777" w:rsidR="004D3B0A" w:rsidRPr="003056CD" w:rsidRDefault="004D3B0A" w:rsidP="004D3B0A">
      <w:pPr>
        <w:pStyle w:val="Heading3"/>
        <w:numPr>
          <w:ilvl w:val="0"/>
          <w:numId w:val="0"/>
        </w:numPr>
        <w:ind w:left="2127" w:hanging="284"/>
        <w:rPr>
          <w:sz w:val="24"/>
          <w:szCs w:val="24"/>
        </w:rPr>
      </w:pPr>
      <w:r w:rsidRPr="003056CD">
        <w:rPr>
          <w:sz w:val="24"/>
          <w:szCs w:val="24"/>
        </w:rPr>
        <w:lastRenderedPageBreak/>
        <w:t>a.</w:t>
      </w:r>
      <w:r w:rsidRPr="003056CD">
        <w:rPr>
          <w:sz w:val="24"/>
          <w:szCs w:val="24"/>
        </w:rPr>
        <w:tab/>
        <w:t>Compiling a list of all contract</w:t>
      </w:r>
      <w:r>
        <w:rPr>
          <w:sz w:val="24"/>
          <w:szCs w:val="24"/>
        </w:rPr>
        <w:t>or</w:t>
      </w:r>
      <w:r w:rsidRPr="003056CD">
        <w:rPr>
          <w:sz w:val="24"/>
          <w:szCs w:val="24"/>
        </w:rPr>
        <w:t xml:space="preserve">s (past and present) and what they have been paid. </w:t>
      </w:r>
    </w:p>
    <w:p w14:paraId="556162F6" w14:textId="77777777" w:rsidR="004D3B0A" w:rsidRPr="003056CD" w:rsidRDefault="004D3B0A" w:rsidP="004D3B0A">
      <w:pPr>
        <w:pStyle w:val="Heading3"/>
        <w:numPr>
          <w:ilvl w:val="0"/>
          <w:numId w:val="0"/>
        </w:numPr>
        <w:ind w:left="2127" w:hanging="284"/>
        <w:rPr>
          <w:sz w:val="24"/>
          <w:szCs w:val="24"/>
        </w:rPr>
      </w:pPr>
      <w:r w:rsidRPr="003056CD">
        <w:rPr>
          <w:sz w:val="24"/>
          <w:szCs w:val="24"/>
        </w:rPr>
        <w:t>b.</w:t>
      </w:r>
      <w:r w:rsidRPr="003056CD">
        <w:rPr>
          <w:sz w:val="24"/>
          <w:szCs w:val="24"/>
        </w:rPr>
        <w:tab/>
      </w:r>
      <w:r>
        <w:rPr>
          <w:sz w:val="24"/>
          <w:szCs w:val="24"/>
        </w:rPr>
        <w:t>Assessing</w:t>
      </w:r>
      <w:r w:rsidRPr="003056CD">
        <w:rPr>
          <w:sz w:val="24"/>
          <w:szCs w:val="24"/>
        </w:rPr>
        <w:t xml:space="preserve"> roles and interviewing assignment managers to see if working practices are similar to </w:t>
      </w:r>
      <w:r>
        <w:rPr>
          <w:sz w:val="24"/>
          <w:szCs w:val="24"/>
        </w:rPr>
        <w:t>t</w:t>
      </w:r>
      <w:r w:rsidRPr="003056CD">
        <w:rPr>
          <w:sz w:val="24"/>
          <w:szCs w:val="24"/>
        </w:rPr>
        <w:t>ribunal case</w:t>
      </w:r>
      <w:r>
        <w:rPr>
          <w:sz w:val="24"/>
          <w:szCs w:val="24"/>
        </w:rPr>
        <w:t xml:space="preserve"> outcomes.</w:t>
      </w:r>
    </w:p>
    <w:p w14:paraId="141E61D8" w14:textId="37F4C415" w:rsidR="004D3B0A" w:rsidRPr="003056CD" w:rsidRDefault="004D3B0A" w:rsidP="004D3B0A">
      <w:pPr>
        <w:pStyle w:val="Heading3"/>
        <w:numPr>
          <w:ilvl w:val="0"/>
          <w:numId w:val="0"/>
        </w:numPr>
        <w:ind w:left="2127" w:hanging="284"/>
        <w:rPr>
          <w:sz w:val="24"/>
          <w:szCs w:val="24"/>
        </w:rPr>
      </w:pPr>
      <w:r w:rsidRPr="003056CD">
        <w:rPr>
          <w:sz w:val="24"/>
          <w:szCs w:val="24"/>
        </w:rPr>
        <w:t>c.</w:t>
      </w:r>
      <w:r w:rsidRPr="003056CD">
        <w:rPr>
          <w:sz w:val="24"/>
          <w:szCs w:val="24"/>
        </w:rPr>
        <w:tab/>
        <w:t xml:space="preserve">Calculating DWP’s view of </w:t>
      </w:r>
      <w:r>
        <w:rPr>
          <w:sz w:val="24"/>
          <w:szCs w:val="24"/>
        </w:rPr>
        <w:t xml:space="preserve">potential </w:t>
      </w:r>
      <w:r w:rsidRPr="003056CD">
        <w:rPr>
          <w:sz w:val="24"/>
          <w:szCs w:val="24"/>
        </w:rPr>
        <w:t>tax liability</w:t>
      </w:r>
      <w:r>
        <w:rPr>
          <w:sz w:val="24"/>
          <w:szCs w:val="24"/>
        </w:rPr>
        <w:t>.</w:t>
      </w:r>
      <w:r w:rsidR="005444FC">
        <w:rPr>
          <w:sz w:val="24"/>
          <w:szCs w:val="24"/>
        </w:rPr>
        <w:t xml:space="preserve">  </w:t>
      </w:r>
    </w:p>
    <w:p w14:paraId="50DC8631" w14:textId="0D2FDEC8" w:rsidR="005444FC" w:rsidRDefault="005444FC" w:rsidP="005C5289">
      <w:pPr>
        <w:pStyle w:val="Heading3"/>
        <w:numPr>
          <w:ilvl w:val="0"/>
          <w:numId w:val="42"/>
        </w:numPr>
        <w:rPr>
          <w:sz w:val="24"/>
          <w:szCs w:val="24"/>
        </w:rPr>
      </w:pPr>
      <w:r>
        <w:rPr>
          <w:sz w:val="24"/>
          <w:szCs w:val="24"/>
        </w:rPr>
        <w:t>Complete an assessment of the potential historic tax liability from all contracts under IR35, preparing for and supporting HMRC</w:t>
      </w:r>
      <w:r w:rsidRPr="003056CD">
        <w:rPr>
          <w:sz w:val="24"/>
          <w:szCs w:val="24"/>
        </w:rPr>
        <w:t xml:space="preserve"> </w:t>
      </w:r>
      <w:r>
        <w:rPr>
          <w:sz w:val="24"/>
          <w:szCs w:val="24"/>
        </w:rPr>
        <w:t>engagements.</w:t>
      </w:r>
    </w:p>
    <w:p w14:paraId="6C9C5337" w14:textId="77777777" w:rsidR="004D3B0A" w:rsidRPr="001C014C" w:rsidRDefault="004D3B0A" w:rsidP="004D3B0A">
      <w:pPr>
        <w:pStyle w:val="Heading3"/>
        <w:numPr>
          <w:ilvl w:val="0"/>
          <w:numId w:val="0"/>
        </w:numPr>
        <w:ind w:left="2127" w:hanging="284"/>
        <w:rPr>
          <w:sz w:val="24"/>
          <w:szCs w:val="24"/>
        </w:rPr>
      </w:pPr>
    </w:p>
    <w:p w14:paraId="44314437" w14:textId="77777777" w:rsidR="004D3B0A" w:rsidRPr="003E5400" w:rsidRDefault="004D3B0A" w:rsidP="004D3B0A">
      <w:pPr>
        <w:pStyle w:val="Heading3"/>
        <w:numPr>
          <w:ilvl w:val="2"/>
          <w:numId w:val="2"/>
        </w:numPr>
        <w:rPr>
          <w:b/>
          <w:sz w:val="24"/>
          <w:szCs w:val="24"/>
        </w:rPr>
      </w:pPr>
      <w:r w:rsidRPr="001C014C">
        <w:rPr>
          <w:b/>
          <w:sz w:val="24"/>
          <w:szCs w:val="24"/>
        </w:rPr>
        <w:t>Consultant Roles</w:t>
      </w:r>
      <w:r w:rsidRPr="003E5400">
        <w:rPr>
          <w:sz w:val="24"/>
          <w:szCs w:val="24"/>
        </w:rPr>
        <w:t xml:space="preserve">  </w:t>
      </w:r>
    </w:p>
    <w:p w14:paraId="3112C6BA" w14:textId="77777777" w:rsidR="004D3B0A" w:rsidRDefault="004D3B0A" w:rsidP="004D3B0A">
      <w:pPr>
        <w:pStyle w:val="Heading4"/>
        <w:numPr>
          <w:ilvl w:val="3"/>
          <w:numId w:val="2"/>
        </w:numPr>
        <w:rPr>
          <w:b/>
          <w:sz w:val="24"/>
          <w:szCs w:val="24"/>
        </w:rPr>
      </w:pPr>
      <w:r w:rsidRPr="001C014C">
        <w:rPr>
          <w:b/>
          <w:sz w:val="24"/>
          <w:szCs w:val="24"/>
        </w:rPr>
        <w:t>Tax Specialists</w:t>
      </w:r>
    </w:p>
    <w:p w14:paraId="385E91C1" w14:textId="77777777" w:rsidR="004D3B0A" w:rsidRPr="00D023D9" w:rsidRDefault="004D3B0A" w:rsidP="004D3B0A">
      <w:pPr>
        <w:pStyle w:val="Heading5"/>
        <w:numPr>
          <w:ilvl w:val="4"/>
          <w:numId w:val="2"/>
        </w:numPr>
        <w:rPr>
          <w:sz w:val="24"/>
          <w:szCs w:val="24"/>
        </w:rPr>
      </w:pPr>
      <w:r w:rsidRPr="001C014C">
        <w:rPr>
          <w:b/>
          <w:sz w:val="24"/>
          <w:szCs w:val="24"/>
        </w:rPr>
        <w:t xml:space="preserve"> </w:t>
      </w:r>
      <w:r w:rsidRPr="001C014C">
        <w:rPr>
          <w:sz w:val="24"/>
          <w:szCs w:val="24"/>
        </w:rPr>
        <w:t>To supplement and bolster the DWP Tax Team, providing in-depth tax advice, assurance, and answering queries of a technical nature.</w:t>
      </w:r>
    </w:p>
    <w:p w14:paraId="1F0A7E32" w14:textId="77777777" w:rsidR="004D3B0A" w:rsidRPr="00D023D9" w:rsidRDefault="004D3B0A" w:rsidP="004D3B0A">
      <w:pPr>
        <w:pStyle w:val="Heading5"/>
        <w:numPr>
          <w:ilvl w:val="4"/>
          <w:numId w:val="2"/>
        </w:numPr>
        <w:rPr>
          <w:sz w:val="24"/>
          <w:szCs w:val="24"/>
        </w:rPr>
      </w:pPr>
      <w:r w:rsidRPr="00D023D9">
        <w:rPr>
          <w:sz w:val="24"/>
          <w:szCs w:val="24"/>
        </w:rPr>
        <w:t xml:space="preserve">Detailed knowledge and practical application of IR35 tax legislation in the public sector will be required.   </w:t>
      </w:r>
    </w:p>
    <w:p w14:paraId="7097F8E9" w14:textId="73077D1B" w:rsidR="004D3B0A" w:rsidRPr="001E2D08" w:rsidRDefault="004D3B0A" w:rsidP="004D3B0A">
      <w:pPr>
        <w:pStyle w:val="Heading2"/>
        <w:numPr>
          <w:ilvl w:val="1"/>
          <w:numId w:val="2"/>
        </w:numPr>
        <w:spacing w:after="120"/>
        <w:ind w:left="709" w:hanging="709"/>
        <w:rPr>
          <w:sz w:val="24"/>
          <w:szCs w:val="24"/>
        </w:rPr>
      </w:pPr>
      <w:r w:rsidRPr="001E2D08">
        <w:rPr>
          <w:sz w:val="24"/>
          <w:szCs w:val="24"/>
        </w:rPr>
        <w:t>The work will take place in DWP Hubs, primarily Leeds although travel will be required to other DWP Hub locations e.g.</w:t>
      </w:r>
      <w:r w:rsidR="005C5289">
        <w:rPr>
          <w:sz w:val="24"/>
          <w:szCs w:val="24"/>
        </w:rPr>
        <w:t xml:space="preserve"> Manchester,</w:t>
      </w:r>
      <w:r w:rsidRPr="001E2D08">
        <w:rPr>
          <w:sz w:val="24"/>
          <w:szCs w:val="24"/>
        </w:rPr>
        <w:t xml:space="preserve"> London and Blackpool.</w:t>
      </w:r>
    </w:p>
    <w:p w14:paraId="1134FE0E" w14:textId="77777777" w:rsidR="004D3B0A" w:rsidRPr="001E2D08" w:rsidRDefault="004D3B0A" w:rsidP="004D3B0A">
      <w:pPr>
        <w:pStyle w:val="Heading2"/>
        <w:numPr>
          <w:ilvl w:val="0"/>
          <w:numId w:val="0"/>
        </w:numPr>
        <w:spacing w:after="120"/>
        <w:ind w:left="709"/>
        <w:rPr>
          <w:sz w:val="24"/>
          <w:szCs w:val="24"/>
        </w:rPr>
      </w:pPr>
    </w:p>
    <w:p w14:paraId="390318DB" w14:textId="77777777" w:rsidR="004D3B0A" w:rsidRPr="001E2D08" w:rsidRDefault="004D3B0A" w:rsidP="004D3B0A">
      <w:pPr>
        <w:pStyle w:val="Heading2"/>
        <w:numPr>
          <w:ilvl w:val="1"/>
          <w:numId w:val="2"/>
        </w:numPr>
        <w:tabs>
          <w:tab w:val="clear" w:pos="720"/>
        </w:tabs>
        <w:ind w:left="1287"/>
        <w:rPr>
          <w:sz w:val="24"/>
          <w:szCs w:val="24"/>
        </w:rPr>
      </w:pPr>
      <w:r w:rsidRPr="001E2D08">
        <w:rPr>
          <w:sz w:val="24"/>
          <w:szCs w:val="24"/>
        </w:rPr>
        <w:t>The Potential Supplier will be expected to:</w:t>
      </w:r>
    </w:p>
    <w:p w14:paraId="46DD651F" w14:textId="77777777" w:rsidR="004D3B0A" w:rsidRPr="001E2D08" w:rsidRDefault="004D3B0A" w:rsidP="004D3B0A">
      <w:pPr>
        <w:pStyle w:val="Heading3"/>
        <w:numPr>
          <w:ilvl w:val="2"/>
          <w:numId w:val="2"/>
        </w:numPr>
        <w:rPr>
          <w:sz w:val="24"/>
          <w:szCs w:val="24"/>
        </w:rPr>
      </w:pPr>
      <w:r w:rsidRPr="001E2D08">
        <w:rPr>
          <w:sz w:val="24"/>
          <w:szCs w:val="24"/>
        </w:rPr>
        <w:t>Utilise their own office space when not required to physically be located in the base locations.</w:t>
      </w:r>
    </w:p>
    <w:p w14:paraId="367D2EC1" w14:textId="77777777" w:rsidR="004D3B0A" w:rsidRPr="001E2D08" w:rsidRDefault="004D3B0A" w:rsidP="004D3B0A">
      <w:pPr>
        <w:pStyle w:val="Heading3"/>
        <w:numPr>
          <w:ilvl w:val="2"/>
          <w:numId w:val="2"/>
        </w:numPr>
        <w:rPr>
          <w:sz w:val="24"/>
          <w:szCs w:val="24"/>
        </w:rPr>
      </w:pPr>
      <w:r w:rsidRPr="001E2D08">
        <w:rPr>
          <w:sz w:val="24"/>
          <w:szCs w:val="24"/>
        </w:rPr>
        <w:t>Use their own laptops and mobile phones – to allow for flexibility in DWP offices.</w:t>
      </w:r>
    </w:p>
    <w:p w14:paraId="06ADBB12" w14:textId="4456986B" w:rsidR="00D551DF" w:rsidRPr="005444FC" w:rsidRDefault="004D3B0A" w:rsidP="00501262">
      <w:pPr>
        <w:pStyle w:val="Heading3"/>
        <w:numPr>
          <w:ilvl w:val="2"/>
          <w:numId w:val="2"/>
        </w:numPr>
        <w:rPr>
          <w:sz w:val="24"/>
        </w:rPr>
      </w:pPr>
      <w:r w:rsidRPr="005444FC">
        <w:rPr>
          <w:sz w:val="24"/>
          <w:szCs w:val="24"/>
        </w:rPr>
        <w:t>Work out of DWP offices as a minimum 3 or 4 days per week and to be virtually available on the 5</w:t>
      </w:r>
      <w:r w:rsidRPr="005444FC">
        <w:rPr>
          <w:sz w:val="24"/>
          <w:szCs w:val="24"/>
          <w:vertAlign w:val="superscript"/>
        </w:rPr>
        <w:t>th</w:t>
      </w:r>
      <w:r w:rsidRPr="005444FC">
        <w:rPr>
          <w:sz w:val="24"/>
          <w:szCs w:val="24"/>
        </w:rPr>
        <w:t xml:space="preserve"> day.</w:t>
      </w:r>
    </w:p>
    <w:p w14:paraId="35734D9E" w14:textId="54CCFB79" w:rsidR="00671798" w:rsidRPr="001C014C" w:rsidRDefault="00FE18AC" w:rsidP="003E5400">
      <w:pPr>
        <w:pStyle w:val="Heading1"/>
        <w:spacing w:before="240" w:after="120"/>
        <w:rPr>
          <w:sz w:val="32"/>
          <w:szCs w:val="32"/>
        </w:rPr>
      </w:pPr>
      <w:bookmarkStart w:id="19" w:name="_Toc368573032"/>
      <w:bookmarkStart w:id="20" w:name="_Toc29300973"/>
      <w:r w:rsidRPr="001C014C">
        <w:rPr>
          <w:sz w:val="32"/>
          <w:szCs w:val="32"/>
        </w:rPr>
        <w:t>key milestones</w:t>
      </w:r>
      <w:bookmarkEnd w:id="19"/>
      <w:r w:rsidR="00F0311A" w:rsidRPr="001C014C">
        <w:rPr>
          <w:sz w:val="32"/>
          <w:szCs w:val="32"/>
        </w:rPr>
        <w:t xml:space="preserve"> and Deliverables</w:t>
      </w:r>
      <w:bookmarkEnd w:id="20"/>
    </w:p>
    <w:p w14:paraId="4D0E0CBA" w14:textId="18CAC30E" w:rsidR="00FE18AC" w:rsidRPr="001C014C"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C014C">
        <w:rPr>
          <w:rFonts w:cs="Arial"/>
          <w:sz w:val="24"/>
          <w:szCs w:val="24"/>
        </w:rPr>
        <w:t>The following Contract</w:t>
      </w:r>
      <w:r w:rsidR="00A57B4E" w:rsidRPr="001C014C">
        <w:rPr>
          <w:rFonts w:cs="Arial"/>
          <w:sz w:val="24"/>
          <w:szCs w:val="24"/>
        </w:rPr>
        <w:t xml:space="preserve"> milestones</w:t>
      </w:r>
      <w:r w:rsidR="00F0311A" w:rsidRPr="001C014C">
        <w:rPr>
          <w:rFonts w:cs="Arial"/>
          <w:sz w:val="24"/>
          <w:szCs w:val="24"/>
        </w:rPr>
        <w:t>/deliverables</w:t>
      </w:r>
      <w:r w:rsidRPr="001C014C">
        <w:rPr>
          <w:rFonts w:cs="Arial"/>
          <w:sz w:val="24"/>
          <w:szCs w:val="24"/>
        </w:rPr>
        <w:t xml:space="preserve"> shall apply</w:t>
      </w:r>
      <w:r w:rsidR="00D17764" w:rsidRPr="001C014C">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C014C" w14:paraId="6BF78E35" w14:textId="77777777" w:rsidTr="001A5D29">
        <w:tc>
          <w:tcPr>
            <w:tcW w:w="1481" w:type="pct"/>
            <w:shd w:val="clear" w:color="auto" w:fill="C6D9F1" w:themeFill="text2" w:themeFillTint="33"/>
            <w:vAlign w:val="center"/>
          </w:tcPr>
          <w:p w14:paraId="2F0B096C" w14:textId="2748D807" w:rsidR="00671798" w:rsidRPr="001C014C" w:rsidRDefault="00FE18AC">
            <w:pPr>
              <w:pStyle w:val="Heading3"/>
              <w:numPr>
                <w:ilvl w:val="0"/>
                <w:numId w:val="0"/>
              </w:numPr>
              <w:spacing w:after="120"/>
              <w:jc w:val="center"/>
              <w:outlineLvl w:val="2"/>
              <w:rPr>
                <w:b/>
                <w:sz w:val="24"/>
                <w:szCs w:val="24"/>
              </w:rPr>
            </w:pPr>
            <w:r w:rsidRPr="001C014C">
              <w:rPr>
                <w:b/>
                <w:sz w:val="24"/>
                <w:szCs w:val="24"/>
              </w:rPr>
              <w:t>Milestone</w:t>
            </w:r>
            <w:r w:rsidR="00F0311A" w:rsidRPr="001C014C">
              <w:rPr>
                <w:b/>
                <w:sz w:val="24"/>
                <w:szCs w:val="24"/>
              </w:rPr>
              <w:t>/Deliverable</w:t>
            </w:r>
          </w:p>
        </w:tc>
        <w:tc>
          <w:tcPr>
            <w:tcW w:w="2188" w:type="pct"/>
            <w:shd w:val="clear" w:color="auto" w:fill="C6D9F1" w:themeFill="text2" w:themeFillTint="33"/>
            <w:vAlign w:val="center"/>
          </w:tcPr>
          <w:p w14:paraId="55754382" w14:textId="77777777" w:rsidR="00671798" w:rsidRPr="001C014C" w:rsidRDefault="00FE18AC">
            <w:pPr>
              <w:pStyle w:val="Heading3"/>
              <w:numPr>
                <w:ilvl w:val="0"/>
                <w:numId w:val="0"/>
              </w:numPr>
              <w:spacing w:after="120"/>
              <w:jc w:val="center"/>
              <w:outlineLvl w:val="2"/>
              <w:rPr>
                <w:b/>
                <w:sz w:val="24"/>
                <w:szCs w:val="24"/>
              </w:rPr>
            </w:pPr>
            <w:r w:rsidRPr="001C014C">
              <w:rPr>
                <w:b/>
                <w:sz w:val="24"/>
                <w:szCs w:val="24"/>
              </w:rPr>
              <w:t>Description</w:t>
            </w:r>
          </w:p>
        </w:tc>
        <w:tc>
          <w:tcPr>
            <w:tcW w:w="1331" w:type="pct"/>
            <w:shd w:val="clear" w:color="auto" w:fill="C6D9F1" w:themeFill="text2" w:themeFillTint="33"/>
            <w:vAlign w:val="center"/>
          </w:tcPr>
          <w:p w14:paraId="0EABB2D0" w14:textId="3170C19C" w:rsidR="00671798" w:rsidRPr="001C014C" w:rsidRDefault="00FE18AC">
            <w:pPr>
              <w:pStyle w:val="Heading3"/>
              <w:numPr>
                <w:ilvl w:val="0"/>
                <w:numId w:val="0"/>
              </w:numPr>
              <w:spacing w:after="120"/>
              <w:jc w:val="center"/>
              <w:outlineLvl w:val="2"/>
              <w:rPr>
                <w:b/>
                <w:sz w:val="24"/>
                <w:szCs w:val="24"/>
              </w:rPr>
            </w:pPr>
            <w:r w:rsidRPr="001C014C">
              <w:rPr>
                <w:b/>
                <w:sz w:val="24"/>
                <w:szCs w:val="24"/>
              </w:rPr>
              <w:t>Timeframe</w:t>
            </w:r>
            <w:r w:rsidR="00F0311A" w:rsidRPr="001C014C">
              <w:rPr>
                <w:b/>
                <w:sz w:val="24"/>
                <w:szCs w:val="24"/>
              </w:rPr>
              <w:t xml:space="preserve"> </w:t>
            </w:r>
            <w:r w:rsidR="00F66885" w:rsidRPr="001C014C">
              <w:rPr>
                <w:b/>
                <w:sz w:val="24"/>
                <w:szCs w:val="24"/>
              </w:rPr>
              <w:t>or Delivery</w:t>
            </w:r>
            <w:r w:rsidR="00F0311A" w:rsidRPr="001C014C">
              <w:rPr>
                <w:b/>
                <w:sz w:val="24"/>
                <w:szCs w:val="24"/>
              </w:rPr>
              <w:t xml:space="preserve"> Date</w:t>
            </w:r>
          </w:p>
        </w:tc>
      </w:tr>
      <w:tr w:rsidR="001A5D29" w:rsidRPr="001C014C" w14:paraId="2B6EAC37" w14:textId="77777777" w:rsidTr="001A5D29">
        <w:tc>
          <w:tcPr>
            <w:tcW w:w="1481" w:type="pct"/>
            <w:vAlign w:val="center"/>
          </w:tcPr>
          <w:p w14:paraId="13176D62" w14:textId="77777777" w:rsidR="001A5D29" w:rsidRPr="001C014C" w:rsidRDefault="001A5D29" w:rsidP="001A5D29">
            <w:pPr>
              <w:pStyle w:val="Heading3"/>
              <w:numPr>
                <w:ilvl w:val="0"/>
                <w:numId w:val="0"/>
              </w:numPr>
              <w:spacing w:after="120"/>
              <w:jc w:val="center"/>
              <w:outlineLvl w:val="2"/>
              <w:rPr>
                <w:sz w:val="24"/>
                <w:szCs w:val="24"/>
              </w:rPr>
            </w:pPr>
            <w:r w:rsidRPr="001C014C">
              <w:rPr>
                <w:sz w:val="24"/>
                <w:szCs w:val="24"/>
              </w:rPr>
              <w:lastRenderedPageBreak/>
              <w:t>1</w:t>
            </w:r>
          </w:p>
        </w:tc>
        <w:tc>
          <w:tcPr>
            <w:tcW w:w="2188" w:type="pct"/>
            <w:vAlign w:val="center"/>
          </w:tcPr>
          <w:p w14:paraId="04CC1243" w14:textId="09CD67C2" w:rsidR="001A5D29" w:rsidRPr="001C014C" w:rsidRDefault="001A5D29" w:rsidP="001A5D29">
            <w:pPr>
              <w:pStyle w:val="Heading3"/>
              <w:numPr>
                <w:ilvl w:val="0"/>
                <w:numId w:val="0"/>
              </w:numPr>
              <w:spacing w:after="120"/>
              <w:jc w:val="left"/>
              <w:outlineLvl w:val="2"/>
              <w:rPr>
                <w:sz w:val="24"/>
                <w:szCs w:val="24"/>
              </w:rPr>
            </w:pPr>
            <w:r w:rsidRPr="001C014C">
              <w:rPr>
                <w:sz w:val="24"/>
                <w:szCs w:val="24"/>
              </w:rPr>
              <w:t>A detailed and workable project plan for all activity described in the requirement (Section 6 above)</w:t>
            </w:r>
          </w:p>
        </w:tc>
        <w:tc>
          <w:tcPr>
            <w:tcW w:w="1331" w:type="pct"/>
            <w:vAlign w:val="center"/>
          </w:tcPr>
          <w:p w14:paraId="23E536A9" w14:textId="4D420E2F" w:rsidR="001A5D29" w:rsidRPr="001C014C" w:rsidRDefault="008C1442" w:rsidP="001A5D29">
            <w:pPr>
              <w:pStyle w:val="Heading3"/>
              <w:numPr>
                <w:ilvl w:val="0"/>
                <w:numId w:val="0"/>
              </w:numPr>
              <w:spacing w:after="120"/>
              <w:jc w:val="center"/>
              <w:outlineLvl w:val="2"/>
              <w:rPr>
                <w:sz w:val="24"/>
                <w:szCs w:val="24"/>
              </w:rPr>
            </w:pPr>
            <w:r w:rsidRPr="008C1442">
              <w:rPr>
                <w:sz w:val="24"/>
                <w:szCs w:val="24"/>
              </w:rPr>
              <w:t xml:space="preserve">No later than </w:t>
            </w:r>
            <w:r w:rsidR="00F66885" w:rsidRPr="008C1442">
              <w:rPr>
                <w:sz w:val="24"/>
                <w:szCs w:val="24"/>
              </w:rPr>
              <w:t>28</w:t>
            </w:r>
            <w:r w:rsidR="00F66885" w:rsidRPr="008A079B">
              <w:rPr>
                <w:sz w:val="24"/>
                <w:szCs w:val="24"/>
                <w:vertAlign w:val="superscript"/>
              </w:rPr>
              <w:t>th</w:t>
            </w:r>
            <w:r w:rsidR="00F66885">
              <w:rPr>
                <w:sz w:val="24"/>
                <w:szCs w:val="24"/>
              </w:rPr>
              <w:t xml:space="preserve"> </w:t>
            </w:r>
            <w:r w:rsidR="00F66885" w:rsidRPr="008C1442">
              <w:rPr>
                <w:sz w:val="24"/>
                <w:szCs w:val="24"/>
              </w:rPr>
              <w:t>February</w:t>
            </w:r>
            <w:r w:rsidRPr="008C1442">
              <w:rPr>
                <w:sz w:val="24"/>
                <w:szCs w:val="24"/>
              </w:rPr>
              <w:t xml:space="preserve"> 20</w:t>
            </w:r>
            <w:r w:rsidR="00F66885">
              <w:rPr>
                <w:sz w:val="24"/>
                <w:szCs w:val="24"/>
              </w:rPr>
              <w:t>20</w:t>
            </w:r>
            <w:r w:rsidR="001A5D29" w:rsidRPr="008C1442">
              <w:rPr>
                <w:sz w:val="24"/>
                <w:szCs w:val="24"/>
              </w:rPr>
              <w:t xml:space="preserve"> </w:t>
            </w:r>
          </w:p>
        </w:tc>
      </w:tr>
      <w:tr w:rsidR="001A5D29" w:rsidRPr="001C014C" w14:paraId="16F113EC" w14:textId="77777777" w:rsidTr="001A5D29">
        <w:tc>
          <w:tcPr>
            <w:tcW w:w="1481" w:type="pct"/>
            <w:vAlign w:val="center"/>
          </w:tcPr>
          <w:p w14:paraId="4FD18402" w14:textId="77777777" w:rsidR="001A5D29" w:rsidRPr="001C014C" w:rsidRDefault="001A5D29" w:rsidP="001A5D29">
            <w:pPr>
              <w:pStyle w:val="Heading3"/>
              <w:numPr>
                <w:ilvl w:val="0"/>
                <w:numId w:val="0"/>
              </w:numPr>
              <w:spacing w:after="120"/>
              <w:jc w:val="center"/>
              <w:outlineLvl w:val="2"/>
              <w:rPr>
                <w:sz w:val="24"/>
                <w:szCs w:val="24"/>
              </w:rPr>
            </w:pPr>
            <w:r w:rsidRPr="001C014C">
              <w:rPr>
                <w:sz w:val="24"/>
                <w:szCs w:val="24"/>
              </w:rPr>
              <w:t>2</w:t>
            </w:r>
          </w:p>
        </w:tc>
        <w:tc>
          <w:tcPr>
            <w:tcW w:w="2188" w:type="pct"/>
            <w:vAlign w:val="center"/>
          </w:tcPr>
          <w:p w14:paraId="33C22C40" w14:textId="7BD84362" w:rsidR="001A5D29" w:rsidRPr="001C014C" w:rsidRDefault="004F4C53" w:rsidP="001A5D29">
            <w:pPr>
              <w:pStyle w:val="Heading3"/>
              <w:numPr>
                <w:ilvl w:val="0"/>
                <w:numId w:val="0"/>
              </w:numPr>
              <w:spacing w:after="120"/>
              <w:jc w:val="left"/>
              <w:outlineLvl w:val="2"/>
              <w:rPr>
                <w:sz w:val="24"/>
                <w:szCs w:val="24"/>
              </w:rPr>
            </w:pPr>
            <w:r>
              <w:rPr>
                <w:sz w:val="24"/>
                <w:szCs w:val="24"/>
              </w:rPr>
              <w:t xml:space="preserve">IR35: </w:t>
            </w:r>
            <w:r w:rsidR="001A5D29" w:rsidRPr="001C014C">
              <w:rPr>
                <w:sz w:val="24"/>
                <w:szCs w:val="24"/>
              </w:rPr>
              <w:t xml:space="preserve">Revised contract approvals </w:t>
            </w:r>
            <w:r w:rsidR="00D440B8">
              <w:rPr>
                <w:sz w:val="24"/>
                <w:szCs w:val="24"/>
              </w:rPr>
              <w:t xml:space="preserve">and </w:t>
            </w:r>
            <w:r w:rsidR="001A5D29" w:rsidRPr="001C014C">
              <w:rPr>
                <w:sz w:val="24"/>
                <w:szCs w:val="24"/>
              </w:rPr>
              <w:t>governance implemented</w:t>
            </w:r>
            <w:r w:rsidR="00D023D9">
              <w:rPr>
                <w:sz w:val="24"/>
                <w:szCs w:val="24"/>
              </w:rPr>
              <w:t xml:space="preserve"> across the D</w:t>
            </w:r>
            <w:r w:rsidR="00D440B8">
              <w:rPr>
                <w:sz w:val="24"/>
                <w:szCs w:val="24"/>
              </w:rPr>
              <w:t>epartment.</w:t>
            </w:r>
          </w:p>
        </w:tc>
        <w:tc>
          <w:tcPr>
            <w:tcW w:w="1331" w:type="pct"/>
            <w:vAlign w:val="center"/>
          </w:tcPr>
          <w:p w14:paraId="3B285FD4" w14:textId="5A540B96" w:rsidR="001A5D29" w:rsidRPr="001C014C" w:rsidRDefault="001A5D29" w:rsidP="00D440B8">
            <w:pPr>
              <w:pStyle w:val="Heading3"/>
              <w:numPr>
                <w:ilvl w:val="0"/>
                <w:numId w:val="0"/>
              </w:numPr>
              <w:spacing w:after="120"/>
              <w:jc w:val="center"/>
              <w:outlineLvl w:val="2"/>
              <w:rPr>
                <w:sz w:val="24"/>
                <w:szCs w:val="24"/>
              </w:rPr>
            </w:pPr>
            <w:r w:rsidRPr="001C014C">
              <w:rPr>
                <w:sz w:val="24"/>
                <w:szCs w:val="24"/>
              </w:rPr>
              <w:t>No later than 31</w:t>
            </w:r>
            <w:r w:rsidRPr="001C014C">
              <w:rPr>
                <w:sz w:val="24"/>
                <w:szCs w:val="24"/>
                <w:vertAlign w:val="superscript"/>
              </w:rPr>
              <w:t>st</w:t>
            </w:r>
            <w:r w:rsidRPr="001C014C">
              <w:rPr>
                <w:sz w:val="24"/>
                <w:szCs w:val="24"/>
              </w:rPr>
              <w:t xml:space="preserve"> </w:t>
            </w:r>
            <w:r w:rsidR="00D440B8">
              <w:rPr>
                <w:sz w:val="24"/>
                <w:szCs w:val="24"/>
              </w:rPr>
              <w:t>March</w:t>
            </w:r>
            <w:r w:rsidR="00D440B8" w:rsidRPr="001C014C">
              <w:rPr>
                <w:sz w:val="24"/>
                <w:szCs w:val="24"/>
              </w:rPr>
              <w:t xml:space="preserve"> </w:t>
            </w:r>
            <w:r w:rsidR="003E5400">
              <w:rPr>
                <w:sz w:val="24"/>
                <w:szCs w:val="24"/>
              </w:rPr>
              <w:t>20</w:t>
            </w:r>
            <w:r w:rsidR="00F66885">
              <w:rPr>
                <w:sz w:val="24"/>
                <w:szCs w:val="24"/>
              </w:rPr>
              <w:t>20</w:t>
            </w:r>
          </w:p>
        </w:tc>
      </w:tr>
      <w:tr w:rsidR="001A5D29" w:rsidRPr="001C014C" w14:paraId="3FD394DC" w14:textId="77777777" w:rsidTr="001A5D29">
        <w:tc>
          <w:tcPr>
            <w:tcW w:w="1481" w:type="pct"/>
            <w:vAlign w:val="center"/>
          </w:tcPr>
          <w:p w14:paraId="3995F849" w14:textId="77777777" w:rsidR="001A5D29" w:rsidRPr="001C014C" w:rsidRDefault="001A5D29" w:rsidP="001A5D29">
            <w:pPr>
              <w:pStyle w:val="Heading3"/>
              <w:numPr>
                <w:ilvl w:val="0"/>
                <w:numId w:val="0"/>
              </w:numPr>
              <w:spacing w:after="120"/>
              <w:jc w:val="center"/>
              <w:outlineLvl w:val="2"/>
              <w:rPr>
                <w:sz w:val="24"/>
                <w:szCs w:val="24"/>
              </w:rPr>
            </w:pPr>
            <w:r w:rsidRPr="001C014C">
              <w:rPr>
                <w:sz w:val="24"/>
                <w:szCs w:val="24"/>
              </w:rPr>
              <w:t>3</w:t>
            </w:r>
          </w:p>
        </w:tc>
        <w:tc>
          <w:tcPr>
            <w:tcW w:w="2188" w:type="pct"/>
            <w:vAlign w:val="center"/>
          </w:tcPr>
          <w:p w14:paraId="4962E129" w14:textId="47F02D33" w:rsidR="001A5D29" w:rsidRPr="001C014C" w:rsidRDefault="004F4C53" w:rsidP="001A5D29">
            <w:pPr>
              <w:pStyle w:val="Heading3"/>
              <w:numPr>
                <w:ilvl w:val="0"/>
                <w:numId w:val="0"/>
              </w:numPr>
              <w:spacing w:after="120"/>
              <w:jc w:val="left"/>
              <w:outlineLvl w:val="2"/>
              <w:rPr>
                <w:sz w:val="24"/>
                <w:szCs w:val="24"/>
              </w:rPr>
            </w:pPr>
            <w:r>
              <w:rPr>
                <w:sz w:val="24"/>
                <w:szCs w:val="24"/>
              </w:rPr>
              <w:t xml:space="preserve">IR35: </w:t>
            </w:r>
            <w:r w:rsidR="001A5D29" w:rsidRPr="001C014C">
              <w:rPr>
                <w:sz w:val="24"/>
                <w:szCs w:val="24"/>
              </w:rPr>
              <w:t>Preparations and planning complete for the April 2020 changes in IR35 legislation</w:t>
            </w:r>
          </w:p>
        </w:tc>
        <w:tc>
          <w:tcPr>
            <w:tcW w:w="1331" w:type="pct"/>
            <w:vAlign w:val="center"/>
          </w:tcPr>
          <w:p w14:paraId="7164B729" w14:textId="6D4372AE" w:rsidR="001A5D29" w:rsidRPr="001C014C" w:rsidRDefault="001A5D29" w:rsidP="00D440B8">
            <w:pPr>
              <w:pStyle w:val="Heading3"/>
              <w:numPr>
                <w:ilvl w:val="0"/>
                <w:numId w:val="0"/>
              </w:numPr>
              <w:spacing w:after="120"/>
              <w:jc w:val="center"/>
              <w:outlineLvl w:val="2"/>
              <w:rPr>
                <w:sz w:val="24"/>
                <w:szCs w:val="24"/>
              </w:rPr>
            </w:pPr>
            <w:r w:rsidRPr="001C014C">
              <w:rPr>
                <w:sz w:val="24"/>
                <w:szCs w:val="24"/>
              </w:rPr>
              <w:t>No later than 31</w:t>
            </w:r>
            <w:r w:rsidRPr="001C014C">
              <w:rPr>
                <w:sz w:val="24"/>
                <w:szCs w:val="24"/>
                <w:vertAlign w:val="superscript"/>
              </w:rPr>
              <w:t>st</w:t>
            </w:r>
            <w:r w:rsidRPr="001C014C">
              <w:rPr>
                <w:sz w:val="24"/>
                <w:szCs w:val="24"/>
              </w:rPr>
              <w:t xml:space="preserve"> </w:t>
            </w:r>
            <w:r w:rsidR="00D440B8">
              <w:rPr>
                <w:sz w:val="24"/>
                <w:szCs w:val="24"/>
              </w:rPr>
              <w:t>March</w:t>
            </w:r>
            <w:r w:rsidR="00D440B8" w:rsidRPr="001C014C">
              <w:rPr>
                <w:sz w:val="24"/>
                <w:szCs w:val="24"/>
              </w:rPr>
              <w:t xml:space="preserve"> </w:t>
            </w:r>
            <w:r w:rsidR="003E5400">
              <w:rPr>
                <w:sz w:val="24"/>
                <w:szCs w:val="24"/>
              </w:rPr>
              <w:t>20</w:t>
            </w:r>
            <w:r w:rsidR="00F66885">
              <w:rPr>
                <w:sz w:val="24"/>
                <w:szCs w:val="24"/>
              </w:rPr>
              <w:t>20</w:t>
            </w:r>
          </w:p>
        </w:tc>
      </w:tr>
      <w:tr w:rsidR="001A5D29" w:rsidRPr="001C014C" w14:paraId="6A3230F6" w14:textId="77777777" w:rsidTr="001A5D29">
        <w:tc>
          <w:tcPr>
            <w:tcW w:w="1481" w:type="pct"/>
            <w:vAlign w:val="center"/>
          </w:tcPr>
          <w:p w14:paraId="3302843B" w14:textId="77777777" w:rsidR="001A5D29" w:rsidRPr="001C014C" w:rsidRDefault="001A5D29" w:rsidP="001A5D29">
            <w:pPr>
              <w:pStyle w:val="Heading3"/>
              <w:numPr>
                <w:ilvl w:val="0"/>
                <w:numId w:val="0"/>
              </w:numPr>
              <w:spacing w:after="120"/>
              <w:jc w:val="center"/>
              <w:outlineLvl w:val="2"/>
              <w:rPr>
                <w:sz w:val="24"/>
                <w:szCs w:val="24"/>
              </w:rPr>
            </w:pPr>
            <w:r w:rsidRPr="001C014C">
              <w:rPr>
                <w:sz w:val="24"/>
                <w:szCs w:val="24"/>
              </w:rPr>
              <w:t>4</w:t>
            </w:r>
          </w:p>
        </w:tc>
        <w:tc>
          <w:tcPr>
            <w:tcW w:w="2188" w:type="pct"/>
            <w:vAlign w:val="center"/>
          </w:tcPr>
          <w:p w14:paraId="029789C7" w14:textId="742FC930" w:rsidR="001A5D29" w:rsidRPr="001C014C" w:rsidRDefault="00D440B8" w:rsidP="001A5D29">
            <w:pPr>
              <w:pStyle w:val="Heading3"/>
              <w:numPr>
                <w:ilvl w:val="0"/>
                <w:numId w:val="0"/>
              </w:numPr>
              <w:spacing w:after="120"/>
              <w:jc w:val="left"/>
              <w:outlineLvl w:val="2"/>
              <w:rPr>
                <w:sz w:val="24"/>
                <w:szCs w:val="24"/>
              </w:rPr>
            </w:pPr>
            <w:r>
              <w:rPr>
                <w:sz w:val="24"/>
                <w:szCs w:val="24"/>
              </w:rPr>
              <w:t xml:space="preserve">Historic IR35 Position: Completing an assessment of the potential historic tax liability to support discussions with HMRC  </w:t>
            </w:r>
          </w:p>
        </w:tc>
        <w:tc>
          <w:tcPr>
            <w:tcW w:w="1331" w:type="pct"/>
            <w:vAlign w:val="center"/>
          </w:tcPr>
          <w:p w14:paraId="0A8D4F91" w14:textId="6C2C850C" w:rsidR="001A5D29" w:rsidRPr="001C014C" w:rsidRDefault="004F4C53" w:rsidP="00D440B8">
            <w:pPr>
              <w:pStyle w:val="Heading3"/>
              <w:numPr>
                <w:ilvl w:val="0"/>
                <w:numId w:val="0"/>
              </w:numPr>
              <w:spacing w:after="120"/>
              <w:jc w:val="center"/>
              <w:outlineLvl w:val="2"/>
              <w:rPr>
                <w:sz w:val="24"/>
                <w:szCs w:val="24"/>
              </w:rPr>
            </w:pPr>
            <w:r>
              <w:rPr>
                <w:sz w:val="24"/>
                <w:szCs w:val="24"/>
              </w:rPr>
              <w:t xml:space="preserve">No later than </w:t>
            </w:r>
            <w:r w:rsidR="00D440B8">
              <w:rPr>
                <w:sz w:val="24"/>
                <w:szCs w:val="24"/>
              </w:rPr>
              <w:t>28 February</w:t>
            </w:r>
            <w:r w:rsidR="003E5400">
              <w:rPr>
                <w:sz w:val="24"/>
                <w:szCs w:val="24"/>
              </w:rPr>
              <w:t xml:space="preserve"> 20</w:t>
            </w:r>
            <w:r w:rsidR="00F66885">
              <w:rPr>
                <w:sz w:val="24"/>
                <w:szCs w:val="24"/>
              </w:rPr>
              <w:t>20</w:t>
            </w:r>
          </w:p>
        </w:tc>
      </w:tr>
      <w:tr w:rsidR="00642A1B" w:rsidRPr="001C014C" w14:paraId="076B4A44" w14:textId="77777777" w:rsidTr="001A5D29">
        <w:tc>
          <w:tcPr>
            <w:tcW w:w="1481" w:type="pct"/>
            <w:vAlign w:val="center"/>
          </w:tcPr>
          <w:p w14:paraId="4FE7E966" w14:textId="3C4D3890" w:rsidR="00642A1B" w:rsidRPr="001C014C" w:rsidRDefault="00642A1B" w:rsidP="001A5D29">
            <w:pPr>
              <w:pStyle w:val="Heading3"/>
              <w:numPr>
                <w:ilvl w:val="0"/>
                <w:numId w:val="0"/>
              </w:numPr>
              <w:spacing w:after="120"/>
              <w:jc w:val="center"/>
              <w:outlineLvl w:val="2"/>
              <w:rPr>
                <w:sz w:val="24"/>
                <w:szCs w:val="24"/>
              </w:rPr>
            </w:pPr>
            <w:r>
              <w:rPr>
                <w:sz w:val="24"/>
                <w:szCs w:val="24"/>
              </w:rPr>
              <w:t>5</w:t>
            </w:r>
          </w:p>
        </w:tc>
        <w:tc>
          <w:tcPr>
            <w:tcW w:w="2188" w:type="pct"/>
            <w:vAlign w:val="center"/>
          </w:tcPr>
          <w:p w14:paraId="0EF1C9B2" w14:textId="60536F49" w:rsidR="00642A1B" w:rsidRDefault="00642A1B" w:rsidP="001A5D29">
            <w:pPr>
              <w:pStyle w:val="Heading3"/>
              <w:numPr>
                <w:ilvl w:val="0"/>
                <w:numId w:val="0"/>
              </w:numPr>
              <w:spacing w:after="120"/>
              <w:jc w:val="left"/>
              <w:outlineLvl w:val="2"/>
              <w:rPr>
                <w:sz w:val="24"/>
                <w:szCs w:val="24"/>
              </w:rPr>
            </w:pPr>
            <w:r w:rsidRPr="00642A1B">
              <w:rPr>
                <w:sz w:val="24"/>
                <w:szCs w:val="24"/>
              </w:rPr>
              <w:t xml:space="preserve">Completion of project work in line with </w:t>
            </w:r>
            <w:r>
              <w:rPr>
                <w:sz w:val="24"/>
                <w:szCs w:val="24"/>
              </w:rPr>
              <w:t>project plan</w:t>
            </w:r>
            <w:r w:rsidR="00F66885">
              <w:rPr>
                <w:sz w:val="24"/>
                <w:szCs w:val="24"/>
              </w:rPr>
              <w:t xml:space="preserve"> as delivered in Milestone/Deliverable 1.</w:t>
            </w:r>
          </w:p>
        </w:tc>
        <w:tc>
          <w:tcPr>
            <w:tcW w:w="1331" w:type="pct"/>
            <w:vAlign w:val="center"/>
          </w:tcPr>
          <w:p w14:paraId="6CD37639" w14:textId="68C96FFF" w:rsidR="00642A1B" w:rsidRDefault="00642A1B" w:rsidP="00D440B8">
            <w:pPr>
              <w:pStyle w:val="Heading3"/>
              <w:numPr>
                <w:ilvl w:val="0"/>
                <w:numId w:val="0"/>
              </w:numPr>
              <w:spacing w:after="120"/>
              <w:jc w:val="center"/>
              <w:outlineLvl w:val="2"/>
              <w:rPr>
                <w:sz w:val="24"/>
                <w:szCs w:val="24"/>
              </w:rPr>
            </w:pPr>
            <w:r>
              <w:rPr>
                <w:sz w:val="24"/>
                <w:szCs w:val="24"/>
              </w:rPr>
              <w:t xml:space="preserve">No later than </w:t>
            </w:r>
            <w:r w:rsidR="00F66885">
              <w:rPr>
                <w:sz w:val="24"/>
                <w:szCs w:val="24"/>
              </w:rPr>
              <w:t>28</w:t>
            </w:r>
            <w:r w:rsidR="00F66885" w:rsidRPr="00642A1B">
              <w:rPr>
                <w:sz w:val="24"/>
                <w:szCs w:val="24"/>
                <w:vertAlign w:val="superscript"/>
              </w:rPr>
              <w:t>th</w:t>
            </w:r>
            <w:r w:rsidR="00F66885">
              <w:rPr>
                <w:sz w:val="24"/>
                <w:szCs w:val="24"/>
              </w:rPr>
              <w:t xml:space="preserve"> August</w:t>
            </w:r>
            <w:r>
              <w:rPr>
                <w:sz w:val="24"/>
                <w:szCs w:val="24"/>
              </w:rPr>
              <w:t xml:space="preserve"> 20</w:t>
            </w:r>
            <w:r w:rsidR="00F66885">
              <w:rPr>
                <w:sz w:val="24"/>
                <w:szCs w:val="24"/>
              </w:rPr>
              <w:t>20</w:t>
            </w:r>
          </w:p>
        </w:tc>
      </w:tr>
    </w:tbl>
    <w:p w14:paraId="228D428C" w14:textId="21E94F5F" w:rsidR="00FE18AC" w:rsidRPr="001C014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203EC2B6" w14:textId="6BC3F211" w:rsidR="00671798" w:rsidRPr="001C014C"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29300974"/>
      <w:r w:rsidRPr="001C014C">
        <w:rPr>
          <w:rFonts w:cs="Arial"/>
          <w:sz w:val="32"/>
          <w:szCs w:val="32"/>
        </w:rPr>
        <w:t>MANAGEMENT INFORMATION/</w:t>
      </w:r>
      <w:r w:rsidR="00FE18AC" w:rsidRPr="001C014C">
        <w:rPr>
          <w:rFonts w:cs="Arial"/>
          <w:sz w:val="32"/>
          <w:szCs w:val="32"/>
        </w:rPr>
        <w:t>reporting</w:t>
      </w:r>
      <w:bookmarkEnd w:id="22"/>
      <w:bookmarkEnd w:id="23"/>
    </w:p>
    <w:p w14:paraId="2DB7A68F" w14:textId="06FF96CA" w:rsidR="0006741C" w:rsidRPr="001C014C" w:rsidRDefault="0006741C" w:rsidP="0006741C">
      <w:pPr>
        <w:pStyle w:val="Heading2"/>
        <w:rPr>
          <w:sz w:val="24"/>
          <w:szCs w:val="24"/>
          <w:shd w:val="clear" w:color="auto" w:fill="FFFFFF" w:themeFill="background1"/>
        </w:rPr>
      </w:pPr>
      <w:r w:rsidRPr="001C014C">
        <w:rPr>
          <w:sz w:val="24"/>
          <w:szCs w:val="24"/>
          <w:shd w:val="clear" w:color="auto" w:fill="FFFFFF" w:themeFill="background1"/>
        </w:rPr>
        <w:t xml:space="preserve">In addition to the provision of the Services specified, the </w:t>
      </w:r>
      <w:r w:rsidR="00B229F0">
        <w:rPr>
          <w:sz w:val="24"/>
          <w:szCs w:val="24"/>
          <w:shd w:val="clear" w:color="auto" w:fill="FFFFFF" w:themeFill="background1"/>
        </w:rPr>
        <w:t>Potential Supplier</w:t>
      </w:r>
      <w:r w:rsidRPr="001C014C">
        <w:rPr>
          <w:sz w:val="24"/>
          <w:szCs w:val="24"/>
          <w:shd w:val="clear" w:color="auto" w:fill="FFFFFF" w:themeFill="background1"/>
        </w:rPr>
        <w:t xml:space="preserve"> will:</w:t>
      </w:r>
    </w:p>
    <w:p w14:paraId="1BFF7A7B" w14:textId="237D44A3" w:rsidR="0006741C" w:rsidRPr="001C014C" w:rsidRDefault="0006741C" w:rsidP="0006741C">
      <w:pPr>
        <w:pStyle w:val="Heading3"/>
        <w:rPr>
          <w:sz w:val="24"/>
          <w:szCs w:val="24"/>
        </w:rPr>
      </w:pPr>
      <w:r w:rsidRPr="001C014C">
        <w:rPr>
          <w:sz w:val="24"/>
          <w:szCs w:val="24"/>
        </w:rPr>
        <w:t>Produce a fortnightly report</w:t>
      </w:r>
      <w:r w:rsidR="005C5289">
        <w:rPr>
          <w:sz w:val="24"/>
          <w:szCs w:val="24"/>
        </w:rPr>
        <w:t xml:space="preserve"> to be shared prior to fortnightly meetings,</w:t>
      </w:r>
      <w:r w:rsidRPr="001C014C">
        <w:rPr>
          <w:sz w:val="24"/>
          <w:szCs w:val="24"/>
        </w:rPr>
        <w:t xml:space="preserve"> detailing the specific progress and contribution the </w:t>
      </w:r>
      <w:r w:rsidR="00B229F0">
        <w:rPr>
          <w:sz w:val="24"/>
          <w:szCs w:val="24"/>
        </w:rPr>
        <w:t>Potential Supplier</w:t>
      </w:r>
      <w:r w:rsidRPr="001C014C">
        <w:rPr>
          <w:sz w:val="24"/>
          <w:szCs w:val="24"/>
        </w:rPr>
        <w:t xml:space="preserve"> has made during the period.</w:t>
      </w:r>
    </w:p>
    <w:p w14:paraId="330A9175" w14:textId="29C76DF9" w:rsidR="0006741C" w:rsidRPr="001C014C" w:rsidRDefault="0006741C" w:rsidP="0006741C">
      <w:pPr>
        <w:pStyle w:val="Heading3"/>
        <w:rPr>
          <w:sz w:val="24"/>
          <w:szCs w:val="24"/>
        </w:rPr>
      </w:pPr>
      <w:r w:rsidRPr="001C014C">
        <w:rPr>
          <w:sz w:val="24"/>
          <w:szCs w:val="24"/>
        </w:rPr>
        <w:t xml:space="preserve">In addition to the report the </w:t>
      </w:r>
      <w:r w:rsidR="00B229F0">
        <w:rPr>
          <w:sz w:val="24"/>
          <w:szCs w:val="24"/>
        </w:rPr>
        <w:t>Potential Supplier</w:t>
      </w:r>
      <w:r w:rsidRPr="001C014C">
        <w:rPr>
          <w:sz w:val="24"/>
          <w:szCs w:val="24"/>
        </w:rPr>
        <w:t xml:space="preserve"> will be expected to hold regular service review meetings fortnightly with customer management in person or via Videoconferencing / Conference Call. </w:t>
      </w:r>
    </w:p>
    <w:p w14:paraId="40219839" w14:textId="77777777" w:rsidR="00E24EE7" w:rsidRPr="001C014C"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4"/>
      <w:bookmarkStart w:id="25" w:name="_Toc29300975"/>
      <w:r w:rsidRPr="001C014C">
        <w:rPr>
          <w:rFonts w:cs="Arial"/>
          <w:sz w:val="32"/>
          <w:szCs w:val="32"/>
        </w:rPr>
        <w:t>volumes</w:t>
      </w:r>
      <w:bookmarkEnd w:id="24"/>
      <w:bookmarkEnd w:id="25"/>
    </w:p>
    <w:p w14:paraId="3AB9FCA7" w14:textId="2D2ABC15" w:rsidR="00671798" w:rsidRPr="001C014C" w:rsidRDefault="0006741C" w:rsidP="00E24EE7">
      <w:pPr>
        <w:pStyle w:val="Heading2"/>
        <w:rPr>
          <w:rFonts w:cs="Arial"/>
          <w:sz w:val="24"/>
          <w:szCs w:val="24"/>
        </w:rPr>
      </w:pPr>
      <w:r w:rsidRPr="001C014C">
        <w:rPr>
          <w:sz w:val="24"/>
          <w:szCs w:val="24"/>
        </w:rPr>
        <w:t>The volume of contract renewals and IR35 reassessments are forecast to be in the approximately 600 to 700 based on current engagements.</w:t>
      </w:r>
    </w:p>
    <w:p w14:paraId="0C1E78CC" w14:textId="77777777" w:rsidR="00FE18AC" w:rsidRPr="001C014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5"/>
      <w:bookmarkStart w:id="27" w:name="_Toc29300976"/>
      <w:r w:rsidRPr="001C014C">
        <w:rPr>
          <w:rFonts w:cs="Arial"/>
          <w:sz w:val="32"/>
          <w:szCs w:val="32"/>
        </w:rPr>
        <w:t>continuous improvement</w:t>
      </w:r>
      <w:bookmarkEnd w:id="26"/>
      <w:bookmarkEnd w:id="27"/>
    </w:p>
    <w:p w14:paraId="73ED8F03" w14:textId="4989F891" w:rsidR="00671798" w:rsidRPr="001C014C" w:rsidRDefault="00FE18AC">
      <w:pPr>
        <w:pStyle w:val="Heading2"/>
        <w:tabs>
          <w:tab w:val="clear" w:pos="720"/>
          <w:tab w:val="num" w:pos="709"/>
        </w:tabs>
        <w:spacing w:after="120"/>
        <w:ind w:left="709" w:hanging="709"/>
        <w:rPr>
          <w:sz w:val="24"/>
          <w:szCs w:val="24"/>
        </w:rPr>
      </w:pPr>
      <w:r w:rsidRPr="001C014C">
        <w:rPr>
          <w:sz w:val="24"/>
          <w:szCs w:val="24"/>
        </w:rPr>
        <w:t xml:space="preserve">The </w:t>
      </w:r>
      <w:r w:rsidR="00B229F0">
        <w:rPr>
          <w:sz w:val="24"/>
          <w:szCs w:val="24"/>
        </w:rPr>
        <w:t>Potential Supplier</w:t>
      </w:r>
      <w:r w:rsidRPr="001C014C">
        <w:rPr>
          <w:sz w:val="24"/>
          <w:szCs w:val="24"/>
        </w:rPr>
        <w:t xml:space="preserve"> will be expected to continually improve the way in which the required Services are to be delivered throughout the </w:t>
      </w:r>
      <w:r w:rsidR="0052086C" w:rsidRPr="001C014C">
        <w:rPr>
          <w:sz w:val="24"/>
          <w:szCs w:val="24"/>
        </w:rPr>
        <w:t xml:space="preserve">Contract </w:t>
      </w:r>
      <w:r w:rsidRPr="001C014C">
        <w:rPr>
          <w:sz w:val="24"/>
          <w:szCs w:val="24"/>
        </w:rPr>
        <w:t>duration.</w:t>
      </w:r>
    </w:p>
    <w:p w14:paraId="7B944B64" w14:textId="3B30A8D3" w:rsidR="00671798" w:rsidRPr="001C014C" w:rsidRDefault="00FE18AC">
      <w:pPr>
        <w:pStyle w:val="Heading2"/>
        <w:tabs>
          <w:tab w:val="clear" w:pos="720"/>
          <w:tab w:val="num" w:pos="709"/>
        </w:tabs>
        <w:spacing w:after="120"/>
        <w:ind w:left="709" w:hanging="709"/>
        <w:rPr>
          <w:sz w:val="24"/>
          <w:szCs w:val="24"/>
        </w:rPr>
      </w:pPr>
      <w:r w:rsidRPr="001C014C">
        <w:rPr>
          <w:sz w:val="24"/>
          <w:szCs w:val="24"/>
        </w:rPr>
        <w:t xml:space="preserve">The </w:t>
      </w:r>
      <w:r w:rsidR="00B229F0">
        <w:rPr>
          <w:sz w:val="24"/>
          <w:szCs w:val="24"/>
        </w:rPr>
        <w:t>Potential Supplier</w:t>
      </w:r>
      <w:r w:rsidRPr="001C014C">
        <w:rPr>
          <w:sz w:val="24"/>
          <w:szCs w:val="24"/>
        </w:rPr>
        <w:t xml:space="preserve"> should present new ways of working to </w:t>
      </w:r>
      <w:r w:rsidR="00D43237">
        <w:rPr>
          <w:sz w:val="24"/>
          <w:szCs w:val="24"/>
        </w:rPr>
        <w:t>DWP</w:t>
      </w:r>
      <w:r w:rsidRPr="001C014C">
        <w:rPr>
          <w:sz w:val="24"/>
          <w:szCs w:val="24"/>
        </w:rPr>
        <w:t xml:space="preserve"> during </w:t>
      </w:r>
      <w:r w:rsidR="0006741C" w:rsidRPr="001C014C">
        <w:rPr>
          <w:sz w:val="24"/>
          <w:szCs w:val="24"/>
        </w:rPr>
        <w:t xml:space="preserve">fortnightly service </w:t>
      </w:r>
      <w:r w:rsidRPr="001C014C">
        <w:rPr>
          <w:sz w:val="24"/>
          <w:szCs w:val="24"/>
        </w:rPr>
        <w:t>review meetings.</w:t>
      </w:r>
      <w:r w:rsidR="004D22DF" w:rsidRPr="001C014C">
        <w:rPr>
          <w:sz w:val="24"/>
          <w:szCs w:val="24"/>
        </w:rPr>
        <w:t xml:space="preserve"> </w:t>
      </w:r>
    </w:p>
    <w:p w14:paraId="031D2B5A" w14:textId="45B5F277" w:rsidR="00671798" w:rsidRPr="001C014C" w:rsidRDefault="00FE18AC">
      <w:pPr>
        <w:pStyle w:val="Heading2"/>
        <w:tabs>
          <w:tab w:val="clear" w:pos="720"/>
          <w:tab w:val="num" w:pos="709"/>
        </w:tabs>
        <w:spacing w:after="120"/>
        <w:ind w:left="709" w:hanging="709"/>
        <w:rPr>
          <w:sz w:val="24"/>
          <w:szCs w:val="24"/>
        </w:rPr>
      </w:pPr>
      <w:r w:rsidRPr="001C014C">
        <w:rPr>
          <w:sz w:val="24"/>
          <w:szCs w:val="24"/>
        </w:rPr>
        <w:t xml:space="preserve">Changes to the way in which the Services are to be delivered must be brought to </w:t>
      </w:r>
      <w:r w:rsidR="00D43237">
        <w:rPr>
          <w:sz w:val="24"/>
          <w:szCs w:val="24"/>
        </w:rPr>
        <w:t>DWP’s</w:t>
      </w:r>
      <w:r w:rsidRPr="001C014C">
        <w:rPr>
          <w:sz w:val="24"/>
          <w:szCs w:val="24"/>
        </w:rPr>
        <w:t xml:space="preserve"> attention and agreed prior to any changes being implemented.</w:t>
      </w:r>
    </w:p>
    <w:p w14:paraId="1114BE17" w14:textId="77777777" w:rsidR="00FE18AC" w:rsidRPr="001C014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6"/>
      <w:bookmarkStart w:id="29" w:name="_Toc29300977"/>
      <w:r w:rsidRPr="001C014C">
        <w:rPr>
          <w:rFonts w:cs="Arial"/>
          <w:sz w:val="32"/>
          <w:szCs w:val="32"/>
        </w:rPr>
        <w:lastRenderedPageBreak/>
        <w:t>quality</w:t>
      </w:r>
      <w:bookmarkEnd w:id="28"/>
      <w:bookmarkEnd w:id="29"/>
    </w:p>
    <w:p w14:paraId="4A861953" w14:textId="0783D5FD" w:rsidR="00D135A3" w:rsidRPr="001C014C" w:rsidRDefault="00D135A3" w:rsidP="00BE5FEF">
      <w:pPr>
        <w:pStyle w:val="Heading2"/>
        <w:spacing w:after="120"/>
        <w:ind w:left="709" w:hanging="709"/>
        <w:rPr>
          <w:sz w:val="24"/>
          <w:szCs w:val="24"/>
        </w:rPr>
      </w:pPr>
      <w:r w:rsidRPr="001C014C">
        <w:rPr>
          <w:sz w:val="24"/>
          <w:szCs w:val="24"/>
        </w:rPr>
        <w:t>Project management, PMO, and Tax Specialists work should adhere to the professional standards and conduct of the relevant professional bodies.</w:t>
      </w:r>
    </w:p>
    <w:p w14:paraId="533C7A5A" w14:textId="77777777" w:rsidR="00FE18AC" w:rsidRPr="001C014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7"/>
      <w:bookmarkStart w:id="31" w:name="_Toc29300978"/>
      <w:r w:rsidRPr="001C014C">
        <w:rPr>
          <w:rFonts w:cs="Arial"/>
          <w:sz w:val="32"/>
          <w:szCs w:val="32"/>
        </w:rPr>
        <w:t>PRICE</w:t>
      </w:r>
      <w:bookmarkEnd w:id="30"/>
      <w:bookmarkEnd w:id="31"/>
    </w:p>
    <w:p w14:paraId="645D51EC" w14:textId="2CB72547" w:rsidR="00671798" w:rsidRPr="001C014C" w:rsidRDefault="00FE18AC">
      <w:pPr>
        <w:pStyle w:val="Heading2"/>
        <w:tabs>
          <w:tab w:val="clear" w:pos="720"/>
          <w:tab w:val="num" w:pos="709"/>
        </w:tabs>
        <w:spacing w:after="120"/>
        <w:ind w:left="709" w:hanging="709"/>
        <w:rPr>
          <w:sz w:val="24"/>
          <w:szCs w:val="24"/>
        </w:rPr>
      </w:pPr>
      <w:r w:rsidRPr="001C014C">
        <w:rPr>
          <w:sz w:val="24"/>
          <w:szCs w:val="24"/>
        </w:rPr>
        <w:t>Prices are to be submitted via the e</w:t>
      </w:r>
      <w:r w:rsidR="00F44D62" w:rsidRPr="001C014C">
        <w:rPr>
          <w:sz w:val="24"/>
          <w:szCs w:val="24"/>
        </w:rPr>
        <w:t>-</w:t>
      </w:r>
      <w:r w:rsidRPr="001C014C">
        <w:rPr>
          <w:sz w:val="24"/>
          <w:szCs w:val="24"/>
        </w:rPr>
        <w:t>Sourcing Suite</w:t>
      </w:r>
      <w:r w:rsidR="004A3BE6" w:rsidRPr="001C014C">
        <w:rPr>
          <w:sz w:val="24"/>
          <w:szCs w:val="24"/>
        </w:rPr>
        <w:t xml:space="preserve"> Attachment 4</w:t>
      </w:r>
      <w:r w:rsidR="001A45DF" w:rsidRPr="001C014C">
        <w:rPr>
          <w:sz w:val="24"/>
          <w:szCs w:val="24"/>
        </w:rPr>
        <w:t xml:space="preserve"> – Price Schedule</w:t>
      </w:r>
      <w:r w:rsidRPr="001C014C">
        <w:rPr>
          <w:sz w:val="24"/>
          <w:szCs w:val="24"/>
        </w:rPr>
        <w:t xml:space="preserve"> excluding VAT</w:t>
      </w:r>
      <w:r w:rsidR="008E77CC" w:rsidRPr="001C014C">
        <w:rPr>
          <w:sz w:val="24"/>
          <w:szCs w:val="24"/>
        </w:rPr>
        <w:t xml:space="preserve"> and including all other expenses relating to Contract delivery</w:t>
      </w:r>
      <w:r w:rsidR="00AE3C65" w:rsidRPr="001C014C">
        <w:rPr>
          <w:sz w:val="24"/>
          <w:szCs w:val="24"/>
        </w:rPr>
        <w:t>.</w:t>
      </w:r>
    </w:p>
    <w:p w14:paraId="6B1CA851" w14:textId="77777777" w:rsidR="00FE18AC" w:rsidRPr="001C014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8"/>
      <w:bookmarkStart w:id="33" w:name="_Toc29300979"/>
      <w:r w:rsidRPr="001C014C">
        <w:rPr>
          <w:rFonts w:cs="Arial"/>
          <w:sz w:val="32"/>
          <w:szCs w:val="32"/>
        </w:rPr>
        <w:t>STAFF AND CUSTOMER SERVICE</w:t>
      </w:r>
      <w:bookmarkEnd w:id="32"/>
      <w:bookmarkEnd w:id="33"/>
    </w:p>
    <w:p w14:paraId="473FF9D3" w14:textId="4D9BBE40" w:rsidR="00671798" w:rsidRPr="001C014C" w:rsidRDefault="00FE18AC">
      <w:pPr>
        <w:pStyle w:val="Heading2"/>
        <w:tabs>
          <w:tab w:val="clear" w:pos="720"/>
          <w:tab w:val="num" w:pos="709"/>
        </w:tabs>
        <w:spacing w:after="120"/>
        <w:ind w:left="709" w:hanging="709"/>
        <w:rPr>
          <w:sz w:val="24"/>
          <w:szCs w:val="24"/>
        </w:rPr>
      </w:pPr>
      <w:r w:rsidRPr="001C014C">
        <w:rPr>
          <w:sz w:val="24"/>
          <w:szCs w:val="24"/>
        </w:rPr>
        <w:t xml:space="preserve">The </w:t>
      </w:r>
      <w:r w:rsidR="00B229F0">
        <w:rPr>
          <w:sz w:val="24"/>
          <w:szCs w:val="24"/>
        </w:rPr>
        <w:t>Potential Supplier</w:t>
      </w:r>
      <w:r w:rsidR="008E77CC" w:rsidRPr="001C014C">
        <w:rPr>
          <w:sz w:val="24"/>
          <w:szCs w:val="24"/>
        </w:rPr>
        <w:t xml:space="preserve"> shall </w:t>
      </w:r>
      <w:r w:rsidRPr="001C014C">
        <w:rPr>
          <w:sz w:val="24"/>
          <w:szCs w:val="24"/>
        </w:rPr>
        <w:t>provide a sufficient level of resource</w:t>
      </w:r>
      <w:r w:rsidR="00A27147" w:rsidRPr="001C014C">
        <w:rPr>
          <w:sz w:val="24"/>
          <w:szCs w:val="24"/>
        </w:rPr>
        <w:t xml:space="preserve"> throughout the duration of the</w:t>
      </w:r>
      <w:r w:rsidRPr="001C014C">
        <w:rPr>
          <w:sz w:val="24"/>
          <w:szCs w:val="24"/>
        </w:rPr>
        <w:t xml:space="preserve"> Contract in order to consiste</w:t>
      </w:r>
      <w:r w:rsidR="00A27147" w:rsidRPr="001C014C">
        <w:rPr>
          <w:sz w:val="24"/>
          <w:szCs w:val="24"/>
        </w:rPr>
        <w:t>ntly deliver a quality service</w:t>
      </w:r>
      <w:r w:rsidRPr="001C014C">
        <w:rPr>
          <w:sz w:val="24"/>
          <w:szCs w:val="24"/>
        </w:rPr>
        <w:t>.</w:t>
      </w:r>
    </w:p>
    <w:p w14:paraId="7C5FF49B" w14:textId="76AD7AF1" w:rsidR="00671798" w:rsidRPr="001C014C" w:rsidRDefault="008E77CC">
      <w:pPr>
        <w:pStyle w:val="Heading2"/>
        <w:tabs>
          <w:tab w:val="clear" w:pos="720"/>
          <w:tab w:val="num" w:pos="709"/>
        </w:tabs>
        <w:spacing w:after="120"/>
        <w:ind w:left="709" w:hanging="709"/>
        <w:rPr>
          <w:sz w:val="24"/>
          <w:szCs w:val="24"/>
        </w:rPr>
      </w:pPr>
      <w:r w:rsidRPr="001C014C">
        <w:rPr>
          <w:sz w:val="24"/>
          <w:szCs w:val="24"/>
        </w:rPr>
        <w:t xml:space="preserve">The </w:t>
      </w:r>
      <w:r w:rsidR="00B229F0">
        <w:rPr>
          <w:sz w:val="24"/>
          <w:szCs w:val="24"/>
        </w:rPr>
        <w:t>Potential Supplier</w:t>
      </w:r>
      <w:r w:rsidRPr="001C014C">
        <w:rPr>
          <w:sz w:val="24"/>
          <w:szCs w:val="24"/>
        </w:rPr>
        <w:t>’s</w:t>
      </w:r>
      <w:r w:rsidR="00A27147" w:rsidRPr="001C014C">
        <w:rPr>
          <w:sz w:val="24"/>
          <w:szCs w:val="24"/>
        </w:rPr>
        <w:t xml:space="preserve"> staff assigned to the </w:t>
      </w:r>
      <w:r w:rsidR="00FE18AC" w:rsidRPr="001C014C">
        <w:rPr>
          <w:sz w:val="24"/>
          <w:szCs w:val="24"/>
        </w:rPr>
        <w:t xml:space="preserve">Contract shall have </w:t>
      </w:r>
      <w:r w:rsidR="00E63412" w:rsidRPr="001C014C">
        <w:rPr>
          <w:sz w:val="24"/>
          <w:szCs w:val="24"/>
        </w:rPr>
        <w:t xml:space="preserve">the </w:t>
      </w:r>
      <w:r w:rsidR="00FE18AC" w:rsidRPr="001C014C">
        <w:rPr>
          <w:sz w:val="24"/>
          <w:szCs w:val="24"/>
        </w:rPr>
        <w:t>relevant qualifications and experience to deliver</w:t>
      </w:r>
      <w:r w:rsidR="00E63412" w:rsidRPr="001C014C">
        <w:rPr>
          <w:sz w:val="24"/>
          <w:szCs w:val="24"/>
        </w:rPr>
        <w:t xml:space="preserve"> the</w:t>
      </w:r>
      <w:r w:rsidR="00FE18AC" w:rsidRPr="001C014C">
        <w:rPr>
          <w:sz w:val="24"/>
          <w:szCs w:val="24"/>
        </w:rPr>
        <w:t xml:space="preserve"> Contract</w:t>
      </w:r>
      <w:r w:rsidR="00C52C2C" w:rsidRPr="001C014C">
        <w:rPr>
          <w:sz w:val="24"/>
          <w:szCs w:val="24"/>
        </w:rPr>
        <w:t xml:space="preserve"> to the required standard</w:t>
      </w:r>
      <w:r w:rsidR="00FE18AC" w:rsidRPr="001C014C">
        <w:rPr>
          <w:sz w:val="24"/>
          <w:szCs w:val="24"/>
        </w:rPr>
        <w:t xml:space="preserve">. </w:t>
      </w:r>
    </w:p>
    <w:p w14:paraId="441C7B1A" w14:textId="0DB2CF92" w:rsidR="001C014C" w:rsidRPr="001C014C" w:rsidRDefault="00BE3468">
      <w:pPr>
        <w:pStyle w:val="Heading2"/>
        <w:tabs>
          <w:tab w:val="clear" w:pos="720"/>
          <w:tab w:val="num" w:pos="709"/>
        </w:tabs>
        <w:spacing w:after="120"/>
        <w:ind w:left="709" w:hanging="709"/>
        <w:rPr>
          <w:sz w:val="24"/>
          <w:szCs w:val="24"/>
        </w:rPr>
      </w:pPr>
      <w:r w:rsidRPr="001C014C">
        <w:rPr>
          <w:sz w:val="24"/>
          <w:szCs w:val="24"/>
        </w:rPr>
        <w:t xml:space="preserve">The </w:t>
      </w:r>
      <w:r w:rsidR="00B229F0">
        <w:rPr>
          <w:sz w:val="24"/>
          <w:szCs w:val="24"/>
        </w:rPr>
        <w:t>Potential Supplier</w:t>
      </w:r>
      <w:r w:rsidR="00FE18AC" w:rsidRPr="001C014C">
        <w:rPr>
          <w:sz w:val="24"/>
          <w:szCs w:val="24"/>
        </w:rPr>
        <w:t xml:space="preserve"> shall ensure tha</w:t>
      </w:r>
      <w:r w:rsidR="004904CA">
        <w:rPr>
          <w:sz w:val="24"/>
          <w:szCs w:val="24"/>
        </w:rPr>
        <w:t>t staff understand the DWP</w:t>
      </w:r>
      <w:r w:rsidR="00FE18AC" w:rsidRPr="001C014C">
        <w:rPr>
          <w:sz w:val="24"/>
          <w:szCs w:val="24"/>
        </w:rPr>
        <w:t xml:space="preserve">’s vision and objectives and </w:t>
      </w:r>
      <w:r w:rsidR="00E63412" w:rsidRPr="001C014C">
        <w:rPr>
          <w:sz w:val="24"/>
          <w:szCs w:val="24"/>
        </w:rPr>
        <w:t xml:space="preserve">will </w:t>
      </w:r>
      <w:r w:rsidR="00FE18AC" w:rsidRPr="001C014C">
        <w:rPr>
          <w:sz w:val="24"/>
          <w:szCs w:val="24"/>
        </w:rPr>
        <w:t>provide excellent c</w:t>
      </w:r>
      <w:r w:rsidR="004904CA">
        <w:rPr>
          <w:sz w:val="24"/>
          <w:szCs w:val="24"/>
        </w:rPr>
        <w:t>ustomer service to DWP</w:t>
      </w:r>
      <w:r w:rsidR="00FE18AC" w:rsidRPr="001C014C">
        <w:rPr>
          <w:sz w:val="24"/>
          <w:szCs w:val="24"/>
        </w:rPr>
        <w:t xml:space="preserve"> throughout the duration of the Contract. </w:t>
      </w:r>
    </w:p>
    <w:p w14:paraId="629F567D" w14:textId="77777777" w:rsidR="00FE18AC" w:rsidRPr="001C014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9"/>
      <w:bookmarkStart w:id="35" w:name="_Toc29300980"/>
      <w:r w:rsidRPr="001C014C">
        <w:rPr>
          <w:rFonts w:cs="Arial"/>
          <w:sz w:val="32"/>
          <w:szCs w:val="32"/>
        </w:rPr>
        <w:t>service levels and performance</w:t>
      </w:r>
      <w:bookmarkEnd w:id="34"/>
      <w:bookmarkEnd w:id="35"/>
    </w:p>
    <w:p w14:paraId="4955AC9F" w14:textId="4E6F9E28" w:rsidR="00D43237" w:rsidRPr="00796CFB" w:rsidRDefault="00FE18AC" w:rsidP="00D43237">
      <w:pPr>
        <w:pStyle w:val="Heading2"/>
        <w:numPr>
          <w:ilvl w:val="1"/>
          <w:numId w:val="34"/>
        </w:numPr>
        <w:tabs>
          <w:tab w:val="clear" w:pos="720"/>
          <w:tab w:val="num" w:pos="44"/>
        </w:tabs>
        <w:adjustRightInd/>
        <w:spacing w:after="120"/>
        <w:ind w:left="709" w:hanging="709"/>
        <w:rPr>
          <w:rFonts w:eastAsia="Times New Roman"/>
          <w:sz w:val="24"/>
          <w:szCs w:val="24"/>
        </w:rPr>
      </w:pPr>
      <w:r w:rsidRPr="001C014C">
        <w:rPr>
          <w:sz w:val="24"/>
          <w:szCs w:val="24"/>
        </w:rPr>
        <w:t xml:space="preserve">The </w:t>
      </w:r>
      <w:bookmarkStart w:id="36" w:name="_Toc368573040"/>
      <w:r w:rsidR="00B229F0">
        <w:rPr>
          <w:rFonts w:eastAsia="Times New Roman"/>
          <w:sz w:val="24"/>
          <w:szCs w:val="24"/>
        </w:rPr>
        <w:t>Potential Supplier</w:t>
      </w:r>
      <w:r w:rsidR="00D43237" w:rsidRPr="00796CFB">
        <w:rPr>
          <w:rFonts w:eastAsia="Times New Roman"/>
          <w:sz w:val="24"/>
          <w:szCs w:val="24"/>
        </w:rPr>
        <w:t xml:space="preserve"> must have sound processes for quality assurance in place.</w:t>
      </w:r>
    </w:p>
    <w:p w14:paraId="76CC3057" w14:textId="1FD8EB52" w:rsidR="00D43237" w:rsidRPr="00796CFB" w:rsidRDefault="00D43237" w:rsidP="00D43237">
      <w:pPr>
        <w:pStyle w:val="Heading2"/>
        <w:numPr>
          <w:ilvl w:val="1"/>
          <w:numId w:val="37"/>
        </w:numPr>
        <w:tabs>
          <w:tab w:val="clear" w:pos="720"/>
          <w:tab w:val="num" w:pos="44"/>
        </w:tabs>
        <w:adjustRightInd/>
        <w:spacing w:after="120"/>
        <w:rPr>
          <w:rFonts w:eastAsia="Times New Roman"/>
          <w:sz w:val="24"/>
          <w:szCs w:val="24"/>
        </w:rPr>
      </w:pPr>
      <w:r w:rsidRPr="00796CFB">
        <w:rPr>
          <w:rFonts w:eastAsia="Times New Roman"/>
          <w:sz w:val="24"/>
          <w:szCs w:val="24"/>
        </w:rPr>
        <w:t xml:space="preserve">The </w:t>
      </w:r>
      <w:r w:rsidR="00B229F0">
        <w:rPr>
          <w:rFonts w:eastAsia="Times New Roman"/>
          <w:sz w:val="24"/>
          <w:szCs w:val="24"/>
        </w:rPr>
        <w:t>Potential Supplier</w:t>
      </w:r>
      <w:r w:rsidRPr="00796CFB">
        <w:rPr>
          <w:rFonts w:eastAsia="Times New Roman"/>
          <w:sz w:val="24"/>
          <w:szCs w:val="24"/>
        </w:rPr>
        <w:t xml:space="preserve"> must also assess the key risks to the project. They should identify the most significant risks to successful completion of the programme of work, assess the degree of risk and set out strategies for minimising these risks and managing the consequences if problems occur.</w:t>
      </w:r>
    </w:p>
    <w:p w14:paraId="0FB645E6" w14:textId="24C7AB88" w:rsidR="006243E8" w:rsidRDefault="00D43237" w:rsidP="00D43237">
      <w:pPr>
        <w:pStyle w:val="Heading2"/>
        <w:numPr>
          <w:ilvl w:val="1"/>
          <w:numId w:val="38"/>
        </w:numPr>
        <w:tabs>
          <w:tab w:val="clear" w:pos="720"/>
          <w:tab w:val="num" w:pos="44"/>
        </w:tabs>
        <w:adjustRightInd/>
        <w:spacing w:after="120"/>
        <w:rPr>
          <w:rFonts w:eastAsia="Times New Roman"/>
          <w:sz w:val="24"/>
          <w:szCs w:val="24"/>
        </w:rPr>
      </w:pPr>
      <w:r w:rsidRPr="00796CFB">
        <w:rPr>
          <w:rFonts w:eastAsia="Times New Roman"/>
          <w:sz w:val="24"/>
          <w:szCs w:val="24"/>
        </w:rPr>
        <w:t xml:space="preserve">The DWP will measure the quality of the </w:t>
      </w:r>
      <w:r w:rsidR="00B229F0">
        <w:rPr>
          <w:rFonts w:eastAsia="Times New Roman"/>
          <w:sz w:val="24"/>
          <w:szCs w:val="24"/>
        </w:rPr>
        <w:t>Potential Supplier</w:t>
      </w:r>
      <w:r w:rsidRPr="00796CFB">
        <w:rPr>
          <w:rFonts w:eastAsia="Times New Roman"/>
          <w:sz w:val="24"/>
          <w:szCs w:val="24"/>
        </w:rPr>
        <w:t xml:space="preserve">’s delivery by measuring progress against the Deliverables and timescales in the Statement of Requirements. </w:t>
      </w:r>
    </w:p>
    <w:p w14:paraId="7EA24D08" w14:textId="77777777" w:rsidR="00D43237" w:rsidRPr="00D43237" w:rsidRDefault="00D43237" w:rsidP="00D43237">
      <w:pPr>
        <w:pStyle w:val="Heading2"/>
        <w:numPr>
          <w:ilvl w:val="0"/>
          <w:numId w:val="0"/>
        </w:numPr>
        <w:adjustRightInd/>
        <w:spacing w:after="0"/>
        <w:ind w:left="720"/>
        <w:rPr>
          <w:rFonts w:eastAsia="Times New Roman"/>
          <w:sz w:val="24"/>
          <w:szCs w:val="24"/>
        </w:rPr>
      </w:pPr>
    </w:p>
    <w:tbl>
      <w:tblPr>
        <w:tblStyle w:val="TableGrid"/>
        <w:tblW w:w="0" w:type="auto"/>
        <w:tblInd w:w="720" w:type="dxa"/>
        <w:tblLook w:val="04A0" w:firstRow="1" w:lastRow="0" w:firstColumn="1" w:lastColumn="0" w:noHBand="0" w:noVBand="1"/>
      </w:tblPr>
      <w:tblGrid>
        <w:gridCol w:w="1163"/>
        <w:gridCol w:w="1756"/>
        <w:gridCol w:w="4011"/>
        <w:gridCol w:w="1369"/>
      </w:tblGrid>
      <w:tr w:rsidR="008C1442" w14:paraId="670470E7" w14:textId="77777777" w:rsidTr="008C1442">
        <w:tc>
          <w:tcPr>
            <w:tcW w:w="11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C6B61B" w14:textId="77777777" w:rsidR="008C1442" w:rsidRDefault="008C1442">
            <w:pPr>
              <w:pStyle w:val="Heading2"/>
              <w:numPr>
                <w:ilvl w:val="0"/>
                <w:numId w:val="0"/>
              </w:numPr>
              <w:tabs>
                <w:tab w:val="left" w:pos="720"/>
              </w:tabs>
              <w:jc w:val="center"/>
              <w:outlineLvl w:val="1"/>
              <w:rPr>
                <w:b/>
                <w:sz w:val="24"/>
                <w:szCs w:val="24"/>
              </w:rPr>
            </w:pPr>
            <w:r>
              <w:rPr>
                <w:b/>
                <w:sz w:val="24"/>
                <w:szCs w:val="24"/>
              </w:rPr>
              <w:t>KPI/SLA</w:t>
            </w:r>
          </w:p>
        </w:tc>
        <w:tc>
          <w:tcPr>
            <w:tcW w:w="175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44F304" w14:textId="77777777" w:rsidR="008C1442" w:rsidRDefault="008C1442">
            <w:pPr>
              <w:pStyle w:val="Heading2"/>
              <w:numPr>
                <w:ilvl w:val="0"/>
                <w:numId w:val="0"/>
              </w:numPr>
              <w:tabs>
                <w:tab w:val="left" w:pos="720"/>
              </w:tabs>
              <w:jc w:val="center"/>
              <w:outlineLvl w:val="1"/>
              <w:rPr>
                <w:b/>
                <w:sz w:val="24"/>
                <w:szCs w:val="24"/>
              </w:rPr>
            </w:pPr>
            <w:r>
              <w:rPr>
                <w:b/>
                <w:sz w:val="24"/>
                <w:szCs w:val="24"/>
              </w:rPr>
              <w:t>Service Area</w:t>
            </w:r>
          </w:p>
        </w:tc>
        <w:tc>
          <w:tcPr>
            <w:tcW w:w="40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2BA5AF" w14:textId="77777777" w:rsidR="008C1442" w:rsidRDefault="008C1442">
            <w:pPr>
              <w:pStyle w:val="Heading2"/>
              <w:numPr>
                <w:ilvl w:val="0"/>
                <w:numId w:val="0"/>
              </w:numPr>
              <w:tabs>
                <w:tab w:val="left" w:pos="720"/>
              </w:tabs>
              <w:jc w:val="center"/>
              <w:outlineLvl w:val="1"/>
              <w:rPr>
                <w:b/>
                <w:sz w:val="24"/>
                <w:szCs w:val="24"/>
              </w:rPr>
            </w:pPr>
            <w:r>
              <w:rPr>
                <w:b/>
                <w:sz w:val="24"/>
                <w:szCs w:val="24"/>
              </w:rPr>
              <w:t>KPI/SLA description</w:t>
            </w:r>
          </w:p>
        </w:tc>
        <w:tc>
          <w:tcPr>
            <w:tcW w:w="136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880247B" w14:textId="77777777" w:rsidR="008C1442" w:rsidRDefault="008C1442">
            <w:pPr>
              <w:pStyle w:val="Heading2"/>
              <w:numPr>
                <w:ilvl w:val="0"/>
                <w:numId w:val="0"/>
              </w:numPr>
              <w:tabs>
                <w:tab w:val="left" w:pos="720"/>
              </w:tabs>
              <w:jc w:val="center"/>
              <w:outlineLvl w:val="1"/>
              <w:rPr>
                <w:b/>
                <w:sz w:val="24"/>
                <w:szCs w:val="24"/>
              </w:rPr>
            </w:pPr>
            <w:r>
              <w:rPr>
                <w:b/>
                <w:sz w:val="24"/>
                <w:szCs w:val="24"/>
              </w:rPr>
              <w:t>Target</w:t>
            </w:r>
          </w:p>
        </w:tc>
      </w:tr>
      <w:tr w:rsidR="008C1442" w14:paraId="4CB3F2FB" w14:textId="77777777" w:rsidTr="008C1442">
        <w:tc>
          <w:tcPr>
            <w:tcW w:w="1163" w:type="dxa"/>
            <w:tcBorders>
              <w:top w:val="single" w:sz="4" w:space="0" w:color="auto"/>
              <w:left w:val="single" w:sz="4" w:space="0" w:color="auto"/>
              <w:bottom w:val="single" w:sz="4" w:space="0" w:color="auto"/>
              <w:right w:val="single" w:sz="4" w:space="0" w:color="auto"/>
            </w:tcBorders>
            <w:hideMark/>
          </w:tcPr>
          <w:p w14:paraId="306C2F40" w14:textId="77777777" w:rsidR="008C1442" w:rsidRDefault="008C1442">
            <w:pPr>
              <w:pStyle w:val="Heading2"/>
              <w:numPr>
                <w:ilvl w:val="0"/>
                <w:numId w:val="0"/>
              </w:numPr>
              <w:tabs>
                <w:tab w:val="left" w:pos="720"/>
              </w:tabs>
              <w:jc w:val="center"/>
              <w:outlineLvl w:val="1"/>
              <w:rPr>
                <w:sz w:val="24"/>
                <w:szCs w:val="24"/>
              </w:rPr>
            </w:pPr>
            <w:r>
              <w:rPr>
                <w:sz w:val="24"/>
                <w:szCs w:val="24"/>
              </w:rPr>
              <w:t>1</w:t>
            </w:r>
          </w:p>
        </w:tc>
        <w:tc>
          <w:tcPr>
            <w:tcW w:w="1756" w:type="dxa"/>
            <w:tcBorders>
              <w:top w:val="single" w:sz="4" w:space="0" w:color="auto"/>
              <w:left w:val="single" w:sz="4" w:space="0" w:color="auto"/>
              <w:bottom w:val="single" w:sz="4" w:space="0" w:color="auto"/>
              <w:right w:val="single" w:sz="4" w:space="0" w:color="auto"/>
            </w:tcBorders>
            <w:hideMark/>
          </w:tcPr>
          <w:p w14:paraId="415D8237" w14:textId="77777777" w:rsidR="008C1442" w:rsidRDefault="008C1442">
            <w:pPr>
              <w:pStyle w:val="Heading2"/>
              <w:numPr>
                <w:ilvl w:val="0"/>
                <w:numId w:val="0"/>
              </w:numPr>
              <w:tabs>
                <w:tab w:val="left" w:pos="720"/>
              </w:tabs>
              <w:jc w:val="left"/>
              <w:outlineLvl w:val="1"/>
              <w:rPr>
                <w:sz w:val="24"/>
                <w:szCs w:val="24"/>
              </w:rPr>
            </w:pPr>
            <w:r>
              <w:rPr>
                <w:sz w:val="24"/>
                <w:szCs w:val="24"/>
              </w:rPr>
              <w:t>Delivery to schedule</w:t>
            </w:r>
          </w:p>
        </w:tc>
        <w:tc>
          <w:tcPr>
            <w:tcW w:w="4011" w:type="dxa"/>
            <w:tcBorders>
              <w:top w:val="single" w:sz="4" w:space="0" w:color="auto"/>
              <w:left w:val="single" w:sz="4" w:space="0" w:color="auto"/>
              <w:bottom w:val="single" w:sz="4" w:space="0" w:color="auto"/>
              <w:right w:val="single" w:sz="4" w:space="0" w:color="auto"/>
            </w:tcBorders>
            <w:hideMark/>
          </w:tcPr>
          <w:p w14:paraId="3B595B43" w14:textId="00C08283" w:rsidR="008C1442" w:rsidRDefault="008C1442" w:rsidP="008C1442">
            <w:pPr>
              <w:pStyle w:val="Heading2"/>
              <w:numPr>
                <w:ilvl w:val="0"/>
                <w:numId w:val="0"/>
              </w:numPr>
              <w:tabs>
                <w:tab w:val="left" w:pos="720"/>
              </w:tabs>
              <w:jc w:val="left"/>
              <w:outlineLvl w:val="1"/>
              <w:rPr>
                <w:sz w:val="24"/>
                <w:szCs w:val="24"/>
              </w:rPr>
            </w:pPr>
            <w:r>
              <w:rPr>
                <w:sz w:val="24"/>
                <w:szCs w:val="24"/>
              </w:rPr>
              <w:t>Reports and deliverables delivered within agreed date</w:t>
            </w:r>
          </w:p>
        </w:tc>
        <w:tc>
          <w:tcPr>
            <w:tcW w:w="1369" w:type="dxa"/>
            <w:tcBorders>
              <w:top w:val="single" w:sz="4" w:space="0" w:color="auto"/>
              <w:left w:val="single" w:sz="4" w:space="0" w:color="auto"/>
              <w:bottom w:val="single" w:sz="4" w:space="0" w:color="auto"/>
              <w:right w:val="single" w:sz="4" w:space="0" w:color="auto"/>
            </w:tcBorders>
            <w:hideMark/>
          </w:tcPr>
          <w:p w14:paraId="6E0EE6AA" w14:textId="50A298D7" w:rsidR="008C1442" w:rsidRDefault="008C1442">
            <w:pPr>
              <w:pStyle w:val="Heading2"/>
              <w:numPr>
                <w:ilvl w:val="0"/>
                <w:numId w:val="0"/>
              </w:numPr>
              <w:tabs>
                <w:tab w:val="left" w:pos="720"/>
              </w:tabs>
              <w:outlineLvl w:val="1"/>
              <w:rPr>
                <w:sz w:val="24"/>
                <w:szCs w:val="24"/>
              </w:rPr>
            </w:pPr>
            <w:r>
              <w:rPr>
                <w:sz w:val="24"/>
                <w:szCs w:val="24"/>
              </w:rPr>
              <w:t>100%</w:t>
            </w:r>
          </w:p>
        </w:tc>
      </w:tr>
      <w:tr w:rsidR="008C1442" w14:paraId="4BDBA550" w14:textId="77777777" w:rsidTr="008C1442">
        <w:tc>
          <w:tcPr>
            <w:tcW w:w="1163" w:type="dxa"/>
            <w:tcBorders>
              <w:top w:val="single" w:sz="4" w:space="0" w:color="auto"/>
              <w:left w:val="single" w:sz="4" w:space="0" w:color="auto"/>
              <w:bottom w:val="single" w:sz="4" w:space="0" w:color="auto"/>
              <w:right w:val="single" w:sz="4" w:space="0" w:color="auto"/>
            </w:tcBorders>
            <w:hideMark/>
          </w:tcPr>
          <w:p w14:paraId="2E7D5E54" w14:textId="77777777" w:rsidR="008C1442" w:rsidRDefault="008C1442">
            <w:pPr>
              <w:pStyle w:val="Heading2"/>
              <w:numPr>
                <w:ilvl w:val="0"/>
                <w:numId w:val="0"/>
              </w:numPr>
              <w:tabs>
                <w:tab w:val="left" w:pos="720"/>
              </w:tabs>
              <w:jc w:val="center"/>
              <w:outlineLvl w:val="1"/>
              <w:rPr>
                <w:sz w:val="24"/>
                <w:szCs w:val="24"/>
              </w:rPr>
            </w:pPr>
            <w:r>
              <w:rPr>
                <w:sz w:val="24"/>
                <w:szCs w:val="24"/>
              </w:rPr>
              <w:t>2</w:t>
            </w:r>
          </w:p>
        </w:tc>
        <w:tc>
          <w:tcPr>
            <w:tcW w:w="1756" w:type="dxa"/>
            <w:tcBorders>
              <w:top w:val="single" w:sz="4" w:space="0" w:color="auto"/>
              <w:left w:val="single" w:sz="4" w:space="0" w:color="auto"/>
              <w:bottom w:val="single" w:sz="4" w:space="0" w:color="auto"/>
              <w:right w:val="single" w:sz="4" w:space="0" w:color="auto"/>
            </w:tcBorders>
            <w:hideMark/>
          </w:tcPr>
          <w:p w14:paraId="1A987983" w14:textId="77777777" w:rsidR="008C1442" w:rsidRDefault="008C1442">
            <w:pPr>
              <w:pStyle w:val="Heading2"/>
              <w:numPr>
                <w:ilvl w:val="0"/>
                <w:numId w:val="0"/>
              </w:numPr>
              <w:tabs>
                <w:tab w:val="left" w:pos="720"/>
              </w:tabs>
              <w:jc w:val="left"/>
              <w:outlineLvl w:val="1"/>
              <w:rPr>
                <w:sz w:val="24"/>
                <w:szCs w:val="24"/>
              </w:rPr>
            </w:pPr>
            <w:r>
              <w:rPr>
                <w:sz w:val="24"/>
                <w:szCs w:val="24"/>
              </w:rPr>
              <w:t>Quality of output</w:t>
            </w:r>
          </w:p>
        </w:tc>
        <w:tc>
          <w:tcPr>
            <w:tcW w:w="4011" w:type="dxa"/>
            <w:tcBorders>
              <w:top w:val="single" w:sz="4" w:space="0" w:color="auto"/>
              <w:left w:val="single" w:sz="4" w:space="0" w:color="auto"/>
              <w:bottom w:val="single" w:sz="4" w:space="0" w:color="auto"/>
              <w:right w:val="single" w:sz="4" w:space="0" w:color="auto"/>
            </w:tcBorders>
            <w:hideMark/>
          </w:tcPr>
          <w:p w14:paraId="667A4485" w14:textId="41C70D64" w:rsidR="008C1442" w:rsidRDefault="008C1442" w:rsidP="008A079B">
            <w:pPr>
              <w:pStyle w:val="Heading2"/>
              <w:numPr>
                <w:ilvl w:val="0"/>
                <w:numId w:val="0"/>
              </w:numPr>
              <w:tabs>
                <w:tab w:val="left" w:pos="720"/>
              </w:tabs>
              <w:jc w:val="left"/>
              <w:outlineLvl w:val="1"/>
              <w:rPr>
                <w:sz w:val="24"/>
                <w:szCs w:val="24"/>
              </w:rPr>
            </w:pPr>
            <w:r>
              <w:rPr>
                <w:sz w:val="24"/>
                <w:szCs w:val="24"/>
              </w:rPr>
              <w:t xml:space="preserve">Outputs should be quality assured by the </w:t>
            </w:r>
            <w:r w:rsidR="00B229F0">
              <w:rPr>
                <w:sz w:val="24"/>
                <w:szCs w:val="24"/>
              </w:rPr>
              <w:t>Potential Supplier</w:t>
            </w:r>
            <w:r>
              <w:rPr>
                <w:sz w:val="24"/>
                <w:szCs w:val="24"/>
              </w:rPr>
              <w:t xml:space="preserve"> and require only one iteration to update with client comments. </w:t>
            </w:r>
          </w:p>
        </w:tc>
        <w:tc>
          <w:tcPr>
            <w:tcW w:w="1369" w:type="dxa"/>
            <w:tcBorders>
              <w:top w:val="single" w:sz="4" w:space="0" w:color="auto"/>
              <w:left w:val="single" w:sz="4" w:space="0" w:color="auto"/>
              <w:bottom w:val="single" w:sz="4" w:space="0" w:color="auto"/>
              <w:right w:val="single" w:sz="4" w:space="0" w:color="auto"/>
            </w:tcBorders>
            <w:hideMark/>
          </w:tcPr>
          <w:p w14:paraId="7BA3896A" w14:textId="184C0C0C" w:rsidR="008C1442" w:rsidRDefault="008C1442" w:rsidP="008C1442">
            <w:pPr>
              <w:pStyle w:val="Heading2"/>
              <w:numPr>
                <w:ilvl w:val="0"/>
                <w:numId w:val="0"/>
              </w:numPr>
              <w:tabs>
                <w:tab w:val="left" w:pos="720"/>
              </w:tabs>
              <w:outlineLvl w:val="1"/>
              <w:rPr>
                <w:sz w:val="24"/>
                <w:szCs w:val="24"/>
              </w:rPr>
            </w:pPr>
            <w:r>
              <w:rPr>
                <w:sz w:val="24"/>
                <w:szCs w:val="24"/>
              </w:rPr>
              <w:t>100%</w:t>
            </w:r>
          </w:p>
        </w:tc>
      </w:tr>
    </w:tbl>
    <w:p w14:paraId="7AD7E23D" w14:textId="77777777" w:rsidR="008C1442" w:rsidRPr="003E5400" w:rsidRDefault="008C1442" w:rsidP="008A079B">
      <w:pPr>
        <w:pStyle w:val="Heading2"/>
        <w:numPr>
          <w:ilvl w:val="0"/>
          <w:numId w:val="0"/>
        </w:numPr>
        <w:jc w:val="left"/>
        <w:rPr>
          <w:sz w:val="24"/>
          <w:szCs w:val="24"/>
        </w:rPr>
      </w:pPr>
    </w:p>
    <w:p w14:paraId="380E7732" w14:textId="1F0B497B" w:rsidR="00E233AD" w:rsidRDefault="00E233AD">
      <w:pPr>
        <w:rPr>
          <w:b/>
          <w:sz w:val="32"/>
          <w:szCs w:val="32"/>
        </w:rPr>
      </w:pPr>
    </w:p>
    <w:p w14:paraId="3F767EF8" w14:textId="4448CDDD" w:rsidR="00671798" w:rsidRPr="00A466BC" w:rsidRDefault="006243E8" w:rsidP="006243E8">
      <w:pPr>
        <w:pStyle w:val="Caption"/>
        <w:rPr>
          <w:b/>
          <w:sz w:val="32"/>
          <w:szCs w:val="32"/>
        </w:rPr>
      </w:pPr>
      <w:r w:rsidRPr="00A466BC">
        <w:rPr>
          <w:b/>
          <w:sz w:val="32"/>
          <w:szCs w:val="32"/>
        </w:rPr>
        <w:lastRenderedPageBreak/>
        <w:t>15.</w:t>
      </w:r>
      <w:r w:rsidRPr="00A466BC">
        <w:t xml:space="preserve"> </w:t>
      </w:r>
      <w:r w:rsidRPr="00A466BC">
        <w:tab/>
      </w:r>
      <w:r w:rsidRPr="00A466BC">
        <w:rPr>
          <w:b/>
          <w:sz w:val="32"/>
          <w:szCs w:val="32"/>
        </w:rPr>
        <w:t xml:space="preserve">SECURITY AND </w:t>
      </w:r>
      <w:r w:rsidR="00252FFC" w:rsidRPr="00A466BC">
        <w:rPr>
          <w:b/>
          <w:sz w:val="32"/>
          <w:szCs w:val="32"/>
        </w:rPr>
        <w:t>CONFIDENTIA</w:t>
      </w:r>
      <w:r w:rsidR="00C52C2C" w:rsidRPr="00A466BC">
        <w:rPr>
          <w:b/>
          <w:sz w:val="32"/>
          <w:szCs w:val="32"/>
        </w:rPr>
        <w:t xml:space="preserve">LITY </w:t>
      </w:r>
      <w:bookmarkEnd w:id="36"/>
      <w:r w:rsidRPr="00A466BC">
        <w:rPr>
          <w:b/>
          <w:sz w:val="32"/>
          <w:szCs w:val="32"/>
        </w:rPr>
        <w:t>REQUIREMENTS</w:t>
      </w:r>
    </w:p>
    <w:p w14:paraId="3D3A6028" w14:textId="00F6E0F5" w:rsidR="006243E8" w:rsidRPr="006243E8" w:rsidRDefault="006243E8" w:rsidP="006243E8">
      <w:pPr>
        <w:pStyle w:val="Heading2"/>
        <w:numPr>
          <w:ilvl w:val="0"/>
          <w:numId w:val="0"/>
        </w:numPr>
        <w:ind w:left="709" w:hanging="709"/>
      </w:pPr>
      <w:r w:rsidRPr="00A466BC">
        <w:t xml:space="preserve">15.1 </w:t>
      </w:r>
      <w:r w:rsidRPr="00A466BC">
        <w:rPr>
          <w:b/>
        </w:rPr>
        <w:t xml:space="preserve">   </w:t>
      </w:r>
      <w:r w:rsidRPr="00A466BC">
        <w:rPr>
          <w:sz w:val="24"/>
          <w:szCs w:val="24"/>
        </w:rPr>
        <w:t>Security requirements are listed within the terms and conditions, this includes BPSS checks and non- disclosure requirements.</w:t>
      </w:r>
    </w:p>
    <w:p w14:paraId="65283656" w14:textId="330CB444" w:rsidR="0081061A" w:rsidRPr="00411691" w:rsidRDefault="0081061A" w:rsidP="00411691">
      <w:pPr>
        <w:pStyle w:val="Heading1"/>
        <w:numPr>
          <w:ilvl w:val="0"/>
          <w:numId w:val="39"/>
        </w:numPr>
        <w:overflowPunct w:val="0"/>
        <w:autoSpaceDE w:val="0"/>
        <w:autoSpaceDN w:val="0"/>
        <w:spacing w:after="120"/>
        <w:textAlignment w:val="baseline"/>
        <w:rPr>
          <w:rFonts w:cs="Arial"/>
          <w:sz w:val="32"/>
          <w:szCs w:val="32"/>
        </w:rPr>
      </w:pPr>
      <w:bookmarkStart w:id="37" w:name="_Toc29300981"/>
      <w:bookmarkStart w:id="38" w:name="_Toc368573042"/>
      <w:r w:rsidRPr="00411691">
        <w:rPr>
          <w:rFonts w:cs="Arial"/>
          <w:sz w:val="32"/>
          <w:szCs w:val="32"/>
        </w:rPr>
        <w:t>payment</w:t>
      </w:r>
      <w:r w:rsidR="00ED2129" w:rsidRPr="00411691">
        <w:rPr>
          <w:rFonts w:cs="Arial"/>
          <w:sz w:val="32"/>
          <w:szCs w:val="32"/>
        </w:rPr>
        <w:t xml:space="preserve"> AND INVOICING</w:t>
      </w:r>
      <w:bookmarkEnd w:id="37"/>
      <w:r w:rsidR="00ED2129" w:rsidRPr="00411691">
        <w:rPr>
          <w:rFonts w:cs="Arial"/>
          <w:sz w:val="32"/>
          <w:szCs w:val="32"/>
        </w:rPr>
        <w:t xml:space="preserve"> </w:t>
      </w:r>
    </w:p>
    <w:p w14:paraId="042CA45C" w14:textId="77777777" w:rsidR="00331523" w:rsidRPr="001C014C" w:rsidRDefault="0036555C" w:rsidP="0081061A">
      <w:pPr>
        <w:pStyle w:val="Heading2"/>
        <w:rPr>
          <w:sz w:val="24"/>
          <w:szCs w:val="24"/>
        </w:rPr>
      </w:pPr>
      <w:r w:rsidRPr="001C014C">
        <w:rPr>
          <w:rFonts w:cs="Arial"/>
          <w:color w:val="000000"/>
          <w:sz w:val="24"/>
          <w:szCs w:val="24"/>
          <w:shd w:val="clear" w:color="auto" w:fill="FFFFFF"/>
        </w:rPr>
        <w:t xml:space="preserve">Payment can only be made following satisfactory delivery of pre-agreed certified products and deliverables. </w:t>
      </w:r>
    </w:p>
    <w:p w14:paraId="28B41D85" w14:textId="1B242673" w:rsidR="0036555C" w:rsidRPr="001C014C" w:rsidRDefault="0036555C" w:rsidP="0081061A">
      <w:pPr>
        <w:pStyle w:val="Heading2"/>
        <w:rPr>
          <w:sz w:val="24"/>
          <w:szCs w:val="24"/>
        </w:rPr>
      </w:pPr>
      <w:r w:rsidRPr="001C014C">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828E644" w14:textId="77777777" w:rsidR="00E24EE7" w:rsidRPr="001C014C"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29300982"/>
      <w:bookmarkEnd w:id="38"/>
      <w:r w:rsidRPr="001C014C">
        <w:rPr>
          <w:rFonts w:cs="Arial"/>
          <w:sz w:val="32"/>
          <w:szCs w:val="32"/>
        </w:rPr>
        <w:t>CONTRACT MANAGEMENT</w:t>
      </w:r>
      <w:bookmarkEnd w:id="39"/>
      <w:r w:rsidR="00FE18AC" w:rsidRPr="001C014C">
        <w:rPr>
          <w:rFonts w:cs="Arial"/>
          <w:sz w:val="32"/>
          <w:szCs w:val="32"/>
        </w:rPr>
        <w:t xml:space="preserve"> </w:t>
      </w:r>
    </w:p>
    <w:p w14:paraId="0BF33477" w14:textId="252DC15A" w:rsidR="001C014C" w:rsidRPr="001C014C" w:rsidRDefault="001C014C" w:rsidP="00E24EE7">
      <w:pPr>
        <w:pStyle w:val="Heading2"/>
        <w:rPr>
          <w:rFonts w:cs="Arial"/>
          <w:sz w:val="24"/>
          <w:szCs w:val="24"/>
        </w:rPr>
      </w:pPr>
      <w:r w:rsidRPr="001C014C">
        <w:rPr>
          <w:sz w:val="24"/>
          <w:szCs w:val="24"/>
        </w:rPr>
        <w:t xml:space="preserve">The point of contact for this engagement is </w:t>
      </w:r>
      <w:r w:rsidR="00B229F0">
        <w:t>will be a DWP contract manager and will be allocated and details notified to the successful Potential Supplier.</w:t>
      </w:r>
    </w:p>
    <w:p w14:paraId="65526DD0" w14:textId="609D0FE6" w:rsidR="00411691" w:rsidRPr="00411691" w:rsidRDefault="00BE5FEF" w:rsidP="00411691">
      <w:pPr>
        <w:pStyle w:val="Heading2"/>
        <w:spacing w:after="120"/>
        <w:ind w:left="709" w:hanging="709"/>
        <w:rPr>
          <w:sz w:val="24"/>
          <w:szCs w:val="24"/>
        </w:rPr>
      </w:pPr>
      <w:r w:rsidRPr="001C014C">
        <w:rPr>
          <w:sz w:val="24"/>
          <w:szCs w:val="24"/>
        </w:rPr>
        <w:t xml:space="preserve">Attendance at Contract Review meetings shall be at the </w:t>
      </w:r>
      <w:r w:rsidR="00B229F0">
        <w:rPr>
          <w:sz w:val="24"/>
          <w:szCs w:val="24"/>
        </w:rPr>
        <w:t>Potential Supplier</w:t>
      </w:r>
      <w:r w:rsidRPr="001C014C">
        <w:rPr>
          <w:sz w:val="24"/>
          <w:szCs w:val="24"/>
        </w:rPr>
        <w:t>’s own expense.</w:t>
      </w:r>
      <w:bookmarkEnd w:id="21"/>
    </w:p>
    <w:p w14:paraId="139650F0" w14:textId="77777777" w:rsidR="00411691" w:rsidRPr="006B38E3" w:rsidRDefault="00411691" w:rsidP="00411691">
      <w:pPr>
        <w:pStyle w:val="Heading1"/>
        <w:numPr>
          <w:ilvl w:val="0"/>
          <w:numId w:val="2"/>
        </w:numPr>
        <w:spacing w:after="120"/>
        <w:rPr>
          <w:rFonts w:cs="Arial"/>
          <w:sz w:val="32"/>
          <w:szCs w:val="32"/>
        </w:rPr>
      </w:pPr>
      <w:bookmarkStart w:id="40" w:name="_Toc368573043"/>
      <w:bookmarkStart w:id="41" w:name="_Toc522714852"/>
      <w:r w:rsidRPr="006B38E3">
        <w:rPr>
          <w:rFonts w:cs="Arial"/>
          <w:sz w:val="32"/>
          <w:szCs w:val="32"/>
        </w:rPr>
        <w:t>Location</w:t>
      </w:r>
      <w:bookmarkEnd w:id="40"/>
      <w:bookmarkEnd w:id="41"/>
      <w:r w:rsidRPr="006B38E3">
        <w:rPr>
          <w:rFonts w:cs="Arial"/>
          <w:sz w:val="32"/>
          <w:szCs w:val="32"/>
        </w:rPr>
        <w:t xml:space="preserve"> </w:t>
      </w:r>
    </w:p>
    <w:p w14:paraId="08ABB738" w14:textId="77777777" w:rsidR="00411691" w:rsidRPr="006B38E3" w:rsidRDefault="00411691" w:rsidP="00411691">
      <w:pPr>
        <w:rPr>
          <w:rFonts w:cs="Arial"/>
          <w:sz w:val="24"/>
        </w:rPr>
      </w:pPr>
    </w:p>
    <w:p w14:paraId="3EA0A361" w14:textId="6B611852" w:rsidR="00411691" w:rsidRDefault="00411691" w:rsidP="00411691">
      <w:pPr>
        <w:pStyle w:val="Heading2"/>
        <w:numPr>
          <w:ilvl w:val="1"/>
          <w:numId w:val="2"/>
        </w:numPr>
        <w:tabs>
          <w:tab w:val="num" w:pos="862"/>
        </w:tabs>
        <w:spacing w:after="120"/>
        <w:ind w:left="709" w:hanging="709"/>
        <w:rPr>
          <w:rFonts w:cs="Arial"/>
          <w:sz w:val="24"/>
          <w:szCs w:val="24"/>
        </w:rPr>
      </w:pPr>
      <w:r w:rsidRPr="006B38E3">
        <w:rPr>
          <w:rFonts w:cs="Arial"/>
          <w:sz w:val="24"/>
          <w:szCs w:val="24"/>
        </w:rPr>
        <w:t>The</w:t>
      </w:r>
      <w:r w:rsidR="005C5289">
        <w:rPr>
          <w:rFonts w:cs="Arial"/>
          <w:sz w:val="24"/>
          <w:szCs w:val="24"/>
        </w:rPr>
        <w:t xml:space="preserve"> main</w:t>
      </w:r>
      <w:r w:rsidRPr="006B38E3">
        <w:rPr>
          <w:rFonts w:cs="Arial"/>
          <w:sz w:val="24"/>
          <w:szCs w:val="24"/>
        </w:rPr>
        <w:t xml:space="preserve"> location of the Services will be </w:t>
      </w:r>
      <w:r w:rsidRPr="00E94F2D">
        <w:rPr>
          <w:rFonts w:cs="Arial"/>
          <w:sz w:val="24"/>
          <w:szCs w:val="24"/>
        </w:rPr>
        <w:t>carried out at</w:t>
      </w:r>
      <w:r w:rsidR="00E94F2D" w:rsidRPr="00E94F2D">
        <w:rPr>
          <w:rFonts w:cs="Arial"/>
          <w:sz w:val="24"/>
          <w:szCs w:val="24"/>
        </w:rPr>
        <w:t xml:space="preserve"> </w:t>
      </w:r>
      <w:r w:rsidR="0002388A" w:rsidRPr="00980308">
        <w:rPr>
          <w:rFonts w:cs="Arial"/>
          <w:b/>
        </w:rPr>
        <w:t>REDACTED</w:t>
      </w:r>
      <w:r w:rsidR="0002388A">
        <w:rPr>
          <w:rFonts w:cs="Arial"/>
          <w:b/>
        </w:rPr>
        <w:t>.</w:t>
      </w:r>
      <w:bookmarkStart w:id="42" w:name="_GoBack"/>
      <w:bookmarkEnd w:id="42"/>
      <w:r w:rsidR="0002388A" w:rsidRPr="0036679C">
        <w:rPr>
          <w:rFonts w:cs="Arial"/>
          <w:b/>
        </w:rPr>
        <w:tab/>
      </w:r>
      <w:r w:rsidRPr="00E94F2D">
        <w:rPr>
          <w:rFonts w:cs="Arial"/>
          <w:sz w:val="24"/>
          <w:szCs w:val="24"/>
        </w:rPr>
        <w:t xml:space="preserve">Daily rates offered will need to be inclusive of </w:t>
      </w:r>
      <w:r w:rsidR="005C5289">
        <w:rPr>
          <w:rFonts w:cs="Arial"/>
          <w:sz w:val="24"/>
          <w:szCs w:val="24"/>
        </w:rPr>
        <w:t xml:space="preserve">all expenses in line with the </w:t>
      </w:r>
      <w:proofErr w:type="gramStart"/>
      <w:r w:rsidR="005C5289">
        <w:rPr>
          <w:rFonts w:cs="Arial"/>
          <w:sz w:val="24"/>
          <w:szCs w:val="24"/>
        </w:rPr>
        <w:t xml:space="preserve">framework </w:t>
      </w:r>
      <w:r>
        <w:rPr>
          <w:rFonts w:cs="Arial"/>
          <w:sz w:val="24"/>
          <w:szCs w:val="24"/>
        </w:rPr>
        <w:t>.</w:t>
      </w:r>
      <w:proofErr w:type="gramEnd"/>
    </w:p>
    <w:p w14:paraId="5C873EFE" w14:textId="4A33F649" w:rsidR="00B229F0" w:rsidRDefault="00B229F0" w:rsidP="00411691">
      <w:pPr>
        <w:pStyle w:val="Heading2"/>
        <w:numPr>
          <w:ilvl w:val="1"/>
          <w:numId w:val="2"/>
        </w:numPr>
        <w:tabs>
          <w:tab w:val="num" w:pos="862"/>
        </w:tabs>
        <w:spacing w:after="120"/>
        <w:ind w:left="709" w:hanging="709"/>
        <w:rPr>
          <w:rFonts w:cs="Arial"/>
          <w:sz w:val="24"/>
          <w:szCs w:val="24"/>
        </w:rPr>
      </w:pPr>
      <w:r>
        <w:rPr>
          <w:rFonts w:cs="Arial"/>
          <w:sz w:val="24"/>
          <w:szCs w:val="24"/>
        </w:rPr>
        <w:t xml:space="preserve">Travel to any other venues will need to be approved by the Authority prior to any travel arrangements being booked. </w:t>
      </w:r>
    </w:p>
    <w:p w14:paraId="467C2F2D" w14:textId="01F2D06D" w:rsidR="00B229F0" w:rsidRPr="00B229F0" w:rsidRDefault="00B229F0" w:rsidP="00B229F0">
      <w:pPr>
        <w:pStyle w:val="Heading2"/>
        <w:numPr>
          <w:ilvl w:val="1"/>
          <w:numId w:val="2"/>
        </w:numPr>
        <w:tabs>
          <w:tab w:val="num" w:pos="862"/>
        </w:tabs>
        <w:spacing w:after="120"/>
        <w:ind w:left="709" w:hanging="709"/>
        <w:rPr>
          <w:rFonts w:cs="Arial"/>
          <w:sz w:val="24"/>
          <w:szCs w:val="24"/>
        </w:rPr>
      </w:pPr>
      <w:r>
        <w:rPr>
          <w:rFonts w:cs="Arial"/>
          <w:sz w:val="24"/>
          <w:szCs w:val="24"/>
        </w:rPr>
        <w:t xml:space="preserve">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w:t>
      </w:r>
      <w:r w:rsidR="00C14402">
        <w:rPr>
          <w:rFonts w:cs="Arial"/>
          <w:sz w:val="24"/>
          <w:szCs w:val="24"/>
        </w:rPr>
        <w:t>DWP T&amp;S</w:t>
      </w:r>
      <w:r>
        <w:rPr>
          <w:rFonts w:cs="Arial"/>
          <w:sz w:val="24"/>
          <w:szCs w:val="24"/>
        </w:rPr>
        <w:t xml:space="preserve"> policy.</w:t>
      </w:r>
    </w:p>
    <w:p w14:paraId="65871A7C" w14:textId="77777777" w:rsidR="00411691" w:rsidRPr="00E233AD" w:rsidRDefault="00411691" w:rsidP="00411691">
      <w:pPr>
        <w:pStyle w:val="Heading2"/>
        <w:numPr>
          <w:ilvl w:val="0"/>
          <w:numId w:val="0"/>
        </w:numPr>
        <w:spacing w:after="120"/>
        <w:ind w:left="709"/>
        <w:rPr>
          <w:sz w:val="24"/>
          <w:szCs w:val="24"/>
        </w:rPr>
      </w:pPr>
    </w:p>
    <w:sectPr w:rsidR="00411691" w:rsidRPr="00E233AD" w:rsidSect="00D7459E">
      <w:headerReference w:type="default" r:id="rId10"/>
      <w:footerReference w:type="default" r:id="rId11"/>
      <w:endnotePr>
        <w:numFmt w:val="decimal"/>
      </w:endnotePr>
      <w:pgSz w:w="11909" w:h="16834" w:code="9"/>
      <w:pgMar w:top="1440" w:right="1440" w:bottom="1559" w:left="1440" w:header="425" w:footer="431"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11D5" w14:textId="77777777" w:rsidR="0091547E" w:rsidRDefault="0091547E">
      <w:pPr>
        <w:spacing w:line="20" w:lineRule="exact"/>
      </w:pPr>
    </w:p>
  </w:endnote>
  <w:endnote w:type="continuationSeparator" w:id="0">
    <w:p w14:paraId="2B2CDC8B" w14:textId="77777777" w:rsidR="0091547E" w:rsidRDefault="0091547E">
      <w:pPr>
        <w:spacing w:line="20" w:lineRule="exact"/>
      </w:pPr>
      <w:r>
        <w:t xml:space="preserve"> </w:t>
      </w:r>
    </w:p>
  </w:endnote>
  <w:endnote w:type="continuationNotice" w:id="1">
    <w:p w14:paraId="1A9017CD" w14:textId="77777777" w:rsidR="0091547E" w:rsidRDefault="0091547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4F4C53" w:rsidRDefault="004F4C5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4F4C53" w:rsidRPr="00985B4D" w:rsidRDefault="004F4C53" w:rsidP="00985B4D">
        <w:pPr>
          <w:pStyle w:val="Footer"/>
          <w:jc w:val="center"/>
          <w:rPr>
            <w:sz w:val="20"/>
            <w:szCs w:val="20"/>
          </w:rPr>
        </w:pPr>
        <w:r w:rsidRPr="00985B4D">
          <w:rPr>
            <w:sz w:val="20"/>
            <w:szCs w:val="20"/>
          </w:rPr>
          <w:t>OFFICIAL</w:t>
        </w:r>
      </w:p>
      <w:p w14:paraId="7F67DA18" w14:textId="3DEED564" w:rsidR="004F4C53" w:rsidRPr="00985B4D" w:rsidRDefault="004F4C53">
        <w:pPr>
          <w:pStyle w:val="Footer"/>
          <w:rPr>
            <w:sz w:val="20"/>
            <w:szCs w:val="20"/>
          </w:rPr>
        </w:pPr>
        <w:r>
          <w:rPr>
            <w:sz w:val="20"/>
            <w:szCs w:val="20"/>
          </w:rPr>
          <w:t xml:space="preserve">Attachment 3 </w:t>
        </w:r>
        <w:r w:rsidRPr="00985B4D">
          <w:rPr>
            <w:sz w:val="20"/>
            <w:szCs w:val="20"/>
          </w:rPr>
          <w:t>– Statement of Requirements</w:t>
        </w:r>
      </w:p>
      <w:p w14:paraId="5D89FCCB" w14:textId="2C0EB095" w:rsidR="004F4C53" w:rsidRDefault="00204429">
        <w:pPr>
          <w:pStyle w:val="Footer"/>
          <w:rPr>
            <w:sz w:val="20"/>
            <w:szCs w:val="20"/>
          </w:rPr>
        </w:pPr>
        <w:r>
          <w:rPr>
            <w:sz w:val="20"/>
            <w:szCs w:val="20"/>
          </w:rPr>
          <w:t>Michael B. Evans</w:t>
        </w:r>
      </w:p>
      <w:p w14:paraId="1CB7D5DC" w14:textId="19129C8E" w:rsidR="004F4C53" w:rsidRPr="001A45DF" w:rsidRDefault="004F4C53">
        <w:pPr>
          <w:pStyle w:val="Footer"/>
          <w:rPr>
            <w:sz w:val="20"/>
            <w:szCs w:val="20"/>
          </w:rPr>
        </w:pPr>
        <w:r w:rsidRPr="001A45DF">
          <w:rPr>
            <w:rFonts w:cs="Arial"/>
            <w:color w:val="222222"/>
            <w:sz w:val="20"/>
            <w:szCs w:val="20"/>
            <w:shd w:val="clear" w:color="auto" w:fill="FFFFFF"/>
          </w:rPr>
          <w:t>© Crown copyright 2018</w:t>
        </w:r>
      </w:p>
      <w:p w14:paraId="42D6E6E6" w14:textId="1D8D27C6" w:rsidR="004F4C53" w:rsidRPr="00985B4D" w:rsidRDefault="004F4C53" w:rsidP="00985B4D">
        <w:pPr>
          <w:pStyle w:val="Footer"/>
          <w:jc w:val="right"/>
          <w:rPr>
            <w:sz w:val="20"/>
            <w:szCs w:val="20"/>
          </w:rPr>
        </w:pPr>
        <w:r>
          <w:rPr>
            <w:sz w:val="20"/>
            <w:szCs w:val="20"/>
          </w:rPr>
          <w:t xml:space="preserve">V1.0 </w:t>
        </w:r>
        <w:r w:rsidR="00D7459E">
          <w:rPr>
            <w:sz w:val="20"/>
            <w:szCs w:val="20"/>
          </w:rPr>
          <w:t>1</w:t>
        </w:r>
        <w:r w:rsidR="00B83B67">
          <w:rPr>
            <w:sz w:val="20"/>
            <w:szCs w:val="20"/>
          </w:rPr>
          <w:t>4</w:t>
        </w:r>
        <w:r w:rsidR="00204429">
          <w:rPr>
            <w:sz w:val="20"/>
            <w:szCs w:val="20"/>
          </w:rPr>
          <w:t xml:space="preserve"> January 2020</w:t>
        </w:r>
      </w:p>
      <w:p w14:paraId="5214230D" w14:textId="7193089F" w:rsidR="004F4C53" w:rsidRDefault="004F4C5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02388A">
          <w:rPr>
            <w:noProof/>
            <w:sz w:val="20"/>
            <w:szCs w:val="20"/>
          </w:rPr>
          <w:t>9</w:t>
        </w:r>
        <w:r w:rsidRPr="00985B4D">
          <w:rPr>
            <w:noProof/>
            <w:sz w:val="20"/>
            <w:szCs w:val="20"/>
          </w:rPr>
          <w:fldChar w:fldCharType="end"/>
        </w:r>
      </w:p>
    </w:sdtContent>
  </w:sdt>
  <w:p w14:paraId="6CEF1DBF" w14:textId="77777777" w:rsidR="004F4C53" w:rsidRPr="002933F8" w:rsidRDefault="004F4C53"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1A59" w14:textId="77777777" w:rsidR="0091547E" w:rsidRDefault="0091547E">
      <w:r>
        <w:separator/>
      </w:r>
    </w:p>
  </w:footnote>
  <w:footnote w:type="continuationSeparator" w:id="0">
    <w:p w14:paraId="24B9C622" w14:textId="77777777" w:rsidR="0091547E" w:rsidRDefault="0091547E">
      <w:r>
        <w:continuationSeparator/>
      </w:r>
    </w:p>
  </w:footnote>
  <w:footnote w:type="continuationNotice" w:id="1">
    <w:p w14:paraId="4CFABE3D" w14:textId="77777777" w:rsidR="0091547E" w:rsidRDefault="009154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588B" w14:textId="77777777" w:rsidR="004F4C53" w:rsidRPr="00F44D62" w:rsidRDefault="004F4C53"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5175A9DF" w:rsidR="004F4C53" w:rsidRDefault="004F4C53" w:rsidP="00985B4D">
    <w:pPr>
      <w:tabs>
        <w:tab w:val="center" w:pos="4153"/>
        <w:tab w:val="right" w:pos="8306"/>
      </w:tabs>
      <w:ind w:left="720"/>
      <w:jc w:val="center"/>
      <w:rPr>
        <w:sz w:val="20"/>
        <w:szCs w:val="20"/>
      </w:rPr>
    </w:pPr>
    <w:r>
      <w:rPr>
        <w:sz w:val="20"/>
        <w:szCs w:val="20"/>
      </w:rPr>
      <w:t>Attachment 3 – Statement of Requirements</w:t>
    </w:r>
  </w:p>
  <w:p w14:paraId="2FFA1B3E" w14:textId="2A76D679" w:rsidR="004F4C53" w:rsidRDefault="00204429" w:rsidP="005334EA">
    <w:pPr>
      <w:tabs>
        <w:tab w:val="center" w:pos="4153"/>
        <w:tab w:val="right" w:pos="8306"/>
      </w:tabs>
      <w:ind w:left="720"/>
      <w:jc w:val="center"/>
      <w:rPr>
        <w:rFonts w:cs="Arial"/>
        <w:sz w:val="20"/>
        <w:szCs w:val="20"/>
        <w:highlight w:val="yellow"/>
      </w:rPr>
    </w:pPr>
    <w:r>
      <w:rPr>
        <w:rFonts w:cs="Arial"/>
        <w:sz w:val="20"/>
        <w:szCs w:val="20"/>
      </w:rPr>
      <w:t>P</w:t>
    </w:r>
    <w:r w:rsidR="004F4C53" w:rsidRPr="003B0157">
      <w:rPr>
        <w:rFonts w:cs="Arial"/>
        <w:sz w:val="20"/>
        <w:szCs w:val="20"/>
      </w:rPr>
      <w:t xml:space="preserve">rovision of </w:t>
    </w:r>
    <w:r>
      <w:rPr>
        <w:rFonts w:cs="Arial"/>
        <w:sz w:val="20"/>
        <w:szCs w:val="20"/>
      </w:rPr>
      <w:t>C</w:t>
    </w:r>
    <w:r w:rsidR="004F4C53" w:rsidRPr="003B0157">
      <w:rPr>
        <w:rFonts w:cs="Arial"/>
        <w:sz w:val="20"/>
        <w:szCs w:val="20"/>
      </w:rPr>
      <w:t xml:space="preserve">onsultancy to </w:t>
    </w:r>
    <w:r>
      <w:rPr>
        <w:rFonts w:cs="Arial"/>
        <w:sz w:val="20"/>
        <w:szCs w:val="20"/>
      </w:rPr>
      <w:t>A</w:t>
    </w:r>
    <w:r w:rsidR="004F4C53" w:rsidRPr="003B0157">
      <w:rPr>
        <w:rFonts w:cs="Arial"/>
        <w:sz w:val="20"/>
        <w:szCs w:val="20"/>
      </w:rPr>
      <w:t>ssist with IR35 Tax Legislation</w:t>
    </w:r>
  </w:p>
  <w:p w14:paraId="3CFCFA88" w14:textId="542921BC" w:rsidR="004F4C53" w:rsidRPr="001A45DF" w:rsidRDefault="004F4C53" w:rsidP="005334EA">
    <w:pPr>
      <w:tabs>
        <w:tab w:val="center" w:pos="4153"/>
        <w:tab w:val="right" w:pos="8306"/>
      </w:tabs>
      <w:ind w:left="720"/>
      <w:jc w:val="center"/>
      <w:rPr>
        <w:sz w:val="20"/>
        <w:szCs w:val="20"/>
      </w:rPr>
    </w:pPr>
    <w:r w:rsidRPr="001A45DF">
      <w:rPr>
        <w:rFonts w:cs="Arial"/>
        <w:sz w:val="20"/>
        <w:szCs w:val="20"/>
      </w:rPr>
      <w:t>Contract Reference</w:t>
    </w:r>
    <w:r w:rsidR="00204429">
      <w:rPr>
        <w:rFonts w:cs="Arial"/>
        <w:sz w:val="20"/>
        <w:szCs w:val="20"/>
      </w:rPr>
      <w:t>: CCCC19B05</w:t>
    </w:r>
  </w:p>
  <w:p w14:paraId="605B3446" w14:textId="1C5596A0" w:rsidR="004F4C53" w:rsidRPr="009D0EAE" w:rsidRDefault="004F4C53" w:rsidP="00F946AC">
    <w:pPr>
      <w:pStyle w:val="Header"/>
      <w:jc w:val="center"/>
      <w:rPr>
        <w:rFonts w:cs="Arial"/>
        <w:sz w:val="20"/>
        <w:szCs w:val="20"/>
        <w:highlight w:val="yellow"/>
      </w:rPr>
    </w:pPr>
  </w:p>
  <w:p w14:paraId="6F1572B1" w14:textId="45CD0517" w:rsidR="004F4C53" w:rsidRPr="00074357" w:rsidRDefault="004F4C53"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3DD8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22295"/>
    <w:multiLevelType w:val="hybridMultilevel"/>
    <w:tmpl w:val="C42C66A0"/>
    <w:lvl w:ilvl="0" w:tplc="017C3D4A">
      <w:start w:val="4"/>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742722B"/>
    <w:multiLevelType w:val="hybridMultilevel"/>
    <w:tmpl w:val="1E8C5812"/>
    <w:lvl w:ilvl="0" w:tplc="05BE9E5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3" w15:restartNumberingAfterBreak="0">
    <w:nsid w:val="495C2542"/>
    <w:multiLevelType w:val="hybridMultilevel"/>
    <w:tmpl w:val="F746C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8"/>
  </w:num>
  <w:num w:numId="3">
    <w:abstractNumId w:val="16"/>
  </w:num>
  <w:num w:numId="4">
    <w:abstractNumId w:val="17"/>
  </w:num>
  <w:num w:numId="5">
    <w:abstractNumId w:val="6"/>
  </w:num>
  <w:num w:numId="6">
    <w:abstractNumId w:val="24"/>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0"/>
  </w:num>
  <w:num w:numId="16">
    <w:abstractNumId w:val="32"/>
  </w:num>
  <w:num w:numId="17">
    <w:abstractNumId w:val="9"/>
  </w:num>
  <w:num w:numId="18">
    <w:abstractNumId w:val="20"/>
  </w:num>
  <w:num w:numId="19">
    <w:abstractNumId w:val="18"/>
  </w:num>
  <w:num w:numId="20">
    <w:abstractNumId w:val="30"/>
  </w:num>
  <w:num w:numId="21">
    <w:abstractNumId w:val="14"/>
  </w:num>
  <w:num w:numId="22">
    <w:abstractNumId w:val="34"/>
  </w:num>
  <w:num w:numId="23">
    <w:abstractNumId w:val="25"/>
  </w:num>
  <w:num w:numId="24">
    <w:abstractNumId w:val="13"/>
  </w:num>
  <w:num w:numId="25">
    <w:abstractNumId w:val="33"/>
  </w:num>
  <w:num w:numId="26">
    <w:abstractNumId w:val="8"/>
  </w:num>
  <w:num w:numId="27">
    <w:abstractNumId w:val="29"/>
  </w:num>
  <w:num w:numId="28">
    <w:abstractNumId w:val="21"/>
  </w:num>
  <w:num w:numId="29">
    <w:abstractNumId w:val="35"/>
  </w:num>
  <w:num w:numId="30">
    <w:abstractNumId w:val="28"/>
  </w:num>
  <w:num w:numId="31">
    <w:abstractNumId w:val="28"/>
  </w:num>
  <w:num w:numId="32">
    <w:abstractNumId w:val="28"/>
  </w:num>
  <w:num w:numId="33">
    <w:abstractNumId w:val="12"/>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8"/>
  </w:num>
  <w:num w:numId="37">
    <w:abstractNumId w:val="28"/>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6"/>
    </w:lvlOverride>
  </w:num>
  <w:num w:numId="40">
    <w:abstractNumId w:val="28"/>
  </w:num>
  <w:num w:numId="41">
    <w:abstractNumId w:val="22"/>
  </w:num>
  <w:num w:numId="4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2EAB"/>
    <w:rsid w:val="0002302C"/>
    <w:rsid w:val="0002388A"/>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06A"/>
    <w:rsid w:val="00060D0E"/>
    <w:rsid w:val="000645CC"/>
    <w:rsid w:val="00066D70"/>
    <w:rsid w:val="0006741C"/>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13D8"/>
    <w:rsid w:val="000E4C53"/>
    <w:rsid w:val="000E6052"/>
    <w:rsid w:val="000F232D"/>
    <w:rsid w:val="000F3348"/>
    <w:rsid w:val="000F3500"/>
    <w:rsid w:val="000F3E1D"/>
    <w:rsid w:val="000F52E6"/>
    <w:rsid w:val="00100B77"/>
    <w:rsid w:val="0010318E"/>
    <w:rsid w:val="001040CE"/>
    <w:rsid w:val="0010453E"/>
    <w:rsid w:val="00104909"/>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3FB1"/>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29C4"/>
    <w:rsid w:val="00193FB5"/>
    <w:rsid w:val="001962E6"/>
    <w:rsid w:val="001A1780"/>
    <w:rsid w:val="001A1DEE"/>
    <w:rsid w:val="001A3C4D"/>
    <w:rsid w:val="001A45DF"/>
    <w:rsid w:val="001A5D29"/>
    <w:rsid w:val="001A7AB1"/>
    <w:rsid w:val="001B0587"/>
    <w:rsid w:val="001B066D"/>
    <w:rsid w:val="001B2EA8"/>
    <w:rsid w:val="001B3C1C"/>
    <w:rsid w:val="001B485F"/>
    <w:rsid w:val="001B4B79"/>
    <w:rsid w:val="001B52D8"/>
    <w:rsid w:val="001B62DA"/>
    <w:rsid w:val="001B7109"/>
    <w:rsid w:val="001B7657"/>
    <w:rsid w:val="001C014C"/>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24FD"/>
    <w:rsid w:val="001E378F"/>
    <w:rsid w:val="001E3BC9"/>
    <w:rsid w:val="001E49D6"/>
    <w:rsid w:val="001F0B69"/>
    <w:rsid w:val="001F13E1"/>
    <w:rsid w:val="001F2926"/>
    <w:rsid w:val="001F2F1C"/>
    <w:rsid w:val="001F300D"/>
    <w:rsid w:val="001F3B05"/>
    <w:rsid w:val="001F4B65"/>
    <w:rsid w:val="002014DC"/>
    <w:rsid w:val="00202978"/>
    <w:rsid w:val="00202DAB"/>
    <w:rsid w:val="00204429"/>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2A10"/>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292D"/>
    <w:rsid w:val="002F3129"/>
    <w:rsid w:val="002F42F4"/>
    <w:rsid w:val="002F7AA1"/>
    <w:rsid w:val="0030038A"/>
    <w:rsid w:val="0030185A"/>
    <w:rsid w:val="0030285B"/>
    <w:rsid w:val="0030439A"/>
    <w:rsid w:val="003047E0"/>
    <w:rsid w:val="003056CD"/>
    <w:rsid w:val="0030606A"/>
    <w:rsid w:val="0030614C"/>
    <w:rsid w:val="00315091"/>
    <w:rsid w:val="00315C76"/>
    <w:rsid w:val="0032065B"/>
    <w:rsid w:val="00323541"/>
    <w:rsid w:val="00323EAA"/>
    <w:rsid w:val="003250E3"/>
    <w:rsid w:val="00330C5C"/>
    <w:rsid w:val="00331523"/>
    <w:rsid w:val="003316AA"/>
    <w:rsid w:val="00333185"/>
    <w:rsid w:val="00333D28"/>
    <w:rsid w:val="003341DC"/>
    <w:rsid w:val="00336059"/>
    <w:rsid w:val="0034369B"/>
    <w:rsid w:val="003438D3"/>
    <w:rsid w:val="00343C78"/>
    <w:rsid w:val="00346A23"/>
    <w:rsid w:val="00347685"/>
    <w:rsid w:val="00347DB3"/>
    <w:rsid w:val="00352261"/>
    <w:rsid w:val="00353191"/>
    <w:rsid w:val="00353EC0"/>
    <w:rsid w:val="003550DB"/>
    <w:rsid w:val="0035756C"/>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4E1B"/>
    <w:rsid w:val="00386338"/>
    <w:rsid w:val="00386706"/>
    <w:rsid w:val="003873D7"/>
    <w:rsid w:val="003874EB"/>
    <w:rsid w:val="003908EB"/>
    <w:rsid w:val="00390BC3"/>
    <w:rsid w:val="0039193D"/>
    <w:rsid w:val="00392DC8"/>
    <w:rsid w:val="0039597C"/>
    <w:rsid w:val="00396B62"/>
    <w:rsid w:val="003A0CDA"/>
    <w:rsid w:val="003A199A"/>
    <w:rsid w:val="003A21C8"/>
    <w:rsid w:val="003A2C48"/>
    <w:rsid w:val="003A4DD7"/>
    <w:rsid w:val="003B015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0D7A"/>
    <w:rsid w:val="003E3E8C"/>
    <w:rsid w:val="003E4FA3"/>
    <w:rsid w:val="003E5400"/>
    <w:rsid w:val="003E7509"/>
    <w:rsid w:val="003E7FC9"/>
    <w:rsid w:val="003F06FF"/>
    <w:rsid w:val="003F1C5D"/>
    <w:rsid w:val="003F626A"/>
    <w:rsid w:val="00400F7C"/>
    <w:rsid w:val="00401C86"/>
    <w:rsid w:val="00402F0D"/>
    <w:rsid w:val="00404F9C"/>
    <w:rsid w:val="0040508D"/>
    <w:rsid w:val="00405A77"/>
    <w:rsid w:val="00411691"/>
    <w:rsid w:val="004126C0"/>
    <w:rsid w:val="004128DA"/>
    <w:rsid w:val="00413A43"/>
    <w:rsid w:val="004147A7"/>
    <w:rsid w:val="00415016"/>
    <w:rsid w:val="0041576D"/>
    <w:rsid w:val="00416045"/>
    <w:rsid w:val="00422823"/>
    <w:rsid w:val="0042602C"/>
    <w:rsid w:val="004268CC"/>
    <w:rsid w:val="00426AB4"/>
    <w:rsid w:val="00427A64"/>
    <w:rsid w:val="00430054"/>
    <w:rsid w:val="004300D8"/>
    <w:rsid w:val="0043067F"/>
    <w:rsid w:val="004324B4"/>
    <w:rsid w:val="00433761"/>
    <w:rsid w:val="004377D6"/>
    <w:rsid w:val="004401D5"/>
    <w:rsid w:val="00442EDE"/>
    <w:rsid w:val="004446A7"/>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4CA"/>
    <w:rsid w:val="004909B0"/>
    <w:rsid w:val="0049625F"/>
    <w:rsid w:val="00497D0E"/>
    <w:rsid w:val="004A225E"/>
    <w:rsid w:val="004A2D0B"/>
    <w:rsid w:val="004A2E7B"/>
    <w:rsid w:val="004A31F5"/>
    <w:rsid w:val="004A3BE6"/>
    <w:rsid w:val="004A4371"/>
    <w:rsid w:val="004A48ED"/>
    <w:rsid w:val="004A61EA"/>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3B0A"/>
    <w:rsid w:val="004D4D43"/>
    <w:rsid w:val="004D4E92"/>
    <w:rsid w:val="004D5500"/>
    <w:rsid w:val="004D6688"/>
    <w:rsid w:val="004E1F9F"/>
    <w:rsid w:val="004E445C"/>
    <w:rsid w:val="004E6FB0"/>
    <w:rsid w:val="004E70A8"/>
    <w:rsid w:val="004E78BC"/>
    <w:rsid w:val="004F2229"/>
    <w:rsid w:val="004F2D68"/>
    <w:rsid w:val="004F4C53"/>
    <w:rsid w:val="004F4E7F"/>
    <w:rsid w:val="004F6B43"/>
    <w:rsid w:val="004F6EE0"/>
    <w:rsid w:val="0050062B"/>
    <w:rsid w:val="005009A0"/>
    <w:rsid w:val="0050116C"/>
    <w:rsid w:val="00502279"/>
    <w:rsid w:val="00502DB6"/>
    <w:rsid w:val="0050537E"/>
    <w:rsid w:val="00505473"/>
    <w:rsid w:val="005054EC"/>
    <w:rsid w:val="00506315"/>
    <w:rsid w:val="005147FE"/>
    <w:rsid w:val="00515D51"/>
    <w:rsid w:val="00517904"/>
    <w:rsid w:val="0052086C"/>
    <w:rsid w:val="00522AAC"/>
    <w:rsid w:val="0052365A"/>
    <w:rsid w:val="0052487A"/>
    <w:rsid w:val="00527040"/>
    <w:rsid w:val="00531417"/>
    <w:rsid w:val="0053220D"/>
    <w:rsid w:val="005334EA"/>
    <w:rsid w:val="00533F76"/>
    <w:rsid w:val="005364E3"/>
    <w:rsid w:val="005444FC"/>
    <w:rsid w:val="0055006C"/>
    <w:rsid w:val="00551203"/>
    <w:rsid w:val="00551397"/>
    <w:rsid w:val="0055424E"/>
    <w:rsid w:val="005571B2"/>
    <w:rsid w:val="00561AE0"/>
    <w:rsid w:val="00561BB6"/>
    <w:rsid w:val="00563F76"/>
    <w:rsid w:val="00564CCA"/>
    <w:rsid w:val="0056660C"/>
    <w:rsid w:val="005750D7"/>
    <w:rsid w:val="005750F5"/>
    <w:rsid w:val="005759DD"/>
    <w:rsid w:val="00576C34"/>
    <w:rsid w:val="00580509"/>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71D"/>
    <w:rsid w:val="005C2951"/>
    <w:rsid w:val="005C2A84"/>
    <w:rsid w:val="005C3B95"/>
    <w:rsid w:val="005C5289"/>
    <w:rsid w:val="005C6291"/>
    <w:rsid w:val="005C6503"/>
    <w:rsid w:val="005D1196"/>
    <w:rsid w:val="005D2362"/>
    <w:rsid w:val="005D2F99"/>
    <w:rsid w:val="005E00DA"/>
    <w:rsid w:val="005E2029"/>
    <w:rsid w:val="005E29A1"/>
    <w:rsid w:val="005E4205"/>
    <w:rsid w:val="005E4793"/>
    <w:rsid w:val="005E4B73"/>
    <w:rsid w:val="005E4F6C"/>
    <w:rsid w:val="005E5DD9"/>
    <w:rsid w:val="005E69A8"/>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43E8"/>
    <w:rsid w:val="00627B4B"/>
    <w:rsid w:val="00627D1B"/>
    <w:rsid w:val="0063134B"/>
    <w:rsid w:val="00631AE2"/>
    <w:rsid w:val="00632838"/>
    <w:rsid w:val="00635B31"/>
    <w:rsid w:val="00636209"/>
    <w:rsid w:val="00636E2D"/>
    <w:rsid w:val="006373DB"/>
    <w:rsid w:val="00641ACD"/>
    <w:rsid w:val="00642A1B"/>
    <w:rsid w:val="0064354C"/>
    <w:rsid w:val="00644149"/>
    <w:rsid w:val="006455A0"/>
    <w:rsid w:val="0064629E"/>
    <w:rsid w:val="00646588"/>
    <w:rsid w:val="00646B4C"/>
    <w:rsid w:val="006501CB"/>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193B"/>
    <w:rsid w:val="006A2C13"/>
    <w:rsid w:val="006A385C"/>
    <w:rsid w:val="006A3DBC"/>
    <w:rsid w:val="006A3F51"/>
    <w:rsid w:val="006A4316"/>
    <w:rsid w:val="006A4943"/>
    <w:rsid w:val="006B00EA"/>
    <w:rsid w:val="006B1F15"/>
    <w:rsid w:val="006B2728"/>
    <w:rsid w:val="006B32CD"/>
    <w:rsid w:val="006B3676"/>
    <w:rsid w:val="006B4F77"/>
    <w:rsid w:val="006B556B"/>
    <w:rsid w:val="006B5A7E"/>
    <w:rsid w:val="006B62D2"/>
    <w:rsid w:val="006C0828"/>
    <w:rsid w:val="006C1996"/>
    <w:rsid w:val="006C2069"/>
    <w:rsid w:val="006C3BF0"/>
    <w:rsid w:val="006C3CB1"/>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4742B"/>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223F"/>
    <w:rsid w:val="007D4124"/>
    <w:rsid w:val="007D431E"/>
    <w:rsid w:val="007D4AF7"/>
    <w:rsid w:val="007D5356"/>
    <w:rsid w:val="007D5C41"/>
    <w:rsid w:val="007D6207"/>
    <w:rsid w:val="007D65EB"/>
    <w:rsid w:val="007D7EEC"/>
    <w:rsid w:val="007E1C0F"/>
    <w:rsid w:val="007E3BEA"/>
    <w:rsid w:val="007E4D19"/>
    <w:rsid w:val="007E581E"/>
    <w:rsid w:val="007E5877"/>
    <w:rsid w:val="007E5ED3"/>
    <w:rsid w:val="007E69D2"/>
    <w:rsid w:val="007F062B"/>
    <w:rsid w:val="007F255C"/>
    <w:rsid w:val="007F48F8"/>
    <w:rsid w:val="007F521C"/>
    <w:rsid w:val="007F5E08"/>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75A"/>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2E5"/>
    <w:rsid w:val="00890886"/>
    <w:rsid w:val="008916A4"/>
    <w:rsid w:val="0089575F"/>
    <w:rsid w:val="00897DB5"/>
    <w:rsid w:val="008A004A"/>
    <w:rsid w:val="008A079B"/>
    <w:rsid w:val="008A17B5"/>
    <w:rsid w:val="008A20B1"/>
    <w:rsid w:val="008A3F1A"/>
    <w:rsid w:val="008A3FCF"/>
    <w:rsid w:val="008A41ED"/>
    <w:rsid w:val="008A4B29"/>
    <w:rsid w:val="008A5EAC"/>
    <w:rsid w:val="008A74AE"/>
    <w:rsid w:val="008A7C5C"/>
    <w:rsid w:val="008B2760"/>
    <w:rsid w:val="008B3DC8"/>
    <w:rsid w:val="008B4EC5"/>
    <w:rsid w:val="008B5210"/>
    <w:rsid w:val="008B7859"/>
    <w:rsid w:val="008C05F1"/>
    <w:rsid w:val="008C1442"/>
    <w:rsid w:val="008C218B"/>
    <w:rsid w:val="008C59EE"/>
    <w:rsid w:val="008C6917"/>
    <w:rsid w:val="008C6DD8"/>
    <w:rsid w:val="008C764B"/>
    <w:rsid w:val="008D01FD"/>
    <w:rsid w:val="008D0383"/>
    <w:rsid w:val="008D17C0"/>
    <w:rsid w:val="008D1AFC"/>
    <w:rsid w:val="008D1F53"/>
    <w:rsid w:val="008D28A6"/>
    <w:rsid w:val="008D42D5"/>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47E"/>
    <w:rsid w:val="00915583"/>
    <w:rsid w:val="009175F3"/>
    <w:rsid w:val="00922A4C"/>
    <w:rsid w:val="00923A8C"/>
    <w:rsid w:val="00923ACC"/>
    <w:rsid w:val="00926958"/>
    <w:rsid w:val="00926AFD"/>
    <w:rsid w:val="00931703"/>
    <w:rsid w:val="009317B0"/>
    <w:rsid w:val="00932346"/>
    <w:rsid w:val="0093247C"/>
    <w:rsid w:val="00932D6C"/>
    <w:rsid w:val="00934359"/>
    <w:rsid w:val="009372EF"/>
    <w:rsid w:val="00943815"/>
    <w:rsid w:val="009448C5"/>
    <w:rsid w:val="0094512F"/>
    <w:rsid w:val="009509D8"/>
    <w:rsid w:val="00951437"/>
    <w:rsid w:val="00951FEC"/>
    <w:rsid w:val="00952659"/>
    <w:rsid w:val="00953FE8"/>
    <w:rsid w:val="00954E91"/>
    <w:rsid w:val="00955900"/>
    <w:rsid w:val="009572E2"/>
    <w:rsid w:val="009614DD"/>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5817"/>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1EFC"/>
    <w:rsid w:val="009F44CA"/>
    <w:rsid w:val="00A001B8"/>
    <w:rsid w:val="00A04242"/>
    <w:rsid w:val="00A055F2"/>
    <w:rsid w:val="00A061A4"/>
    <w:rsid w:val="00A06EEA"/>
    <w:rsid w:val="00A07797"/>
    <w:rsid w:val="00A07BA2"/>
    <w:rsid w:val="00A11943"/>
    <w:rsid w:val="00A11E7C"/>
    <w:rsid w:val="00A120C0"/>
    <w:rsid w:val="00A122EC"/>
    <w:rsid w:val="00A126CF"/>
    <w:rsid w:val="00A13177"/>
    <w:rsid w:val="00A150ED"/>
    <w:rsid w:val="00A15178"/>
    <w:rsid w:val="00A163C2"/>
    <w:rsid w:val="00A203DA"/>
    <w:rsid w:val="00A24589"/>
    <w:rsid w:val="00A2522F"/>
    <w:rsid w:val="00A26DB5"/>
    <w:rsid w:val="00A27147"/>
    <w:rsid w:val="00A27A35"/>
    <w:rsid w:val="00A3180D"/>
    <w:rsid w:val="00A326AA"/>
    <w:rsid w:val="00A32EAE"/>
    <w:rsid w:val="00A33F0B"/>
    <w:rsid w:val="00A3630D"/>
    <w:rsid w:val="00A363DA"/>
    <w:rsid w:val="00A37384"/>
    <w:rsid w:val="00A4055F"/>
    <w:rsid w:val="00A425FC"/>
    <w:rsid w:val="00A466BC"/>
    <w:rsid w:val="00A46AE8"/>
    <w:rsid w:val="00A520BB"/>
    <w:rsid w:val="00A53C90"/>
    <w:rsid w:val="00A544DF"/>
    <w:rsid w:val="00A54C8F"/>
    <w:rsid w:val="00A5594A"/>
    <w:rsid w:val="00A55D22"/>
    <w:rsid w:val="00A57890"/>
    <w:rsid w:val="00A57B4E"/>
    <w:rsid w:val="00A61283"/>
    <w:rsid w:val="00A6219D"/>
    <w:rsid w:val="00A63F3F"/>
    <w:rsid w:val="00A646DE"/>
    <w:rsid w:val="00A64B9B"/>
    <w:rsid w:val="00A72352"/>
    <w:rsid w:val="00A72AE0"/>
    <w:rsid w:val="00A73E58"/>
    <w:rsid w:val="00A74FE3"/>
    <w:rsid w:val="00A7745D"/>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4962"/>
    <w:rsid w:val="00AF0BC0"/>
    <w:rsid w:val="00AF21E6"/>
    <w:rsid w:val="00AF2BB0"/>
    <w:rsid w:val="00AF5288"/>
    <w:rsid w:val="00AF5D31"/>
    <w:rsid w:val="00AF655B"/>
    <w:rsid w:val="00AF75E2"/>
    <w:rsid w:val="00AF7B04"/>
    <w:rsid w:val="00AF7D47"/>
    <w:rsid w:val="00B008C0"/>
    <w:rsid w:val="00B0302C"/>
    <w:rsid w:val="00B06365"/>
    <w:rsid w:val="00B1155E"/>
    <w:rsid w:val="00B1289A"/>
    <w:rsid w:val="00B12987"/>
    <w:rsid w:val="00B13340"/>
    <w:rsid w:val="00B13763"/>
    <w:rsid w:val="00B20178"/>
    <w:rsid w:val="00B229F0"/>
    <w:rsid w:val="00B22A2F"/>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3B67"/>
    <w:rsid w:val="00B905EC"/>
    <w:rsid w:val="00B90C10"/>
    <w:rsid w:val="00B919C4"/>
    <w:rsid w:val="00B9252C"/>
    <w:rsid w:val="00B92A35"/>
    <w:rsid w:val="00B9498B"/>
    <w:rsid w:val="00B951B1"/>
    <w:rsid w:val="00B96277"/>
    <w:rsid w:val="00B979BD"/>
    <w:rsid w:val="00B97A23"/>
    <w:rsid w:val="00BA3B35"/>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A91"/>
    <w:rsid w:val="00BC6573"/>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9E3"/>
    <w:rsid w:val="00C00B5F"/>
    <w:rsid w:val="00C00D58"/>
    <w:rsid w:val="00C020DA"/>
    <w:rsid w:val="00C02A15"/>
    <w:rsid w:val="00C02C4F"/>
    <w:rsid w:val="00C0327F"/>
    <w:rsid w:val="00C0387E"/>
    <w:rsid w:val="00C14402"/>
    <w:rsid w:val="00C1747F"/>
    <w:rsid w:val="00C20E79"/>
    <w:rsid w:val="00C21388"/>
    <w:rsid w:val="00C226E8"/>
    <w:rsid w:val="00C233B8"/>
    <w:rsid w:val="00C25BEE"/>
    <w:rsid w:val="00C26F1C"/>
    <w:rsid w:val="00C3280C"/>
    <w:rsid w:val="00C343D3"/>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31F5"/>
    <w:rsid w:val="00C7447E"/>
    <w:rsid w:val="00C74C5F"/>
    <w:rsid w:val="00C75B3B"/>
    <w:rsid w:val="00C76852"/>
    <w:rsid w:val="00C7767B"/>
    <w:rsid w:val="00C77D9C"/>
    <w:rsid w:val="00C81EC7"/>
    <w:rsid w:val="00C847AF"/>
    <w:rsid w:val="00C860DD"/>
    <w:rsid w:val="00C8752E"/>
    <w:rsid w:val="00C901B4"/>
    <w:rsid w:val="00C909DE"/>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68B"/>
    <w:rsid w:val="00CF5885"/>
    <w:rsid w:val="00CF73FB"/>
    <w:rsid w:val="00CF7A5C"/>
    <w:rsid w:val="00CF7B6A"/>
    <w:rsid w:val="00CF7DAD"/>
    <w:rsid w:val="00D01126"/>
    <w:rsid w:val="00D012D3"/>
    <w:rsid w:val="00D023D9"/>
    <w:rsid w:val="00D02587"/>
    <w:rsid w:val="00D03382"/>
    <w:rsid w:val="00D038AC"/>
    <w:rsid w:val="00D04315"/>
    <w:rsid w:val="00D056A2"/>
    <w:rsid w:val="00D10BD3"/>
    <w:rsid w:val="00D12A9F"/>
    <w:rsid w:val="00D135A3"/>
    <w:rsid w:val="00D16593"/>
    <w:rsid w:val="00D17764"/>
    <w:rsid w:val="00D178E0"/>
    <w:rsid w:val="00D20C5C"/>
    <w:rsid w:val="00D21E06"/>
    <w:rsid w:val="00D23214"/>
    <w:rsid w:val="00D25E4D"/>
    <w:rsid w:val="00D26A0C"/>
    <w:rsid w:val="00D2700C"/>
    <w:rsid w:val="00D32B32"/>
    <w:rsid w:val="00D336B8"/>
    <w:rsid w:val="00D353B7"/>
    <w:rsid w:val="00D36732"/>
    <w:rsid w:val="00D37365"/>
    <w:rsid w:val="00D3778B"/>
    <w:rsid w:val="00D37F0C"/>
    <w:rsid w:val="00D4133C"/>
    <w:rsid w:val="00D42A06"/>
    <w:rsid w:val="00D43237"/>
    <w:rsid w:val="00D440B8"/>
    <w:rsid w:val="00D440C9"/>
    <w:rsid w:val="00D44A45"/>
    <w:rsid w:val="00D47B67"/>
    <w:rsid w:val="00D5114F"/>
    <w:rsid w:val="00D53F84"/>
    <w:rsid w:val="00D551DF"/>
    <w:rsid w:val="00D5674A"/>
    <w:rsid w:val="00D56944"/>
    <w:rsid w:val="00D56954"/>
    <w:rsid w:val="00D62E47"/>
    <w:rsid w:val="00D70A58"/>
    <w:rsid w:val="00D7211C"/>
    <w:rsid w:val="00D7459E"/>
    <w:rsid w:val="00D74BF3"/>
    <w:rsid w:val="00D74C4C"/>
    <w:rsid w:val="00D75C1C"/>
    <w:rsid w:val="00D80252"/>
    <w:rsid w:val="00D8251C"/>
    <w:rsid w:val="00D82A24"/>
    <w:rsid w:val="00D82DB4"/>
    <w:rsid w:val="00D83B95"/>
    <w:rsid w:val="00D846CA"/>
    <w:rsid w:val="00D84A3C"/>
    <w:rsid w:val="00D92179"/>
    <w:rsid w:val="00D93B16"/>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1BCF"/>
    <w:rsid w:val="00E22084"/>
    <w:rsid w:val="00E22767"/>
    <w:rsid w:val="00E233AD"/>
    <w:rsid w:val="00E245A6"/>
    <w:rsid w:val="00E24EE7"/>
    <w:rsid w:val="00E25C2D"/>
    <w:rsid w:val="00E2791D"/>
    <w:rsid w:val="00E32368"/>
    <w:rsid w:val="00E32A1D"/>
    <w:rsid w:val="00E33788"/>
    <w:rsid w:val="00E3410E"/>
    <w:rsid w:val="00E4045B"/>
    <w:rsid w:val="00E41D60"/>
    <w:rsid w:val="00E420B0"/>
    <w:rsid w:val="00E42A3E"/>
    <w:rsid w:val="00E450B0"/>
    <w:rsid w:val="00E50B0C"/>
    <w:rsid w:val="00E53E5F"/>
    <w:rsid w:val="00E56D22"/>
    <w:rsid w:val="00E57A45"/>
    <w:rsid w:val="00E57DE8"/>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4F2D"/>
    <w:rsid w:val="00EA0A6E"/>
    <w:rsid w:val="00EA16A6"/>
    <w:rsid w:val="00EA37FD"/>
    <w:rsid w:val="00EA3CBF"/>
    <w:rsid w:val="00EA4C91"/>
    <w:rsid w:val="00EA6A93"/>
    <w:rsid w:val="00EB1275"/>
    <w:rsid w:val="00EB3DA4"/>
    <w:rsid w:val="00EB512C"/>
    <w:rsid w:val="00EB5CE0"/>
    <w:rsid w:val="00EB6683"/>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7D5"/>
    <w:rsid w:val="00F439AD"/>
    <w:rsid w:val="00F44D62"/>
    <w:rsid w:val="00F45A2A"/>
    <w:rsid w:val="00F4664B"/>
    <w:rsid w:val="00F468FE"/>
    <w:rsid w:val="00F476A1"/>
    <w:rsid w:val="00F533A3"/>
    <w:rsid w:val="00F576F1"/>
    <w:rsid w:val="00F62DC9"/>
    <w:rsid w:val="00F6463B"/>
    <w:rsid w:val="00F656D5"/>
    <w:rsid w:val="00F65C1B"/>
    <w:rsid w:val="00F66885"/>
    <w:rsid w:val="00F718BA"/>
    <w:rsid w:val="00F71D56"/>
    <w:rsid w:val="00F722CD"/>
    <w:rsid w:val="00F7526B"/>
    <w:rsid w:val="00F80355"/>
    <w:rsid w:val="00F8366A"/>
    <w:rsid w:val="00F8387B"/>
    <w:rsid w:val="00F85C06"/>
    <w:rsid w:val="00F87597"/>
    <w:rsid w:val="00F92569"/>
    <w:rsid w:val="00F937C4"/>
    <w:rsid w:val="00F9464F"/>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34EC"/>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NormalBold">
    <w:name w:val="Normal Bold"/>
    <w:basedOn w:val="Normal"/>
    <w:next w:val="Normal"/>
    <w:link w:val="NormalBoldChar1"/>
    <w:rsid w:val="00F437D5"/>
    <w:pPr>
      <w:suppressAutoHyphens/>
      <w:jc w:val="both"/>
    </w:pPr>
    <w:rPr>
      <w:rFonts w:eastAsia="Times New Roman"/>
      <w:b/>
      <w:sz w:val="24"/>
      <w:szCs w:val="20"/>
      <w:lang w:eastAsia="en-US"/>
    </w:rPr>
  </w:style>
  <w:style w:type="character" w:customStyle="1" w:styleId="NormalBoldChar1">
    <w:name w:val="Normal Bold Char1"/>
    <w:link w:val="NormalBold"/>
    <w:rsid w:val="00F437D5"/>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46">
      <w:bodyDiv w:val="1"/>
      <w:marLeft w:val="0"/>
      <w:marRight w:val="0"/>
      <w:marTop w:val="0"/>
      <w:marBottom w:val="0"/>
      <w:divBdr>
        <w:top w:val="none" w:sz="0" w:space="0" w:color="auto"/>
        <w:left w:val="none" w:sz="0" w:space="0" w:color="auto"/>
        <w:bottom w:val="none" w:sz="0" w:space="0" w:color="auto"/>
        <w:right w:val="none" w:sz="0" w:space="0" w:color="auto"/>
      </w:divBdr>
    </w:div>
    <w:div w:id="144393218">
      <w:bodyDiv w:val="1"/>
      <w:marLeft w:val="0"/>
      <w:marRight w:val="0"/>
      <w:marTop w:val="0"/>
      <w:marBottom w:val="0"/>
      <w:divBdr>
        <w:top w:val="none" w:sz="0" w:space="0" w:color="auto"/>
        <w:left w:val="none" w:sz="0" w:space="0" w:color="auto"/>
        <w:bottom w:val="none" w:sz="0" w:space="0" w:color="auto"/>
        <w:right w:val="none" w:sz="0" w:space="0" w:color="auto"/>
      </w:divBdr>
    </w:div>
    <w:div w:id="665403716">
      <w:bodyDiv w:val="1"/>
      <w:marLeft w:val="0"/>
      <w:marRight w:val="0"/>
      <w:marTop w:val="0"/>
      <w:marBottom w:val="0"/>
      <w:divBdr>
        <w:top w:val="none" w:sz="0" w:space="0" w:color="auto"/>
        <w:left w:val="none" w:sz="0" w:space="0" w:color="auto"/>
        <w:bottom w:val="none" w:sz="0" w:space="0" w:color="auto"/>
        <w:right w:val="none" w:sz="0" w:space="0" w:color="auto"/>
      </w:divBdr>
    </w:div>
    <w:div w:id="1198153666">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910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epartment-for-work-and-pensions-single-departmental-plan/department-for-work-and-pensions-single-departmental-pla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F53A-F5B2-4729-A7B7-F77A1B89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dc:creator>
  <cp:lastModifiedBy>Michael Evans2</cp:lastModifiedBy>
  <cp:revision>2</cp:revision>
  <cp:lastPrinted>2019-11-20T11:33:00Z</cp:lastPrinted>
  <dcterms:created xsi:type="dcterms:W3CDTF">2020-02-11T12:41:00Z</dcterms:created>
  <dcterms:modified xsi:type="dcterms:W3CDTF">2020-02-11T12:41:00Z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