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1E0" w:rsidRPr="00170E4B" w:rsidRDefault="009021E0" w:rsidP="009021E0">
      <w:pPr>
        <w:jc w:val="center"/>
        <w:rPr>
          <w:b/>
          <w:bCs/>
          <w:color w:val="44546A" w:themeColor="text2"/>
          <w:sz w:val="28"/>
          <w:szCs w:val="28"/>
        </w:rPr>
      </w:pPr>
      <w:r w:rsidRPr="007A75FA">
        <w:rPr>
          <w:b/>
          <w:bCs/>
          <w:color w:val="44546A" w:themeColor="text2"/>
          <w:sz w:val="28"/>
          <w:szCs w:val="28"/>
        </w:rPr>
        <w:t>Bidder Clarification Questions</w:t>
      </w:r>
      <w:r>
        <w:rPr>
          <w:b/>
          <w:bCs/>
          <w:color w:val="44546A" w:themeColor="text2"/>
          <w:sz w:val="28"/>
          <w:szCs w:val="28"/>
        </w:rPr>
        <w:t xml:space="preserve"> </w:t>
      </w:r>
      <w:r w:rsidRPr="00170E4B">
        <w:rPr>
          <w:b/>
          <w:bCs/>
          <w:color w:val="44546A" w:themeColor="text2"/>
          <w:sz w:val="28"/>
          <w:szCs w:val="28"/>
        </w:rPr>
        <w:t>Written Questions and Answers</w:t>
      </w:r>
    </w:p>
    <w:p w:rsidR="009021E0" w:rsidRPr="00DD4D32" w:rsidRDefault="009021E0" w:rsidP="009021E0">
      <w:pPr>
        <w:jc w:val="center"/>
        <w:rPr>
          <w:color w:val="44546A" w:themeColor="text2"/>
          <w:sz w:val="24"/>
          <w:szCs w:val="24"/>
        </w:rPr>
      </w:pPr>
      <w:r>
        <w:rPr>
          <w:color w:val="44546A" w:themeColor="text2"/>
          <w:sz w:val="24"/>
          <w:szCs w:val="24"/>
        </w:rPr>
        <w:t>Responses to q</w:t>
      </w:r>
      <w:r w:rsidRPr="00DD4D32">
        <w:rPr>
          <w:color w:val="44546A" w:themeColor="text2"/>
          <w:sz w:val="24"/>
          <w:szCs w:val="24"/>
        </w:rPr>
        <w:t xml:space="preserve">uestions value will be sent to all bidders.  </w:t>
      </w:r>
      <w:r w:rsidR="00031D69">
        <w:rPr>
          <w:color w:val="44546A" w:themeColor="text2"/>
          <w:sz w:val="24"/>
          <w:szCs w:val="24"/>
        </w:rPr>
        <w:t>A</w:t>
      </w:r>
      <w:r w:rsidRPr="00DD4D32">
        <w:rPr>
          <w:color w:val="44546A" w:themeColor="text2"/>
          <w:sz w:val="24"/>
          <w:szCs w:val="24"/>
        </w:rPr>
        <w:t>ll references to the question’s originator will be removed</w:t>
      </w:r>
    </w:p>
    <w:p w:rsidR="009021E0" w:rsidRPr="00576FF4" w:rsidRDefault="009021E0" w:rsidP="009021E0">
      <w:pPr>
        <w:jc w:val="center"/>
        <w:rPr>
          <w:b/>
          <w:bCs/>
          <w:color w:val="44546A" w:themeColor="text2"/>
          <w:sz w:val="24"/>
          <w:szCs w:val="24"/>
        </w:rPr>
      </w:pPr>
    </w:p>
    <w:p w:rsidR="00CE00D2" w:rsidRPr="00CE00D2" w:rsidRDefault="009021E0" w:rsidP="00CE00D2">
      <w:pPr>
        <w:pStyle w:val="NoSpacing"/>
        <w:rPr>
          <w:b/>
          <w:sz w:val="24"/>
        </w:rPr>
      </w:pPr>
      <w:r w:rsidRPr="00CE00D2">
        <w:rPr>
          <w:b/>
          <w:sz w:val="24"/>
        </w:rPr>
        <w:t xml:space="preserve">Date:  </w:t>
      </w:r>
      <w:r w:rsidR="00576FF4" w:rsidRPr="00CE00D2">
        <w:rPr>
          <w:b/>
          <w:sz w:val="24"/>
        </w:rPr>
        <w:t>6</w:t>
      </w:r>
      <w:r w:rsidRPr="00CE00D2">
        <w:rPr>
          <w:b/>
          <w:sz w:val="24"/>
        </w:rPr>
        <w:t xml:space="preserve"> April 2020</w:t>
      </w:r>
    </w:p>
    <w:p w:rsidR="00CE00D2" w:rsidRDefault="00CE00D2" w:rsidP="00CE00D2">
      <w:pPr>
        <w:pStyle w:val="NoSpacing"/>
        <w:rPr>
          <w:b/>
          <w:sz w:val="24"/>
        </w:rPr>
      </w:pPr>
      <w:r w:rsidRPr="00CE00D2">
        <w:rPr>
          <w:b/>
          <w:sz w:val="24"/>
        </w:rPr>
        <w:t>Updated: 9 April 2020</w:t>
      </w:r>
    </w:p>
    <w:p w:rsidR="00CE00D2" w:rsidRPr="00CE00D2" w:rsidRDefault="00CE00D2" w:rsidP="00CE00D2">
      <w:pPr>
        <w:pStyle w:val="NoSpacing"/>
        <w:rPr>
          <w:b/>
          <w:sz w:val="24"/>
        </w:rPr>
      </w:pPr>
    </w:p>
    <w:p w:rsidR="00031D69" w:rsidRPr="00576FF4" w:rsidRDefault="00031D69" w:rsidP="00031D69">
      <w:pPr>
        <w:ind w:left="709" w:hanging="709"/>
        <w:rPr>
          <w:rFonts w:eastAsia="Times New Roman" w:cs="Segoe UI"/>
          <w:b/>
          <w:bCs/>
          <w:sz w:val="24"/>
          <w:szCs w:val="24"/>
        </w:rPr>
      </w:pPr>
      <w:r w:rsidRPr="00576FF4">
        <w:rPr>
          <w:b/>
          <w:bCs/>
          <w:sz w:val="24"/>
          <w:szCs w:val="24"/>
        </w:rPr>
        <w:t xml:space="preserve">Q1: </w:t>
      </w:r>
      <w:r w:rsidRPr="00576FF4">
        <w:rPr>
          <w:b/>
          <w:bCs/>
          <w:sz w:val="24"/>
          <w:szCs w:val="24"/>
        </w:rPr>
        <w:tab/>
      </w:r>
      <w:r w:rsidRPr="00576FF4">
        <w:rPr>
          <w:rFonts w:eastAsia="Times New Roman" w:cs="Segoe UI"/>
          <w:b/>
          <w:bCs/>
          <w:sz w:val="24"/>
          <w:szCs w:val="24"/>
        </w:rPr>
        <w:t>Can you confirm if the budget of £100,000 includes or excludes VAT? I.e. if it includes it, the pre-tax budget is £83,333.</w:t>
      </w:r>
    </w:p>
    <w:p w:rsidR="00031D69" w:rsidRPr="00576FF4" w:rsidRDefault="00031D69" w:rsidP="00031D69">
      <w:pPr>
        <w:ind w:left="709"/>
        <w:rPr>
          <w:rFonts w:eastAsia="Times New Roman" w:cs="Segoe UI"/>
          <w:sz w:val="24"/>
          <w:szCs w:val="24"/>
        </w:rPr>
      </w:pPr>
      <w:r w:rsidRPr="00576FF4">
        <w:rPr>
          <w:rFonts w:eastAsia="Times New Roman" w:cs="Segoe UI"/>
          <w:sz w:val="24"/>
          <w:szCs w:val="24"/>
        </w:rPr>
        <w:t>As stated in the ITT, the ‘budget is £100,000 (including VAT and all expenses)’. VAT is expected to be added at the prevailing rate.</w:t>
      </w:r>
    </w:p>
    <w:p w:rsidR="00031D69" w:rsidRPr="00576FF4" w:rsidRDefault="00031D69" w:rsidP="00832E26">
      <w:pPr>
        <w:ind w:left="709" w:hanging="709"/>
        <w:rPr>
          <w:rFonts w:eastAsia="Times New Roman" w:cs="Segoe UI"/>
          <w:b/>
          <w:bCs/>
          <w:sz w:val="24"/>
          <w:szCs w:val="24"/>
        </w:rPr>
      </w:pPr>
      <w:r w:rsidRPr="00576FF4">
        <w:rPr>
          <w:rFonts w:eastAsia="Times New Roman" w:cs="Calibri"/>
          <w:b/>
          <w:bCs/>
          <w:sz w:val="24"/>
          <w:szCs w:val="24"/>
        </w:rPr>
        <w:t xml:space="preserve">Q2 </w:t>
      </w:r>
      <w:r w:rsidRPr="00576FF4">
        <w:rPr>
          <w:rFonts w:eastAsia="Times New Roman" w:cs="Calibri"/>
          <w:b/>
          <w:bCs/>
          <w:sz w:val="24"/>
          <w:szCs w:val="24"/>
        </w:rPr>
        <w:tab/>
      </w:r>
      <w:r w:rsidRPr="00576FF4">
        <w:rPr>
          <w:rFonts w:eastAsia="Times New Roman" w:cs="Segoe UI"/>
          <w:b/>
          <w:bCs/>
          <w:sz w:val="24"/>
          <w:szCs w:val="24"/>
        </w:rPr>
        <w:t>Are you happy for bids to offer optional costs that might go beyond the stated budget?</w:t>
      </w:r>
    </w:p>
    <w:p w:rsidR="00031D69" w:rsidRPr="00576FF4" w:rsidRDefault="00031D69" w:rsidP="00031D69">
      <w:pPr>
        <w:ind w:left="709"/>
        <w:rPr>
          <w:rFonts w:eastAsia="Times New Roman" w:cs="Segoe UI"/>
          <w:sz w:val="24"/>
          <w:szCs w:val="24"/>
        </w:rPr>
      </w:pPr>
      <w:r w:rsidRPr="00576FF4">
        <w:rPr>
          <w:rFonts w:eastAsia="Times New Roman" w:cs="Segoe UI"/>
          <w:sz w:val="24"/>
          <w:szCs w:val="24"/>
        </w:rPr>
        <w:t>The budget is £100,000 as stated in the ITT. Optional costs beyond the budget will not be evaluated.</w:t>
      </w:r>
    </w:p>
    <w:p w:rsidR="00031D69" w:rsidRPr="00576FF4" w:rsidRDefault="00031D69" w:rsidP="00031D69">
      <w:pPr>
        <w:ind w:left="709" w:hanging="709"/>
        <w:rPr>
          <w:rFonts w:eastAsia="Times New Roman" w:cs="Segoe UI"/>
          <w:b/>
          <w:bCs/>
          <w:sz w:val="24"/>
          <w:szCs w:val="24"/>
        </w:rPr>
      </w:pPr>
      <w:r w:rsidRPr="00576FF4">
        <w:rPr>
          <w:rFonts w:eastAsia="Times New Roman" w:cs="Segoe UI"/>
          <w:b/>
          <w:bCs/>
          <w:sz w:val="24"/>
          <w:szCs w:val="24"/>
        </w:rPr>
        <w:t>Q3</w:t>
      </w:r>
      <w:r w:rsidRPr="00576FF4">
        <w:rPr>
          <w:rFonts w:eastAsia="Times New Roman" w:cs="Segoe UI"/>
          <w:b/>
          <w:bCs/>
          <w:sz w:val="24"/>
          <w:szCs w:val="24"/>
        </w:rPr>
        <w:tab/>
        <w:t>There are a large number of diverse audiences to include in the research. It may not be possible within your budget to include all of these. If we need to prioritise certain groups, which ones would ARB consider as higher or lower priorities?</w:t>
      </w:r>
    </w:p>
    <w:p w:rsidR="00031D69" w:rsidRPr="00576FF4" w:rsidRDefault="00031D69" w:rsidP="00C307A7">
      <w:pPr>
        <w:ind w:left="709"/>
        <w:rPr>
          <w:rFonts w:eastAsia="Times New Roman" w:cs="Segoe UI"/>
          <w:sz w:val="24"/>
          <w:szCs w:val="24"/>
        </w:rPr>
      </w:pPr>
      <w:r w:rsidRPr="00576FF4">
        <w:rPr>
          <w:rFonts w:eastAsia="Times New Roman" w:cs="Segoe UI"/>
          <w:sz w:val="24"/>
          <w:szCs w:val="24"/>
        </w:rPr>
        <w:t>If this is the case, we would like to hear the bidder’s rationale for prioritisation, which would demonstrate an understanding of the objectives of the research.</w:t>
      </w:r>
    </w:p>
    <w:p w:rsidR="00031D69" w:rsidRPr="00576FF4" w:rsidRDefault="00031D69" w:rsidP="00031D69">
      <w:pPr>
        <w:ind w:left="709" w:hanging="709"/>
        <w:rPr>
          <w:rFonts w:eastAsia="Times New Roman" w:cs="Segoe UI"/>
          <w:b/>
          <w:bCs/>
          <w:sz w:val="24"/>
          <w:szCs w:val="24"/>
        </w:rPr>
      </w:pPr>
      <w:r w:rsidRPr="00576FF4">
        <w:rPr>
          <w:rFonts w:eastAsia="Times New Roman" w:cs="Segoe UI"/>
          <w:b/>
          <w:bCs/>
          <w:sz w:val="24"/>
          <w:szCs w:val="24"/>
        </w:rPr>
        <w:t>Q4</w:t>
      </w:r>
      <w:r w:rsidRPr="00576FF4">
        <w:rPr>
          <w:rFonts w:eastAsia="Times New Roman" w:cs="Segoe UI"/>
          <w:b/>
          <w:bCs/>
          <w:sz w:val="24"/>
          <w:szCs w:val="24"/>
        </w:rPr>
        <w:tab/>
        <w:t>Can you explain your thinking behind a survey of individual architects (not architecture businesses/employers)? This is one of the boxes ticked under the survey column in your table.</w:t>
      </w:r>
    </w:p>
    <w:p w:rsidR="00031D69" w:rsidRPr="00576FF4" w:rsidRDefault="00031D69" w:rsidP="00031D69">
      <w:pPr>
        <w:ind w:left="709"/>
        <w:rPr>
          <w:rFonts w:eastAsia="Times New Roman" w:cs="Calibri"/>
          <w:sz w:val="24"/>
          <w:szCs w:val="24"/>
        </w:rPr>
      </w:pPr>
      <w:r w:rsidRPr="00576FF4">
        <w:rPr>
          <w:rFonts w:eastAsia="Times New Roman" w:cs="Calibri"/>
          <w:sz w:val="24"/>
          <w:szCs w:val="24"/>
        </w:rPr>
        <w:t xml:space="preserve">The box for </w:t>
      </w:r>
      <w:r w:rsidR="00C307A7" w:rsidRPr="00576FF4">
        <w:rPr>
          <w:rFonts w:eastAsia="Times New Roman" w:cs="Calibri"/>
          <w:sz w:val="24"/>
          <w:szCs w:val="24"/>
        </w:rPr>
        <w:t xml:space="preserve">a survey of </w:t>
      </w:r>
      <w:r w:rsidRPr="00576FF4">
        <w:rPr>
          <w:rFonts w:eastAsia="Times New Roman" w:cs="Calibri"/>
          <w:sz w:val="24"/>
          <w:szCs w:val="24"/>
        </w:rPr>
        <w:t>Architecture employers is ticked.</w:t>
      </w:r>
      <w:r w:rsidR="00C307A7" w:rsidRPr="00576FF4">
        <w:rPr>
          <w:rFonts w:eastAsia="Times New Roman" w:cs="Calibri"/>
          <w:sz w:val="24"/>
          <w:szCs w:val="24"/>
        </w:rPr>
        <w:t xml:space="preserve"> Individual architects are vital to informing this review.</w:t>
      </w:r>
    </w:p>
    <w:p w:rsidR="00031D69" w:rsidRPr="00576FF4" w:rsidRDefault="00031D69" w:rsidP="00031D69">
      <w:pPr>
        <w:spacing w:after="0" w:line="240" w:lineRule="auto"/>
        <w:ind w:left="709" w:hanging="709"/>
        <w:rPr>
          <w:rFonts w:eastAsia="Times New Roman" w:cs="Segoe UI"/>
          <w:b/>
          <w:bCs/>
          <w:sz w:val="24"/>
          <w:szCs w:val="24"/>
        </w:rPr>
      </w:pPr>
      <w:r w:rsidRPr="00576FF4">
        <w:rPr>
          <w:rFonts w:eastAsia="Times New Roman" w:cs="Segoe UI"/>
          <w:b/>
          <w:bCs/>
          <w:sz w:val="24"/>
          <w:szCs w:val="24"/>
        </w:rPr>
        <w:t>Q5</w:t>
      </w:r>
      <w:r w:rsidRPr="00576FF4">
        <w:rPr>
          <w:rFonts w:eastAsia="Times New Roman" w:cs="Segoe UI"/>
          <w:b/>
          <w:bCs/>
          <w:sz w:val="24"/>
          <w:szCs w:val="24"/>
        </w:rPr>
        <w:tab/>
        <w:t>Do you have any estimates or information on the proportion of UK construction firms and local authorities that employ architects?</w:t>
      </w:r>
    </w:p>
    <w:p w:rsidR="00031D69" w:rsidRPr="00576FF4" w:rsidRDefault="00031D69" w:rsidP="00031D69">
      <w:pPr>
        <w:spacing w:after="0" w:line="240" w:lineRule="auto"/>
        <w:ind w:left="709" w:hanging="709"/>
        <w:rPr>
          <w:rFonts w:eastAsia="Times New Roman" w:cs="Segoe UI"/>
          <w:b/>
          <w:bCs/>
          <w:sz w:val="24"/>
          <w:szCs w:val="24"/>
        </w:rPr>
      </w:pPr>
    </w:p>
    <w:p w:rsidR="00031D69" w:rsidRPr="00576FF4" w:rsidRDefault="00C307A7" w:rsidP="00C307A7">
      <w:pPr>
        <w:spacing w:after="0" w:line="240" w:lineRule="auto"/>
        <w:ind w:left="709"/>
        <w:rPr>
          <w:rFonts w:eastAsia="Times New Roman" w:cs="Segoe UI"/>
          <w:sz w:val="24"/>
          <w:szCs w:val="24"/>
        </w:rPr>
      </w:pPr>
      <w:r w:rsidRPr="00576FF4">
        <w:rPr>
          <w:rFonts w:eastAsia="Times New Roman" w:cs="Segoe UI"/>
          <w:sz w:val="24"/>
          <w:szCs w:val="24"/>
        </w:rPr>
        <w:t xml:space="preserve">The ARB does not hold estimates of this and will be looking to bidders to suggest means of reaching employers of architects. </w:t>
      </w:r>
    </w:p>
    <w:p w:rsidR="00C307A7" w:rsidRPr="00576FF4" w:rsidRDefault="00C307A7" w:rsidP="00031D69">
      <w:pPr>
        <w:spacing w:after="0" w:line="240" w:lineRule="auto"/>
        <w:rPr>
          <w:rFonts w:eastAsia="Times New Roman" w:cs="Segoe UI"/>
          <w:sz w:val="24"/>
          <w:szCs w:val="24"/>
        </w:rPr>
      </w:pPr>
    </w:p>
    <w:p w:rsidR="00031D69" w:rsidRPr="00576FF4" w:rsidRDefault="00031D69" w:rsidP="00031D69">
      <w:pPr>
        <w:spacing w:after="0" w:line="240" w:lineRule="auto"/>
        <w:rPr>
          <w:rFonts w:eastAsia="Times New Roman" w:cs="Calibri"/>
          <w:b/>
          <w:bCs/>
          <w:sz w:val="24"/>
          <w:szCs w:val="24"/>
        </w:rPr>
      </w:pPr>
      <w:r w:rsidRPr="00576FF4">
        <w:rPr>
          <w:rFonts w:eastAsia="Times New Roman" w:cs="Segoe UI"/>
          <w:b/>
          <w:bCs/>
          <w:sz w:val="24"/>
          <w:szCs w:val="24"/>
        </w:rPr>
        <w:t>Q6</w:t>
      </w:r>
      <w:r w:rsidRPr="00576FF4">
        <w:rPr>
          <w:rFonts w:eastAsia="Times New Roman" w:cs="Segoe UI"/>
          <w:b/>
          <w:bCs/>
          <w:sz w:val="24"/>
          <w:szCs w:val="24"/>
        </w:rPr>
        <w:tab/>
        <w:t>When is the stage 1 review intended to be completed?</w:t>
      </w:r>
    </w:p>
    <w:p w:rsidR="00FB374E" w:rsidRDefault="00031D69" w:rsidP="00FB374E">
      <w:pPr>
        <w:ind w:firstLine="709"/>
        <w:rPr>
          <w:sz w:val="24"/>
          <w:szCs w:val="24"/>
        </w:rPr>
      </w:pPr>
      <w:r w:rsidRPr="00576FF4">
        <w:rPr>
          <w:sz w:val="24"/>
          <w:szCs w:val="24"/>
        </w:rPr>
        <w:t>This is intended to be completed by the time of appointment.</w:t>
      </w:r>
    </w:p>
    <w:p w:rsidR="00FB374E" w:rsidRPr="00FB374E" w:rsidRDefault="00FB374E" w:rsidP="00FB374E">
      <w:pPr>
        <w:ind w:firstLine="709"/>
        <w:rPr>
          <w:sz w:val="24"/>
          <w:szCs w:val="24"/>
        </w:rPr>
      </w:pPr>
    </w:p>
    <w:p w:rsidR="00104786" w:rsidRPr="00576FF4" w:rsidRDefault="00104786" w:rsidP="00104786">
      <w:pPr>
        <w:ind w:left="709" w:hanging="709"/>
        <w:rPr>
          <w:rFonts w:eastAsia="Times New Roman" w:cs="Segoe UI"/>
          <w:b/>
          <w:bCs/>
          <w:sz w:val="24"/>
          <w:szCs w:val="24"/>
        </w:rPr>
      </w:pPr>
      <w:r w:rsidRPr="00576FF4">
        <w:rPr>
          <w:b/>
          <w:bCs/>
          <w:sz w:val="24"/>
          <w:szCs w:val="24"/>
        </w:rPr>
        <w:t xml:space="preserve">Q7: </w:t>
      </w:r>
      <w:r w:rsidRPr="00576FF4">
        <w:rPr>
          <w:b/>
          <w:bCs/>
          <w:sz w:val="24"/>
          <w:szCs w:val="24"/>
        </w:rPr>
        <w:tab/>
      </w:r>
      <w:r w:rsidRPr="00576FF4">
        <w:rPr>
          <w:rFonts w:eastAsia="Times New Roman" w:cs="Segoe UI"/>
          <w:b/>
          <w:bCs/>
          <w:sz w:val="24"/>
          <w:szCs w:val="24"/>
        </w:rPr>
        <w:t>Does the ARB have email addresses for its 42,000 registered members? How up to date are these email addresses (e.g. based on how often you contact registered members)?</w:t>
      </w:r>
    </w:p>
    <w:p w:rsidR="00104786" w:rsidRPr="00576FF4" w:rsidRDefault="00832E26" w:rsidP="00832E26">
      <w:pPr>
        <w:ind w:left="709" w:firstLine="11"/>
        <w:rPr>
          <w:rFonts w:eastAsia="Times New Roman" w:cs="Segoe UI"/>
          <w:sz w:val="24"/>
          <w:szCs w:val="24"/>
        </w:rPr>
      </w:pPr>
      <w:r>
        <w:rPr>
          <w:rFonts w:eastAsia="Times New Roman" w:cs="Segoe UI"/>
          <w:sz w:val="24"/>
          <w:szCs w:val="24"/>
        </w:rPr>
        <w:lastRenderedPageBreak/>
        <w:t xml:space="preserve">ARB holds email addresses for </w:t>
      </w:r>
      <w:r w:rsidR="00C60CB0">
        <w:rPr>
          <w:rFonts w:eastAsia="Times New Roman" w:cs="Segoe UI"/>
          <w:sz w:val="24"/>
          <w:szCs w:val="24"/>
        </w:rPr>
        <w:t>approximately</w:t>
      </w:r>
      <w:r>
        <w:rPr>
          <w:rFonts w:eastAsia="Times New Roman" w:cs="Segoe UI"/>
          <w:sz w:val="24"/>
          <w:szCs w:val="24"/>
        </w:rPr>
        <w:t xml:space="preserve"> </w:t>
      </w:r>
      <w:r w:rsidR="00C60CB0">
        <w:rPr>
          <w:rFonts w:eastAsia="Times New Roman" w:cs="Segoe UI"/>
          <w:sz w:val="24"/>
          <w:szCs w:val="24"/>
        </w:rPr>
        <w:t>98.5</w:t>
      </w:r>
      <w:r>
        <w:rPr>
          <w:rFonts w:eastAsia="Times New Roman" w:cs="Segoe UI"/>
          <w:sz w:val="24"/>
          <w:szCs w:val="24"/>
        </w:rPr>
        <w:t xml:space="preserve">% of the Register. Regularly communication is made to architects by email, and although ARB carries out periodic cleaning procedures, it </w:t>
      </w:r>
      <w:r w:rsidR="00C60CB0">
        <w:rPr>
          <w:rFonts w:eastAsia="Times New Roman" w:cs="Segoe UI"/>
          <w:sz w:val="24"/>
          <w:szCs w:val="24"/>
        </w:rPr>
        <w:t>is reasonable to assume that inaccuracies will reduce that figure to 95.5%.</w:t>
      </w:r>
    </w:p>
    <w:p w:rsidR="00104786" w:rsidRPr="00576FF4" w:rsidRDefault="00104786" w:rsidP="00104786">
      <w:pPr>
        <w:ind w:left="709" w:hanging="709"/>
        <w:rPr>
          <w:rFonts w:eastAsia="Times New Roman" w:cs="Segoe UI"/>
          <w:b/>
          <w:bCs/>
          <w:sz w:val="24"/>
          <w:szCs w:val="24"/>
        </w:rPr>
      </w:pPr>
      <w:r w:rsidRPr="00576FF4">
        <w:rPr>
          <w:rFonts w:eastAsia="Times New Roman" w:cs="Calibri"/>
          <w:b/>
          <w:bCs/>
          <w:sz w:val="24"/>
          <w:szCs w:val="24"/>
        </w:rPr>
        <w:t xml:space="preserve">Q8 </w:t>
      </w:r>
      <w:r w:rsidRPr="00576FF4">
        <w:rPr>
          <w:rFonts w:eastAsia="Times New Roman" w:cs="Calibri"/>
          <w:b/>
          <w:bCs/>
          <w:sz w:val="24"/>
          <w:szCs w:val="24"/>
        </w:rPr>
        <w:tab/>
      </w:r>
      <w:r w:rsidRPr="00576FF4">
        <w:rPr>
          <w:rFonts w:eastAsia="Times New Roman" w:cs="Segoe UI"/>
          <w:b/>
          <w:bCs/>
          <w:sz w:val="24"/>
          <w:szCs w:val="24"/>
        </w:rPr>
        <w:t>If you do not have emails, do you have any other contact details for your members (other than address)?</w:t>
      </w:r>
    </w:p>
    <w:p w:rsidR="00104786" w:rsidRDefault="00576FF4" w:rsidP="00104786">
      <w:pPr>
        <w:ind w:left="709"/>
        <w:rPr>
          <w:rFonts w:eastAsia="Times New Roman" w:cs="Segoe UI"/>
          <w:sz w:val="24"/>
          <w:szCs w:val="24"/>
        </w:rPr>
      </w:pPr>
      <w:r>
        <w:rPr>
          <w:rFonts w:eastAsia="Times New Roman" w:cs="Segoe UI"/>
          <w:sz w:val="24"/>
          <w:szCs w:val="24"/>
        </w:rPr>
        <w:t>Not applicable</w:t>
      </w:r>
    </w:p>
    <w:p w:rsidR="00CE00D2" w:rsidRDefault="00CE00D2" w:rsidP="00CE00D2">
      <w:pPr>
        <w:rPr>
          <w:rFonts w:eastAsia="Times New Roman" w:cs="Segoe UI"/>
          <w:sz w:val="24"/>
          <w:szCs w:val="24"/>
        </w:rPr>
      </w:pPr>
    </w:p>
    <w:p w:rsidR="00CE00D2" w:rsidRDefault="00CE00D2" w:rsidP="00CE00D2">
      <w:pPr>
        <w:ind w:left="709" w:hanging="709"/>
        <w:rPr>
          <w:b/>
          <w:sz w:val="24"/>
        </w:rPr>
      </w:pPr>
      <w:r>
        <w:rPr>
          <w:rFonts w:eastAsia="Times New Roman" w:cs="Segoe UI"/>
          <w:b/>
          <w:sz w:val="24"/>
          <w:szCs w:val="24"/>
        </w:rPr>
        <w:t xml:space="preserve">Q9 </w:t>
      </w:r>
      <w:r>
        <w:rPr>
          <w:rFonts w:eastAsia="Times New Roman" w:cs="Segoe UI"/>
          <w:b/>
          <w:sz w:val="24"/>
          <w:szCs w:val="24"/>
        </w:rPr>
        <w:tab/>
        <w:t>The ITT mentions that value for money will be assessed based on costs submitted in the</w:t>
      </w:r>
      <w:r w:rsidRPr="00CE00D2">
        <w:rPr>
          <w:rFonts w:eastAsia="Times New Roman" w:cs="Segoe UI"/>
          <w:b/>
          <w:sz w:val="28"/>
          <w:szCs w:val="24"/>
        </w:rPr>
        <w:t xml:space="preserve"> </w:t>
      </w:r>
      <w:r w:rsidRPr="00CE00D2">
        <w:rPr>
          <w:b/>
          <w:sz w:val="24"/>
        </w:rPr>
        <w:t>‘price schedule’. Is the price schedule a specific template you wish us to use (and if so where can access it), or is that just a reference to the set of costs that will be set out in the bid?</w:t>
      </w:r>
    </w:p>
    <w:p w:rsidR="00CE00D2" w:rsidRPr="00CE00D2" w:rsidRDefault="00CE00D2" w:rsidP="00CE00D2">
      <w:pPr>
        <w:ind w:left="709" w:hanging="709"/>
        <w:rPr>
          <w:rFonts w:eastAsia="Times New Roman" w:cs="Segoe UI"/>
          <w:sz w:val="24"/>
          <w:szCs w:val="24"/>
        </w:rPr>
      </w:pPr>
      <w:r>
        <w:rPr>
          <w:rFonts w:eastAsia="Times New Roman" w:cs="Segoe UI"/>
          <w:b/>
          <w:sz w:val="24"/>
          <w:szCs w:val="24"/>
        </w:rPr>
        <w:tab/>
      </w:r>
      <w:r>
        <w:rPr>
          <w:rFonts w:eastAsia="Times New Roman" w:cs="Segoe UI"/>
          <w:sz w:val="24"/>
          <w:szCs w:val="24"/>
        </w:rPr>
        <w:t>There is no template, but we provided guidance on how costs should be presented in Evaluation Criteria 5:</w:t>
      </w:r>
    </w:p>
    <w:p w:rsidR="00CE00D2" w:rsidRPr="00CE00D2" w:rsidRDefault="00CE00D2" w:rsidP="00CE00D2">
      <w:pPr>
        <w:pStyle w:val="NoSpacing"/>
        <w:spacing w:after="120" w:line="252" w:lineRule="auto"/>
        <w:rPr>
          <w:rFonts w:ascii="Calibri" w:hAnsi="Calibri"/>
          <w:b/>
          <w:bCs/>
          <w:i/>
          <w:sz w:val="24"/>
        </w:rPr>
      </w:pPr>
      <w:r>
        <w:rPr>
          <w:rFonts w:ascii="Calibri" w:hAnsi="Calibri"/>
          <w:b/>
          <w:bCs/>
          <w:i/>
          <w:sz w:val="24"/>
        </w:rPr>
        <w:t>“</w:t>
      </w:r>
      <w:r w:rsidRPr="00CE00D2">
        <w:rPr>
          <w:rFonts w:ascii="Calibri" w:hAnsi="Calibri"/>
          <w:b/>
          <w:bCs/>
          <w:i/>
          <w:sz w:val="24"/>
        </w:rPr>
        <w:t>Value for money based on the costs in the submitted detailed price schedule</w:t>
      </w:r>
    </w:p>
    <w:p w:rsidR="00CE00D2" w:rsidRPr="00CE00D2" w:rsidRDefault="00CE00D2" w:rsidP="00CE00D2">
      <w:pPr>
        <w:pStyle w:val="NoSpacing"/>
        <w:spacing w:after="120" w:line="252" w:lineRule="auto"/>
        <w:rPr>
          <w:rFonts w:ascii="Calibri" w:hAnsi="Calibri"/>
          <w:i/>
          <w:sz w:val="24"/>
        </w:rPr>
      </w:pPr>
      <w:r w:rsidRPr="00CE00D2">
        <w:rPr>
          <w:rFonts w:ascii="Calibri" w:hAnsi="Calibri"/>
          <w:i/>
          <w:sz w:val="24"/>
          <w:u w:val="single"/>
        </w:rPr>
        <w:t>Guidance to tenderers</w:t>
      </w:r>
      <w:r w:rsidRPr="00CE00D2">
        <w:rPr>
          <w:rFonts w:ascii="Calibri" w:hAnsi="Calibri"/>
          <w:i/>
          <w:sz w:val="24"/>
        </w:rPr>
        <w:t xml:space="preserve">: The total cost should be quoted in sterling (excl. and incl. VAT). Separate aspects of the study (literature review/secondary analysis/initial interviews/survey [including cost per interview]/deliberative inquiry/analysis and reporting/project management) are to be individually priced and attributed to specific members of the project team along with the estimated number of days clearly stated and day rates for project team included (exc. VAT).  </w:t>
      </w:r>
    </w:p>
    <w:p w:rsidR="00CE00D2" w:rsidRPr="00CE00D2" w:rsidRDefault="00CE00D2" w:rsidP="00CE00D2">
      <w:pPr>
        <w:rPr>
          <w:rFonts w:ascii="Calibri" w:hAnsi="Calibri"/>
          <w:i/>
          <w:sz w:val="24"/>
        </w:rPr>
      </w:pPr>
      <w:r w:rsidRPr="00CE00D2">
        <w:rPr>
          <w:i/>
          <w:sz w:val="24"/>
        </w:rPr>
        <w:t>Fees should be inclusive of the time and travel costs for meetings, face-to-face interviews, etc.</w:t>
      </w:r>
      <w:r>
        <w:rPr>
          <w:i/>
          <w:sz w:val="24"/>
        </w:rPr>
        <w:t>”</w:t>
      </w:r>
      <w:bookmarkStart w:id="0" w:name="_GoBack"/>
      <w:bookmarkEnd w:id="0"/>
    </w:p>
    <w:p w:rsidR="00104786" w:rsidRDefault="00104786" w:rsidP="00D21DDC">
      <w:pPr>
        <w:ind w:left="709" w:hanging="709"/>
      </w:pPr>
    </w:p>
    <w:p w:rsidR="00104786" w:rsidRDefault="00104786" w:rsidP="00C307A7">
      <w:pPr>
        <w:ind w:firstLine="709"/>
      </w:pPr>
    </w:p>
    <w:sectPr w:rsidR="00104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0A8E"/>
    <w:multiLevelType w:val="multilevel"/>
    <w:tmpl w:val="389E6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E0"/>
    <w:rsid w:val="00031D69"/>
    <w:rsid w:val="00104786"/>
    <w:rsid w:val="002C7824"/>
    <w:rsid w:val="00576FF4"/>
    <w:rsid w:val="00734522"/>
    <w:rsid w:val="00832E26"/>
    <w:rsid w:val="0087102B"/>
    <w:rsid w:val="009021E0"/>
    <w:rsid w:val="00940692"/>
    <w:rsid w:val="00C307A7"/>
    <w:rsid w:val="00C60CB0"/>
    <w:rsid w:val="00CE00D2"/>
    <w:rsid w:val="00D21DDC"/>
    <w:rsid w:val="00E40126"/>
    <w:rsid w:val="00EF6428"/>
    <w:rsid w:val="00FB374E"/>
    <w:rsid w:val="00FC3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7A7"/>
    <w:rPr>
      <w:rFonts w:ascii="Segoe UI" w:hAnsi="Segoe UI" w:cs="Segoe UI"/>
      <w:sz w:val="18"/>
      <w:szCs w:val="18"/>
    </w:rPr>
  </w:style>
  <w:style w:type="paragraph" w:styleId="NoSpacing">
    <w:name w:val="No Spacing"/>
    <w:aliases w:val="Contents and Appendix,Title and author"/>
    <w:uiPriority w:val="1"/>
    <w:qFormat/>
    <w:rsid w:val="00CE00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7A7"/>
    <w:rPr>
      <w:rFonts w:ascii="Segoe UI" w:hAnsi="Segoe UI" w:cs="Segoe UI"/>
      <w:sz w:val="18"/>
      <w:szCs w:val="18"/>
    </w:rPr>
  </w:style>
  <w:style w:type="paragraph" w:styleId="NoSpacing">
    <w:name w:val="No Spacing"/>
    <w:aliases w:val="Contents and Appendix,Title and author"/>
    <w:uiPriority w:val="1"/>
    <w:qFormat/>
    <w:rsid w:val="00CE00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13944">
      <w:bodyDiv w:val="1"/>
      <w:marLeft w:val="0"/>
      <w:marRight w:val="0"/>
      <w:marTop w:val="0"/>
      <w:marBottom w:val="0"/>
      <w:divBdr>
        <w:top w:val="none" w:sz="0" w:space="0" w:color="auto"/>
        <w:left w:val="none" w:sz="0" w:space="0" w:color="auto"/>
        <w:bottom w:val="none" w:sz="0" w:space="0" w:color="auto"/>
        <w:right w:val="none" w:sz="0" w:space="0" w:color="auto"/>
      </w:divBdr>
    </w:div>
    <w:div w:id="660932818">
      <w:bodyDiv w:val="1"/>
      <w:marLeft w:val="0"/>
      <w:marRight w:val="0"/>
      <w:marTop w:val="0"/>
      <w:marBottom w:val="0"/>
      <w:divBdr>
        <w:top w:val="none" w:sz="0" w:space="0" w:color="auto"/>
        <w:left w:val="none" w:sz="0" w:space="0" w:color="auto"/>
        <w:bottom w:val="none" w:sz="0" w:space="0" w:color="auto"/>
        <w:right w:val="none" w:sz="0" w:space="0" w:color="auto"/>
      </w:divBdr>
    </w:div>
    <w:div w:id="178326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ARB</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Stanfield</dc:creator>
  <cp:lastModifiedBy>Holly Wignall</cp:lastModifiedBy>
  <cp:revision>2</cp:revision>
  <dcterms:created xsi:type="dcterms:W3CDTF">2020-04-09T15:57:00Z</dcterms:created>
  <dcterms:modified xsi:type="dcterms:W3CDTF">2020-04-09T15:57:00Z</dcterms:modified>
</cp:coreProperties>
</file>