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886A3" w14:textId="7403CE19" w:rsidR="00475FD9" w:rsidRPr="00EE5AE1" w:rsidRDefault="00475FD9" w:rsidP="00475FD9">
      <w:pPr>
        <w:pStyle w:val="Chapter"/>
      </w:pPr>
      <w:bookmarkStart w:id="0" w:name="_Toc527619962"/>
      <w:bookmarkStart w:id="1" w:name="_Toc278544909"/>
      <w:r>
        <w:t>Service Description</w:t>
      </w:r>
      <w:bookmarkEnd w:id="0"/>
    </w:p>
    <w:p w14:paraId="37E1ED1D" w14:textId="77777777" w:rsidR="00475FD9" w:rsidRDefault="00475FD9" w:rsidP="00FA5229">
      <w:pPr>
        <w:pStyle w:val="bodystrongcentred"/>
        <w:rPr>
          <w:rFonts w:ascii="Calibri" w:hAnsi="Calibri"/>
        </w:rPr>
      </w:pPr>
    </w:p>
    <w:p w14:paraId="71523977" w14:textId="77777777" w:rsidR="00910C2D" w:rsidRDefault="00910C2D" w:rsidP="00910C2D">
      <w:pPr>
        <w:pStyle w:val="bodystrongcentred"/>
        <w:jc w:val="left"/>
        <w:rPr>
          <w:rStyle w:val="Emphasis"/>
        </w:rPr>
      </w:pPr>
    </w:p>
    <w:p w14:paraId="7A737274" w14:textId="77777777" w:rsidR="00FA5229" w:rsidRDefault="00FA5229" w:rsidP="00910C2D">
      <w:pPr>
        <w:pStyle w:val="bodystrongcentred"/>
        <w:jc w:val="left"/>
        <w:rPr>
          <w:rStyle w:val="Emphasis"/>
        </w:rPr>
      </w:pPr>
      <w:r w:rsidRPr="00910C2D">
        <w:rPr>
          <w:rStyle w:val="Emphasis"/>
        </w:rPr>
        <w:t>CONTENTS</w:t>
      </w:r>
    </w:p>
    <w:p w14:paraId="39FABF75" w14:textId="77777777" w:rsidR="00910C2D" w:rsidRPr="00910C2D" w:rsidRDefault="00910C2D" w:rsidP="00910C2D">
      <w:pPr>
        <w:pStyle w:val="bodystrongcentred"/>
        <w:jc w:val="left"/>
        <w:rPr>
          <w:rStyle w:val="Emphasis"/>
        </w:rPr>
      </w:pPr>
    </w:p>
    <w:p w14:paraId="638FB3F5" w14:textId="77777777" w:rsidR="00FA5229" w:rsidRPr="00B3136B" w:rsidRDefault="00FA5229" w:rsidP="00FA5229">
      <w:pPr>
        <w:rPr>
          <w:rFonts w:ascii="Calibri" w:hAnsi="Calibri"/>
        </w:rPr>
      </w:pPr>
    </w:p>
    <w:p w14:paraId="1CE8D637" w14:textId="3DECE358" w:rsidR="00611A9C" w:rsidRDefault="00910C2D">
      <w:pPr>
        <w:pStyle w:val="TOC1"/>
        <w:rPr>
          <w:rFonts w:asciiTheme="minorHAnsi" w:eastAsiaTheme="minorEastAsia" w:hAnsiTheme="minorHAnsi" w:cstheme="minorBidi"/>
          <w:caps w:val="0"/>
          <w:noProof/>
          <w:sz w:val="22"/>
          <w:lang w:eastAsia="en-GB"/>
        </w:rPr>
      </w:pPr>
      <w:r>
        <w:rPr>
          <w:rFonts w:ascii="Calibri" w:hAnsi="Calibri"/>
          <w:caps w:val="0"/>
        </w:rPr>
        <w:fldChar w:fldCharType="begin"/>
      </w:r>
      <w:r>
        <w:rPr>
          <w:rFonts w:ascii="Calibri" w:hAnsi="Calibri"/>
          <w:caps w:val="0"/>
        </w:rPr>
        <w:instrText xml:space="preserve"> TOC \o "1-1" \h \z \u </w:instrText>
      </w:r>
      <w:r>
        <w:rPr>
          <w:rFonts w:ascii="Calibri" w:hAnsi="Calibri"/>
          <w:caps w:val="0"/>
        </w:rPr>
        <w:fldChar w:fldCharType="separate"/>
      </w:r>
      <w:hyperlink w:anchor="_Toc527619962" w:history="1">
        <w:r w:rsidR="00611A9C" w:rsidRPr="00801B78">
          <w:rPr>
            <w:rStyle w:val="Hyperlink"/>
            <w:noProof/>
          </w:rPr>
          <w:t>Service Description</w:t>
        </w:r>
        <w:r w:rsidR="00611A9C">
          <w:rPr>
            <w:noProof/>
            <w:webHidden/>
          </w:rPr>
          <w:tab/>
        </w:r>
        <w:r w:rsidR="00611A9C">
          <w:rPr>
            <w:noProof/>
            <w:webHidden/>
          </w:rPr>
          <w:fldChar w:fldCharType="begin"/>
        </w:r>
        <w:r w:rsidR="00611A9C">
          <w:rPr>
            <w:noProof/>
            <w:webHidden/>
          </w:rPr>
          <w:instrText xml:space="preserve"> PAGEREF _Toc527619962 \h </w:instrText>
        </w:r>
        <w:r w:rsidR="00611A9C">
          <w:rPr>
            <w:noProof/>
            <w:webHidden/>
          </w:rPr>
        </w:r>
        <w:r w:rsidR="00611A9C">
          <w:rPr>
            <w:noProof/>
            <w:webHidden/>
          </w:rPr>
          <w:fldChar w:fldCharType="separate"/>
        </w:r>
        <w:r w:rsidR="003154A6">
          <w:rPr>
            <w:noProof/>
            <w:webHidden/>
          </w:rPr>
          <w:t>1</w:t>
        </w:r>
        <w:r w:rsidR="00611A9C">
          <w:rPr>
            <w:noProof/>
            <w:webHidden/>
          </w:rPr>
          <w:fldChar w:fldCharType="end"/>
        </w:r>
      </w:hyperlink>
    </w:p>
    <w:p w14:paraId="2B6EBC92" w14:textId="10A94705" w:rsidR="00611A9C" w:rsidRDefault="00C55DBD">
      <w:pPr>
        <w:pStyle w:val="TOC1"/>
        <w:rPr>
          <w:rFonts w:asciiTheme="minorHAnsi" w:eastAsiaTheme="minorEastAsia" w:hAnsiTheme="minorHAnsi" w:cstheme="minorBidi"/>
          <w:caps w:val="0"/>
          <w:noProof/>
          <w:sz w:val="22"/>
          <w:lang w:eastAsia="en-GB"/>
        </w:rPr>
      </w:pPr>
      <w:hyperlink w:anchor="_Toc527619963" w:history="1">
        <w:r w:rsidR="00611A9C" w:rsidRPr="00801B78">
          <w:rPr>
            <w:rStyle w:val="Hyperlink"/>
            <w:noProof/>
          </w:rPr>
          <w:t>1.</w:t>
        </w:r>
        <w:r w:rsidR="00611A9C">
          <w:rPr>
            <w:rFonts w:asciiTheme="minorHAnsi" w:eastAsiaTheme="minorEastAsia" w:hAnsiTheme="minorHAnsi" w:cstheme="minorBidi"/>
            <w:caps w:val="0"/>
            <w:noProof/>
            <w:sz w:val="22"/>
            <w:lang w:eastAsia="en-GB"/>
          </w:rPr>
          <w:tab/>
        </w:r>
        <w:r w:rsidR="00611A9C" w:rsidRPr="00801B78">
          <w:rPr>
            <w:rStyle w:val="Hyperlink"/>
            <w:noProof/>
          </w:rPr>
          <w:t>INTRODUCTION</w:t>
        </w:r>
        <w:r w:rsidR="00611A9C">
          <w:rPr>
            <w:noProof/>
            <w:webHidden/>
          </w:rPr>
          <w:tab/>
        </w:r>
        <w:r w:rsidR="00611A9C">
          <w:rPr>
            <w:noProof/>
            <w:webHidden/>
          </w:rPr>
          <w:fldChar w:fldCharType="begin"/>
        </w:r>
        <w:r w:rsidR="00611A9C">
          <w:rPr>
            <w:noProof/>
            <w:webHidden/>
          </w:rPr>
          <w:instrText xml:space="preserve"> PAGEREF _Toc527619963 \h </w:instrText>
        </w:r>
        <w:r w:rsidR="00611A9C">
          <w:rPr>
            <w:noProof/>
            <w:webHidden/>
          </w:rPr>
        </w:r>
        <w:r w:rsidR="00611A9C">
          <w:rPr>
            <w:noProof/>
            <w:webHidden/>
          </w:rPr>
          <w:fldChar w:fldCharType="separate"/>
        </w:r>
        <w:r w:rsidR="003154A6">
          <w:rPr>
            <w:noProof/>
            <w:webHidden/>
          </w:rPr>
          <w:t>2</w:t>
        </w:r>
        <w:r w:rsidR="00611A9C">
          <w:rPr>
            <w:noProof/>
            <w:webHidden/>
          </w:rPr>
          <w:fldChar w:fldCharType="end"/>
        </w:r>
      </w:hyperlink>
    </w:p>
    <w:p w14:paraId="5244F68B" w14:textId="3872C6C4" w:rsidR="00611A9C" w:rsidRDefault="00C55DBD">
      <w:pPr>
        <w:pStyle w:val="TOC1"/>
        <w:rPr>
          <w:rFonts w:asciiTheme="minorHAnsi" w:eastAsiaTheme="minorEastAsia" w:hAnsiTheme="minorHAnsi" w:cstheme="minorBidi"/>
          <w:caps w:val="0"/>
          <w:noProof/>
          <w:sz w:val="22"/>
          <w:lang w:eastAsia="en-GB"/>
        </w:rPr>
      </w:pPr>
      <w:hyperlink w:anchor="_Toc527619964" w:history="1">
        <w:r w:rsidR="00611A9C" w:rsidRPr="00801B78">
          <w:rPr>
            <w:rStyle w:val="Hyperlink"/>
            <w:noProof/>
          </w:rPr>
          <w:t>2.</w:t>
        </w:r>
        <w:r w:rsidR="00611A9C">
          <w:rPr>
            <w:rFonts w:asciiTheme="minorHAnsi" w:eastAsiaTheme="minorEastAsia" w:hAnsiTheme="minorHAnsi" w:cstheme="minorBidi"/>
            <w:caps w:val="0"/>
            <w:noProof/>
            <w:sz w:val="22"/>
            <w:lang w:eastAsia="en-GB"/>
          </w:rPr>
          <w:tab/>
        </w:r>
        <w:r w:rsidR="00611A9C" w:rsidRPr="00801B78">
          <w:rPr>
            <w:rStyle w:val="Hyperlink"/>
            <w:noProof/>
          </w:rPr>
          <w:t>PURPOSE</w:t>
        </w:r>
        <w:r w:rsidR="00611A9C">
          <w:rPr>
            <w:noProof/>
            <w:webHidden/>
          </w:rPr>
          <w:tab/>
        </w:r>
        <w:r w:rsidR="00611A9C">
          <w:rPr>
            <w:noProof/>
            <w:webHidden/>
          </w:rPr>
          <w:fldChar w:fldCharType="begin"/>
        </w:r>
        <w:r w:rsidR="00611A9C">
          <w:rPr>
            <w:noProof/>
            <w:webHidden/>
          </w:rPr>
          <w:instrText xml:space="preserve"> PAGEREF _Toc527619964 \h </w:instrText>
        </w:r>
        <w:r w:rsidR="00611A9C">
          <w:rPr>
            <w:noProof/>
            <w:webHidden/>
          </w:rPr>
        </w:r>
        <w:r w:rsidR="00611A9C">
          <w:rPr>
            <w:noProof/>
            <w:webHidden/>
          </w:rPr>
          <w:fldChar w:fldCharType="separate"/>
        </w:r>
        <w:r w:rsidR="003154A6">
          <w:rPr>
            <w:noProof/>
            <w:webHidden/>
          </w:rPr>
          <w:t>2</w:t>
        </w:r>
        <w:r w:rsidR="00611A9C">
          <w:rPr>
            <w:noProof/>
            <w:webHidden/>
          </w:rPr>
          <w:fldChar w:fldCharType="end"/>
        </w:r>
      </w:hyperlink>
    </w:p>
    <w:p w14:paraId="3AB3139B" w14:textId="6014925A" w:rsidR="00611A9C" w:rsidRDefault="00C55DBD">
      <w:pPr>
        <w:pStyle w:val="TOC1"/>
        <w:rPr>
          <w:rFonts w:asciiTheme="minorHAnsi" w:eastAsiaTheme="minorEastAsia" w:hAnsiTheme="minorHAnsi" w:cstheme="minorBidi"/>
          <w:caps w:val="0"/>
          <w:noProof/>
          <w:sz w:val="22"/>
          <w:lang w:eastAsia="en-GB"/>
        </w:rPr>
      </w:pPr>
      <w:hyperlink w:anchor="_Toc527619965" w:history="1">
        <w:r w:rsidR="00611A9C" w:rsidRPr="00801B78">
          <w:rPr>
            <w:rStyle w:val="Hyperlink"/>
            <w:noProof/>
          </w:rPr>
          <w:t>3.</w:t>
        </w:r>
        <w:r w:rsidR="00611A9C">
          <w:rPr>
            <w:rFonts w:asciiTheme="minorHAnsi" w:eastAsiaTheme="minorEastAsia" w:hAnsiTheme="minorHAnsi" w:cstheme="minorBidi"/>
            <w:caps w:val="0"/>
            <w:noProof/>
            <w:sz w:val="22"/>
            <w:lang w:eastAsia="en-GB"/>
          </w:rPr>
          <w:tab/>
        </w:r>
        <w:r w:rsidR="00611A9C" w:rsidRPr="00801B78">
          <w:rPr>
            <w:rStyle w:val="Hyperlink"/>
            <w:noProof/>
          </w:rPr>
          <w:t>background to the authority</w:t>
        </w:r>
        <w:r w:rsidR="00611A9C">
          <w:rPr>
            <w:noProof/>
            <w:webHidden/>
          </w:rPr>
          <w:tab/>
        </w:r>
        <w:r w:rsidR="00611A9C">
          <w:rPr>
            <w:noProof/>
            <w:webHidden/>
          </w:rPr>
          <w:fldChar w:fldCharType="begin"/>
        </w:r>
        <w:r w:rsidR="00611A9C">
          <w:rPr>
            <w:noProof/>
            <w:webHidden/>
          </w:rPr>
          <w:instrText xml:space="preserve"> PAGEREF _Toc527619965 \h </w:instrText>
        </w:r>
        <w:r w:rsidR="00611A9C">
          <w:rPr>
            <w:noProof/>
            <w:webHidden/>
          </w:rPr>
        </w:r>
        <w:r w:rsidR="00611A9C">
          <w:rPr>
            <w:noProof/>
            <w:webHidden/>
          </w:rPr>
          <w:fldChar w:fldCharType="separate"/>
        </w:r>
        <w:r w:rsidR="003154A6">
          <w:rPr>
            <w:noProof/>
            <w:webHidden/>
          </w:rPr>
          <w:t>2</w:t>
        </w:r>
        <w:r w:rsidR="00611A9C">
          <w:rPr>
            <w:noProof/>
            <w:webHidden/>
          </w:rPr>
          <w:fldChar w:fldCharType="end"/>
        </w:r>
      </w:hyperlink>
    </w:p>
    <w:p w14:paraId="0303E460" w14:textId="5D83629F" w:rsidR="00611A9C" w:rsidRDefault="00C55DBD">
      <w:pPr>
        <w:pStyle w:val="TOC1"/>
        <w:rPr>
          <w:rFonts w:asciiTheme="minorHAnsi" w:eastAsiaTheme="minorEastAsia" w:hAnsiTheme="minorHAnsi" w:cstheme="minorBidi"/>
          <w:caps w:val="0"/>
          <w:noProof/>
          <w:sz w:val="22"/>
          <w:lang w:eastAsia="en-GB"/>
        </w:rPr>
      </w:pPr>
      <w:hyperlink w:anchor="_Toc527619966" w:history="1">
        <w:r w:rsidR="00611A9C" w:rsidRPr="00801B78">
          <w:rPr>
            <w:rStyle w:val="Hyperlink"/>
            <w:noProof/>
          </w:rPr>
          <w:t>4.</w:t>
        </w:r>
        <w:r w:rsidR="00611A9C">
          <w:rPr>
            <w:rFonts w:asciiTheme="minorHAnsi" w:eastAsiaTheme="minorEastAsia" w:hAnsiTheme="minorHAnsi" w:cstheme="minorBidi"/>
            <w:caps w:val="0"/>
            <w:noProof/>
            <w:sz w:val="22"/>
            <w:lang w:eastAsia="en-GB"/>
          </w:rPr>
          <w:tab/>
        </w:r>
        <w:r w:rsidR="00611A9C" w:rsidRPr="00801B78">
          <w:rPr>
            <w:rStyle w:val="Hyperlink"/>
            <w:noProof/>
          </w:rPr>
          <w:t>scope of requirement</w:t>
        </w:r>
        <w:r w:rsidR="00611A9C">
          <w:rPr>
            <w:noProof/>
            <w:webHidden/>
          </w:rPr>
          <w:tab/>
        </w:r>
        <w:r w:rsidR="00611A9C">
          <w:rPr>
            <w:noProof/>
            <w:webHidden/>
          </w:rPr>
          <w:fldChar w:fldCharType="begin"/>
        </w:r>
        <w:r w:rsidR="00611A9C">
          <w:rPr>
            <w:noProof/>
            <w:webHidden/>
          </w:rPr>
          <w:instrText xml:space="preserve"> PAGEREF _Toc527619966 \h </w:instrText>
        </w:r>
        <w:r w:rsidR="00611A9C">
          <w:rPr>
            <w:noProof/>
            <w:webHidden/>
          </w:rPr>
        </w:r>
        <w:r w:rsidR="00611A9C">
          <w:rPr>
            <w:noProof/>
            <w:webHidden/>
          </w:rPr>
          <w:fldChar w:fldCharType="separate"/>
        </w:r>
        <w:r w:rsidR="003154A6">
          <w:rPr>
            <w:noProof/>
            <w:webHidden/>
          </w:rPr>
          <w:t>3</w:t>
        </w:r>
        <w:r w:rsidR="00611A9C">
          <w:rPr>
            <w:noProof/>
            <w:webHidden/>
          </w:rPr>
          <w:fldChar w:fldCharType="end"/>
        </w:r>
      </w:hyperlink>
    </w:p>
    <w:p w14:paraId="475CD9CB" w14:textId="0BB8439A" w:rsidR="00611A9C" w:rsidRDefault="00C55DBD">
      <w:pPr>
        <w:pStyle w:val="TOC1"/>
        <w:rPr>
          <w:rFonts w:asciiTheme="minorHAnsi" w:eastAsiaTheme="minorEastAsia" w:hAnsiTheme="minorHAnsi" w:cstheme="minorBidi"/>
          <w:caps w:val="0"/>
          <w:noProof/>
          <w:sz w:val="22"/>
          <w:lang w:eastAsia="en-GB"/>
        </w:rPr>
      </w:pPr>
      <w:hyperlink w:anchor="_Toc527619967" w:history="1">
        <w:r w:rsidR="00611A9C" w:rsidRPr="00801B78">
          <w:rPr>
            <w:rStyle w:val="Hyperlink"/>
            <w:noProof/>
          </w:rPr>
          <w:t>5.</w:t>
        </w:r>
        <w:r w:rsidR="00611A9C">
          <w:rPr>
            <w:rFonts w:asciiTheme="minorHAnsi" w:eastAsiaTheme="minorEastAsia" w:hAnsiTheme="minorHAnsi" w:cstheme="minorBidi"/>
            <w:caps w:val="0"/>
            <w:noProof/>
            <w:sz w:val="22"/>
            <w:lang w:eastAsia="en-GB"/>
          </w:rPr>
          <w:tab/>
        </w:r>
        <w:r w:rsidR="00611A9C" w:rsidRPr="00801B78">
          <w:rPr>
            <w:rStyle w:val="Hyperlink"/>
            <w:noProof/>
          </w:rPr>
          <w:t>service levels and performance</w:t>
        </w:r>
        <w:r w:rsidR="00611A9C">
          <w:rPr>
            <w:noProof/>
            <w:webHidden/>
          </w:rPr>
          <w:tab/>
        </w:r>
        <w:r w:rsidR="00611A9C">
          <w:rPr>
            <w:noProof/>
            <w:webHidden/>
          </w:rPr>
          <w:fldChar w:fldCharType="begin"/>
        </w:r>
        <w:r w:rsidR="00611A9C">
          <w:rPr>
            <w:noProof/>
            <w:webHidden/>
          </w:rPr>
          <w:instrText xml:space="preserve"> PAGEREF _Toc527619967 \h </w:instrText>
        </w:r>
        <w:r w:rsidR="00611A9C">
          <w:rPr>
            <w:noProof/>
            <w:webHidden/>
          </w:rPr>
        </w:r>
        <w:r w:rsidR="00611A9C">
          <w:rPr>
            <w:noProof/>
            <w:webHidden/>
          </w:rPr>
          <w:fldChar w:fldCharType="separate"/>
        </w:r>
        <w:r w:rsidR="003154A6">
          <w:rPr>
            <w:noProof/>
            <w:webHidden/>
          </w:rPr>
          <w:t>3</w:t>
        </w:r>
        <w:r w:rsidR="00611A9C">
          <w:rPr>
            <w:noProof/>
            <w:webHidden/>
          </w:rPr>
          <w:fldChar w:fldCharType="end"/>
        </w:r>
      </w:hyperlink>
    </w:p>
    <w:p w14:paraId="501C0CF3" w14:textId="4EA14095" w:rsidR="00611A9C" w:rsidRDefault="00C55DBD">
      <w:pPr>
        <w:pStyle w:val="TOC1"/>
        <w:rPr>
          <w:rFonts w:asciiTheme="minorHAnsi" w:eastAsiaTheme="minorEastAsia" w:hAnsiTheme="minorHAnsi" w:cstheme="minorBidi"/>
          <w:caps w:val="0"/>
          <w:noProof/>
          <w:sz w:val="22"/>
          <w:lang w:eastAsia="en-GB"/>
        </w:rPr>
      </w:pPr>
      <w:hyperlink w:anchor="_Toc527619968" w:history="1">
        <w:r w:rsidR="00611A9C" w:rsidRPr="00801B78">
          <w:rPr>
            <w:rStyle w:val="Hyperlink"/>
            <w:noProof/>
          </w:rPr>
          <w:t>6.</w:t>
        </w:r>
        <w:r w:rsidR="00611A9C">
          <w:rPr>
            <w:rFonts w:asciiTheme="minorHAnsi" w:eastAsiaTheme="minorEastAsia" w:hAnsiTheme="minorHAnsi" w:cstheme="minorBidi"/>
            <w:caps w:val="0"/>
            <w:noProof/>
            <w:sz w:val="22"/>
            <w:lang w:eastAsia="en-GB"/>
          </w:rPr>
          <w:tab/>
        </w:r>
        <w:r w:rsidR="00611A9C" w:rsidRPr="00801B78">
          <w:rPr>
            <w:rStyle w:val="Hyperlink"/>
            <w:noProof/>
          </w:rPr>
          <w:t>Location</w:t>
        </w:r>
        <w:r w:rsidR="00611A9C">
          <w:rPr>
            <w:noProof/>
            <w:webHidden/>
          </w:rPr>
          <w:tab/>
        </w:r>
        <w:r w:rsidR="00611A9C">
          <w:rPr>
            <w:noProof/>
            <w:webHidden/>
          </w:rPr>
          <w:fldChar w:fldCharType="begin"/>
        </w:r>
        <w:r w:rsidR="00611A9C">
          <w:rPr>
            <w:noProof/>
            <w:webHidden/>
          </w:rPr>
          <w:instrText xml:space="preserve"> PAGEREF _Toc527619968 \h </w:instrText>
        </w:r>
        <w:r w:rsidR="00611A9C">
          <w:rPr>
            <w:noProof/>
            <w:webHidden/>
          </w:rPr>
        </w:r>
        <w:r w:rsidR="00611A9C">
          <w:rPr>
            <w:noProof/>
            <w:webHidden/>
          </w:rPr>
          <w:fldChar w:fldCharType="separate"/>
        </w:r>
        <w:r w:rsidR="003154A6">
          <w:rPr>
            <w:noProof/>
            <w:webHidden/>
          </w:rPr>
          <w:t>4</w:t>
        </w:r>
        <w:r w:rsidR="00611A9C">
          <w:rPr>
            <w:noProof/>
            <w:webHidden/>
          </w:rPr>
          <w:fldChar w:fldCharType="end"/>
        </w:r>
      </w:hyperlink>
    </w:p>
    <w:p w14:paraId="5F29ACB4" w14:textId="7057F85F" w:rsidR="00611A9C" w:rsidRDefault="00C55DBD">
      <w:pPr>
        <w:pStyle w:val="TOC1"/>
        <w:rPr>
          <w:rFonts w:asciiTheme="minorHAnsi" w:eastAsiaTheme="minorEastAsia" w:hAnsiTheme="minorHAnsi" w:cstheme="minorBidi"/>
          <w:caps w:val="0"/>
          <w:noProof/>
          <w:sz w:val="22"/>
          <w:lang w:eastAsia="en-GB"/>
        </w:rPr>
      </w:pPr>
      <w:hyperlink w:anchor="_Toc527619969" w:history="1">
        <w:r w:rsidR="00611A9C" w:rsidRPr="00801B78">
          <w:rPr>
            <w:rStyle w:val="Hyperlink"/>
            <w:noProof/>
          </w:rPr>
          <w:t>7.</w:t>
        </w:r>
        <w:r w:rsidR="00611A9C">
          <w:rPr>
            <w:rFonts w:asciiTheme="minorHAnsi" w:eastAsiaTheme="minorEastAsia" w:hAnsiTheme="minorHAnsi" w:cstheme="minorBidi"/>
            <w:caps w:val="0"/>
            <w:noProof/>
            <w:sz w:val="22"/>
            <w:lang w:eastAsia="en-GB"/>
          </w:rPr>
          <w:tab/>
        </w:r>
        <w:r w:rsidR="00611A9C" w:rsidRPr="00801B78">
          <w:rPr>
            <w:rStyle w:val="Hyperlink"/>
            <w:noProof/>
          </w:rPr>
          <w:t>BUDGET</w:t>
        </w:r>
        <w:r w:rsidR="00611A9C">
          <w:rPr>
            <w:noProof/>
            <w:webHidden/>
          </w:rPr>
          <w:tab/>
        </w:r>
        <w:r w:rsidR="00611A9C">
          <w:rPr>
            <w:noProof/>
            <w:webHidden/>
          </w:rPr>
          <w:fldChar w:fldCharType="begin"/>
        </w:r>
        <w:r w:rsidR="00611A9C">
          <w:rPr>
            <w:noProof/>
            <w:webHidden/>
          </w:rPr>
          <w:instrText xml:space="preserve"> PAGEREF _Toc527619969 \h </w:instrText>
        </w:r>
        <w:r w:rsidR="00611A9C">
          <w:rPr>
            <w:noProof/>
            <w:webHidden/>
          </w:rPr>
        </w:r>
        <w:r w:rsidR="00611A9C">
          <w:rPr>
            <w:noProof/>
            <w:webHidden/>
          </w:rPr>
          <w:fldChar w:fldCharType="separate"/>
        </w:r>
        <w:r w:rsidR="003154A6">
          <w:rPr>
            <w:noProof/>
            <w:webHidden/>
          </w:rPr>
          <w:t>4</w:t>
        </w:r>
        <w:r w:rsidR="00611A9C">
          <w:rPr>
            <w:noProof/>
            <w:webHidden/>
          </w:rPr>
          <w:fldChar w:fldCharType="end"/>
        </w:r>
      </w:hyperlink>
    </w:p>
    <w:p w14:paraId="4B1C747E" w14:textId="4F6CD309" w:rsidR="00FA5229" w:rsidRPr="00B3136B" w:rsidRDefault="00910C2D" w:rsidP="00FA5229">
      <w:pPr>
        <w:spacing w:after="120"/>
        <w:jc w:val="center"/>
        <w:rPr>
          <w:rFonts w:ascii="Calibri" w:hAnsi="Calibri"/>
          <w:b/>
        </w:rPr>
      </w:pPr>
      <w:r>
        <w:rPr>
          <w:rFonts w:ascii="Calibri" w:eastAsia="STZhongsong" w:hAnsi="Calibri"/>
          <w:caps/>
          <w:lang w:eastAsia="zh-CN"/>
        </w:rPr>
        <w:fldChar w:fldCharType="end"/>
      </w:r>
    </w:p>
    <w:p w14:paraId="1DADDAD2" w14:textId="77777777" w:rsidR="001530F5" w:rsidRPr="00910C2D" w:rsidRDefault="00FA5229" w:rsidP="00910C2D">
      <w:pPr>
        <w:pStyle w:val="Heading1"/>
      </w:pPr>
      <w:bookmarkStart w:id="2" w:name="_Toc297554772"/>
      <w:bookmarkEnd w:id="1"/>
      <w:r w:rsidRPr="00910C2D">
        <w:br w:type="page"/>
      </w:r>
      <w:bookmarkStart w:id="3" w:name="_Toc527619963"/>
      <w:r w:rsidR="001530F5" w:rsidRPr="00910C2D">
        <w:lastRenderedPageBreak/>
        <w:t>INTRODUCTION</w:t>
      </w:r>
      <w:bookmarkEnd w:id="3"/>
      <w:r w:rsidR="001530F5" w:rsidRPr="00910C2D">
        <w:tab/>
      </w:r>
    </w:p>
    <w:p w14:paraId="21EAADA5" w14:textId="1FECA20A" w:rsidR="00AE62DA" w:rsidRPr="00F207A2" w:rsidRDefault="008D0A9C" w:rsidP="00611A9C">
      <w:pPr>
        <w:pStyle w:val="Heading2"/>
        <w:rPr>
          <w:lang w:val="en"/>
        </w:rPr>
      </w:pPr>
      <w:r w:rsidRPr="00965566">
        <w:rPr>
          <w:rFonts w:cs="Arial"/>
        </w:rPr>
        <w:t>The Autism Act 2009 places a duty on the Secretary of State for Health and Social Care to publish a strategy for meeting the needs of autistic adults in England, and to review it periodically. England’s first Adult Autism Strategy ‘</w:t>
      </w:r>
      <w:r w:rsidRPr="00965566">
        <w:rPr>
          <w:rFonts w:cs="Arial"/>
          <w:i/>
        </w:rPr>
        <w:t xml:space="preserve">Fulfilling and rewarding lives’, </w:t>
      </w:r>
      <w:r w:rsidRPr="00965566">
        <w:rPr>
          <w:rFonts w:cs="Arial"/>
        </w:rPr>
        <w:t xml:space="preserve">was published in 2010 and in April 2014, the Strategy was updated with the publication of </w:t>
      </w:r>
      <w:r w:rsidRPr="00965566">
        <w:rPr>
          <w:rFonts w:cs="Arial"/>
          <w:i/>
        </w:rPr>
        <w:t xml:space="preserve">‘Think Autism’, </w:t>
      </w:r>
      <w:r w:rsidRPr="00965566">
        <w:rPr>
          <w:rFonts w:cs="Arial"/>
        </w:rPr>
        <w:t xml:space="preserve">supported by revised Statutory Guidance in March 2015. </w:t>
      </w:r>
      <w:r w:rsidRPr="00965566">
        <w:rPr>
          <w:rFonts w:cs="Arial"/>
          <w:lang w:val="en"/>
        </w:rPr>
        <w:t>The Statutory Guidance shows how local authorities and NHS organisations should carry out their responsibilities under the Autism Act 2009 to develop services that support and meet the needs of people with autism, and their families and carers. It also explains what support they can expect to receive from local authorities and NHS organisations.</w:t>
      </w:r>
    </w:p>
    <w:p w14:paraId="3CF0DC40" w14:textId="77777777" w:rsidR="00F207A2" w:rsidRDefault="00F207A2" w:rsidP="00F207A2">
      <w:pPr>
        <w:pStyle w:val="Heading2"/>
      </w:pPr>
      <w:r>
        <w:t xml:space="preserve">Engagement by DHSC with key stakeholders, including autistic people and their families and carers has identified that while the lives of autistic people have improved since the Autism Act, there is still considerable variability across the country, with regards to waiting times for an assessment and diagnosis of autism and access to post-diagnosis services, including vital mental health support. We know that 70-80% of autistic people experience mental health problems. However, even when an autistic person’s mental health difficulties are identified, they often struggle to find appropriate support. </w:t>
      </w:r>
    </w:p>
    <w:p w14:paraId="54112157" w14:textId="3ADF8F89" w:rsidR="00F207A2" w:rsidRPr="00F207A2" w:rsidRDefault="00F207A2" w:rsidP="00F207A2">
      <w:pPr>
        <w:pStyle w:val="Heading2"/>
      </w:pPr>
      <w:r>
        <w:t>Research funded by Autistica suggests that autistic people may account for up to 11% of deaths by suicide in the UK, even though only 1% of the population is autistic. There is emerging evidence to suggest that unmet support needs, for example low level preventative services in the community may be significant factor behind this disparity.</w:t>
      </w:r>
    </w:p>
    <w:p w14:paraId="222A3143" w14:textId="77777777" w:rsidR="00E35542" w:rsidRPr="00910C2D" w:rsidRDefault="002C546C" w:rsidP="00910C2D">
      <w:pPr>
        <w:pStyle w:val="Heading1"/>
      </w:pPr>
      <w:bookmarkStart w:id="4" w:name="_Toc527619964"/>
      <w:r w:rsidRPr="00910C2D">
        <w:t>PURPOSE</w:t>
      </w:r>
      <w:bookmarkEnd w:id="2"/>
      <w:bookmarkEnd w:id="4"/>
    </w:p>
    <w:p w14:paraId="48F6A995" w14:textId="1106A061" w:rsidR="00AE62DA" w:rsidRDefault="00EC27D7" w:rsidP="000220CD">
      <w:pPr>
        <w:pStyle w:val="Heading2"/>
        <w:jc w:val="left"/>
      </w:pPr>
      <w:bookmarkStart w:id="5" w:name="_Toc296415791"/>
      <w:r>
        <w:t xml:space="preserve">DHSC </w:t>
      </w:r>
      <w:r w:rsidR="00FA7802">
        <w:t>is seeking to commission a</w:t>
      </w:r>
      <w:r>
        <w:t xml:space="preserve"> provider to develop commissioning guidance on autism and an accompanying best practice toolkit for local health and care commissio</w:t>
      </w:r>
      <w:r w:rsidR="004B37D5">
        <w:t xml:space="preserve">ners. </w:t>
      </w:r>
    </w:p>
    <w:p w14:paraId="7DD9BF35" w14:textId="376CE67F" w:rsidR="00FA7802" w:rsidRDefault="004B37D5" w:rsidP="00FA7802">
      <w:pPr>
        <w:pStyle w:val="Heading2"/>
        <w:jc w:val="left"/>
      </w:pPr>
      <w:r>
        <w:t xml:space="preserve">DHSC requires a concise, </w:t>
      </w:r>
      <w:r w:rsidR="00EC27D7">
        <w:t>accessible</w:t>
      </w:r>
      <w:r>
        <w:t xml:space="preserve"> and easily updatable</w:t>
      </w:r>
      <w:r w:rsidR="00EC27D7">
        <w:t xml:space="preserve"> online product, which synthesises existing National Institute for Health and Care Excellence (NICE) guidelines, standards and best practice examples regarding how to commission effective, high quality services for autistic adults. This will include setting out care pathways and service models to support timely diagnosis of autism and effective post-diagnosis services. </w:t>
      </w:r>
    </w:p>
    <w:p w14:paraId="630ACB8C" w14:textId="24E93E80" w:rsidR="00FA7802" w:rsidRPr="00910C2D" w:rsidRDefault="00FA7802" w:rsidP="00FA7802">
      <w:pPr>
        <w:pStyle w:val="Heading2"/>
      </w:pPr>
      <w:r>
        <w:t xml:space="preserve">Providing up-to-date, concise and accessible guidance to commissioners with examples of best practice will help to ensure effective commissioning at local level to better meet the needs of autistic people and their carers. This will directly support the overall objective of improving the health, care and wellbeing of autistic people, as set out in the Government’s </w:t>
      </w:r>
      <w:r>
        <w:lastRenderedPageBreak/>
        <w:t xml:space="preserve">mandate to the NHS for 2018/19 and key objectives within the adult autism strategy and the forthcoming </w:t>
      </w:r>
      <w:r w:rsidR="003154A6">
        <w:t>Long-Term</w:t>
      </w:r>
      <w:r>
        <w:t xml:space="preserve"> Plan for the NHS.</w:t>
      </w:r>
    </w:p>
    <w:p w14:paraId="78B5A5B0" w14:textId="52424DD9" w:rsidR="00FA7802" w:rsidRDefault="00FA7802" w:rsidP="00611A9C">
      <w:pPr>
        <w:pStyle w:val="Heading2"/>
      </w:pPr>
      <w:r>
        <w:t>There is also a prevailing view and anecdotal evidence that the Statutory Guidance on autism published by DHSC in 2015 is not being accessed and used by commissioners and therefore we need a better way of conveying the requirements under the Autism Act in a readily accessible, understood format in line with commissioners’ expectations.</w:t>
      </w:r>
    </w:p>
    <w:p w14:paraId="4797C8FD" w14:textId="77777777" w:rsidR="000C73A3" w:rsidRPr="00910C2D" w:rsidRDefault="000C73A3" w:rsidP="00910C2D">
      <w:pPr>
        <w:pStyle w:val="Heading1"/>
      </w:pPr>
      <w:bookmarkStart w:id="6" w:name="_Toc527619965"/>
      <w:bookmarkStart w:id="7" w:name="_Toc297554773"/>
      <w:bookmarkStart w:id="8" w:name="_Toc296415805"/>
      <w:bookmarkStart w:id="9" w:name="_Toc296415793"/>
      <w:bookmarkEnd w:id="5"/>
      <w:r w:rsidRPr="00910C2D">
        <w:t>background to the authority</w:t>
      </w:r>
      <w:bookmarkEnd w:id="6"/>
    </w:p>
    <w:p w14:paraId="2506677B" w14:textId="77777777" w:rsidR="00EC27D7" w:rsidRPr="00EC27D7" w:rsidRDefault="00CE09E1" w:rsidP="00EC27D7">
      <w:pPr>
        <w:pStyle w:val="Heading2"/>
        <w:rPr>
          <w:lang w:val="en"/>
        </w:rPr>
      </w:pPr>
      <w:r>
        <w:rPr>
          <w:lang w:val="en"/>
        </w:rPr>
        <w:t>DHSC</w:t>
      </w:r>
      <w:r w:rsidR="00EC27D7">
        <w:rPr>
          <w:lang w:val="en"/>
        </w:rPr>
        <w:t xml:space="preserve"> </w:t>
      </w:r>
      <w:r w:rsidR="00EC27D7" w:rsidRPr="003219FB">
        <w:rPr>
          <w:lang w:val="en"/>
        </w:rPr>
        <w:t>support</w:t>
      </w:r>
      <w:r w:rsidR="00EC27D7">
        <w:rPr>
          <w:lang w:val="en"/>
        </w:rPr>
        <w:t>s</w:t>
      </w:r>
      <w:r w:rsidR="00EC27D7" w:rsidRPr="003219FB">
        <w:rPr>
          <w:lang w:val="en"/>
        </w:rPr>
        <w:t xml:space="preserve"> ministers in leading the nation’s health and social care to help people live more independ</w:t>
      </w:r>
      <w:r w:rsidR="00EC27D7">
        <w:rPr>
          <w:lang w:val="en"/>
        </w:rPr>
        <w:t xml:space="preserve">ent, healthier lives for longer. </w:t>
      </w:r>
      <w:r w:rsidR="00EC27D7" w:rsidRPr="003219FB">
        <w:rPr>
          <w:lang w:val="en"/>
        </w:rPr>
        <w:t>DHSC is a ministerial department, supported by 28 agencies and public bodies</w:t>
      </w:r>
      <w:r w:rsidR="00EC27D7">
        <w:rPr>
          <w:lang w:val="en"/>
        </w:rPr>
        <w:t>.</w:t>
      </w:r>
    </w:p>
    <w:p w14:paraId="5291C1A0" w14:textId="6B6AD5FD" w:rsidR="00316D27" w:rsidRDefault="002C546C" w:rsidP="00910C2D">
      <w:pPr>
        <w:pStyle w:val="Heading1"/>
      </w:pPr>
      <w:bookmarkStart w:id="10" w:name="_Toc297554774"/>
      <w:bookmarkStart w:id="11" w:name="_Toc527619966"/>
      <w:bookmarkEnd w:id="7"/>
      <w:bookmarkEnd w:id="8"/>
      <w:r w:rsidRPr="00910C2D">
        <w:t>scope of requirement</w:t>
      </w:r>
      <w:bookmarkEnd w:id="10"/>
      <w:bookmarkEnd w:id="11"/>
    </w:p>
    <w:p w14:paraId="07EE5E34" w14:textId="2016CC53" w:rsidR="00E158C5" w:rsidRDefault="00FA7802" w:rsidP="00FA7802">
      <w:pPr>
        <w:pStyle w:val="Heading2"/>
      </w:pPr>
      <w:r>
        <w:t>DHSC requires a provider to develop commissioning guidance on autism and an accompanying best practice toolkit for local health and care commissioners. Ideally, the provider should have expertise in and understanding of health and social care at a commissioning local level and experience of developing practical guidance for commissioners would also be highly desirable</w:t>
      </w:r>
      <w:r w:rsidR="00E158C5">
        <w:t>.</w:t>
      </w:r>
    </w:p>
    <w:p w14:paraId="737B24A5" w14:textId="77777777" w:rsidR="00F207A2" w:rsidRDefault="00FA7802" w:rsidP="00FA7802">
      <w:pPr>
        <w:pStyle w:val="Heading2"/>
        <w:jc w:val="left"/>
      </w:pPr>
      <w:r>
        <w:t xml:space="preserve">DHSC requires a concise, accessible and easily updatable online product, which synthesises existing National Institute for Health and Care Excellence (NICE) guidelines, standards and best practice examples regarding how to commission effective, high quality services for autistic adults. This will include setting out care pathways and service models to support timely diagnosis of autism and effective post-diagnosis services. </w:t>
      </w:r>
    </w:p>
    <w:p w14:paraId="48792544" w14:textId="78691C99" w:rsidR="00FA7802" w:rsidRDefault="00FA7802" w:rsidP="00FA7802">
      <w:pPr>
        <w:pStyle w:val="Heading2"/>
        <w:jc w:val="left"/>
      </w:pPr>
      <w:r>
        <w:t>The provider would be expected to bring together existing evidence, resources and best practice through working with DHSC’s key stakeholders and networks.</w:t>
      </w:r>
      <w:r w:rsidRPr="000220CD">
        <w:t xml:space="preserve"> </w:t>
      </w:r>
      <w:r>
        <w:t xml:space="preserve">In addition, if the provider </w:t>
      </w:r>
      <w:r>
        <w:rPr>
          <w:rFonts w:eastAsia="Times New Roman"/>
        </w:rPr>
        <w:t>identifies any research gaps in the course of this work they should feed these back to DHSC.</w:t>
      </w:r>
      <w:r>
        <w:t xml:space="preserve"> The provider will not be expected to expand or develop new evidence.</w:t>
      </w:r>
    </w:p>
    <w:p w14:paraId="478D26E3" w14:textId="71CD8163" w:rsidR="00F207A2" w:rsidRDefault="00F207A2" w:rsidP="00F207A2">
      <w:pPr>
        <w:pStyle w:val="Heading2"/>
        <w:jc w:val="left"/>
      </w:pPr>
      <w:r>
        <w:t>The P</w:t>
      </w:r>
      <w:r w:rsidR="00FA7802">
        <w:t xml:space="preserve">rovider </w:t>
      </w:r>
      <w:r>
        <w:t xml:space="preserve">will be required </w:t>
      </w:r>
      <w:r w:rsidR="00FA7802">
        <w:t>to support the publication of the product and host the commissioning guidance on autism and an accompanying best practice toolkit on its website or to identify an appropriate alternative hosting arrangement by agreement</w:t>
      </w:r>
      <w:r>
        <w:t xml:space="preserve"> with DHSC</w:t>
      </w:r>
      <w:r w:rsidR="00FA7802">
        <w:t>.</w:t>
      </w:r>
      <w:bookmarkEnd w:id="9"/>
    </w:p>
    <w:p w14:paraId="6E6F307D" w14:textId="77777777" w:rsidR="00F207A2" w:rsidRDefault="00E158C5" w:rsidP="00F207A2">
      <w:pPr>
        <w:pStyle w:val="Heading2"/>
        <w:jc w:val="left"/>
      </w:pPr>
      <w:r>
        <w:t>C</w:t>
      </w:r>
      <w:r w:rsidR="00EC27D7">
        <w:t xml:space="preserve">are pathways and service models </w:t>
      </w:r>
      <w:r w:rsidR="00F558CA">
        <w:t xml:space="preserve">should be set out </w:t>
      </w:r>
      <w:r w:rsidR="00EC27D7">
        <w:t>to support timely diagnosis of autism and effective post-diagnosis services</w:t>
      </w:r>
      <w:r w:rsidR="00F1354C">
        <w:t xml:space="preserve"> and include</w:t>
      </w:r>
      <w:r w:rsidR="003E3445">
        <w:t xml:space="preserve"> best practice</w:t>
      </w:r>
      <w:r w:rsidR="00F1354C">
        <w:t xml:space="preserve"> examples such as on </w:t>
      </w:r>
      <w:r w:rsidR="00F1354C" w:rsidRPr="00F1354C">
        <w:t xml:space="preserve">services that provide </w:t>
      </w:r>
      <w:r w:rsidR="00F1354C" w:rsidRPr="00F207A2">
        <w:rPr>
          <w:rFonts w:cs="Arial"/>
        </w:rPr>
        <w:t>low-level</w:t>
      </w:r>
      <w:r w:rsidR="00F1354C" w:rsidRPr="00F1354C">
        <w:t xml:space="preserve"> support for adults with high-functioning autism.</w:t>
      </w:r>
    </w:p>
    <w:p w14:paraId="72D5325B" w14:textId="77777777" w:rsidR="00F207A2" w:rsidRDefault="00FA7802" w:rsidP="00F207A2">
      <w:pPr>
        <w:pStyle w:val="Heading2"/>
        <w:jc w:val="left"/>
      </w:pPr>
      <w:r>
        <w:lastRenderedPageBreak/>
        <w:t xml:space="preserve">An autism prevalence </w:t>
      </w:r>
      <w:r w:rsidRPr="00B72500">
        <w:t xml:space="preserve">calculator </w:t>
      </w:r>
      <w:r>
        <w:t xml:space="preserve">should also be built into the toolkit (an example of a similar calculator on dementia is available at </w:t>
      </w:r>
      <w:hyperlink r:id="rId8" w:history="1">
        <w:r w:rsidRPr="001C07FB">
          <w:rPr>
            <w:rStyle w:val="Hyperlink"/>
          </w:rPr>
          <w:t>https://dementiapartnerships.com/diagnosis/dementia-prevalence-calculator/</w:t>
        </w:r>
      </w:hyperlink>
      <w:r>
        <w:t xml:space="preserve">). Please note we do not necessarily expect the provider to develop the autism prevalence calculator. The autism prevalence calculator </w:t>
      </w:r>
      <w:r w:rsidRPr="00B72500">
        <w:t>will allow local areas to account for local factors and establish estimates of their local prevalence rate, benchmark this with other groups, and establish improvement trajectories. The prevalence calculator should also</w:t>
      </w:r>
      <w:r>
        <w:t xml:space="preserve"> include data on co-morbidities where available.</w:t>
      </w:r>
    </w:p>
    <w:p w14:paraId="5D23C5EE" w14:textId="0AE9031B" w:rsidR="00FA7802" w:rsidRPr="00910C2D" w:rsidRDefault="00F558CA" w:rsidP="00F207A2">
      <w:pPr>
        <w:pStyle w:val="Heading2"/>
        <w:jc w:val="left"/>
      </w:pPr>
      <w:r>
        <w:t xml:space="preserve">Engagement should take place with </w:t>
      </w:r>
      <w:r w:rsidR="00EC27D7">
        <w:t>DHSC’s key stakeholders and networks</w:t>
      </w:r>
      <w:r>
        <w:t xml:space="preserve"> (details for these will be provided by DHSC</w:t>
      </w:r>
      <w:r w:rsidR="006D5DC6">
        <w:t>)</w:t>
      </w:r>
      <w:r w:rsidR="00EC27D7">
        <w:t xml:space="preserve">. </w:t>
      </w:r>
    </w:p>
    <w:p w14:paraId="3C5F8211" w14:textId="77777777" w:rsidR="00A028E8" w:rsidRPr="00910C2D" w:rsidRDefault="00A028E8" w:rsidP="00910C2D">
      <w:pPr>
        <w:pStyle w:val="Heading1"/>
      </w:pPr>
      <w:bookmarkStart w:id="12" w:name="_Toc302637211"/>
      <w:bookmarkStart w:id="13" w:name="_Toc527619967"/>
      <w:r w:rsidRPr="00910C2D">
        <w:t>service levels and performance</w:t>
      </w:r>
      <w:bookmarkEnd w:id="12"/>
      <w:bookmarkEnd w:id="13"/>
    </w:p>
    <w:p w14:paraId="6BB24B3C" w14:textId="77777777" w:rsidR="00F207A2" w:rsidRPr="00F207A2" w:rsidRDefault="0092744F" w:rsidP="00F207A2">
      <w:pPr>
        <w:pStyle w:val="Heading2"/>
      </w:pPr>
      <w:r w:rsidRPr="00F207A2">
        <w:rPr>
          <w:szCs w:val="24"/>
        </w:rPr>
        <w:t xml:space="preserve">The </w:t>
      </w:r>
      <w:r>
        <w:t xml:space="preserve">commissioning guidance on autism and accompanying best practice toolkit for local health and care commissioners needs to be completed by the end of March 2019 with a prototype of the product available by </w:t>
      </w:r>
      <w:r w:rsidR="009F5666">
        <w:t xml:space="preserve">January </w:t>
      </w:r>
      <w:r>
        <w:t>201</w:t>
      </w:r>
      <w:r w:rsidR="009F5666">
        <w:t>9</w:t>
      </w:r>
      <w:r>
        <w:t xml:space="preserve">. </w:t>
      </w:r>
      <w:r w:rsidRPr="00F207A2">
        <w:rPr>
          <w:szCs w:val="24"/>
        </w:rPr>
        <w:t>Once a provider is appointed a project plan will be agreed with the provider to meet these deliverable dates.</w:t>
      </w:r>
    </w:p>
    <w:p w14:paraId="4154B427" w14:textId="77777777" w:rsidR="00F207A2" w:rsidRPr="00F207A2" w:rsidRDefault="0092744F" w:rsidP="00F207A2">
      <w:pPr>
        <w:pStyle w:val="Heading2"/>
      </w:pPr>
      <w:r>
        <w:t>As part of the project plan,</w:t>
      </w:r>
      <w:r w:rsidRPr="00F207A2">
        <w:rPr>
          <w:szCs w:val="24"/>
        </w:rPr>
        <w:t xml:space="preserve"> milestone dates will be agreed with the appointed provider. Following agreement of the milestone dates r</w:t>
      </w:r>
      <w:r w:rsidR="00C653E4" w:rsidRPr="00F207A2">
        <w:rPr>
          <w:szCs w:val="24"/>
        </w:rPr>
        <w:t xml:space="preserve">egular updates on progress with </w:t>
      </w:r>
      <w:r w:rsidRPr="00F207A2">
        <w:rPr>
          <w:szCs w:val="24"/>
        </w:rPr>
        <w:t xml:space="preserve">meeting these milestone dates </w:t>
      </w:r>
      <w:r w:rsidR="00C653E4" w:rsidRPr="00F207A2">
        <w:rPr>
          <w:szCs w:val="24"/>
        </w:rPr>
        <w:t>should be provided to the Authority. This will include tele-conference catch up calls and attendance in person at the Health, Care and Wellbeing Task and Finish Group Meeting</w:t>
      </w:r>
      <w:r w:rsidR="006C5D91" w:rsidRPr="00F207A2">
        <w:rPr>
          <w:szCs w:val="24"/>
        </w:rPr>
        <w:t>s</w:t>
      </w:r>
      <w:r w:rsidR="00C653E4" w:rsidRPr="00F207A2">
        <w:rPr>
          <w:szCs w:val="24"/>
        </w:rPr>
        <w:t xml:space="preserve"> </w:t>
      </w:r>
      <w:r w:rsidR="006C5D91" w:rsidRPr="00F207A2">
        <w:rPr>
          <w:szCs w:val="24"/>
        </w:rPr>
        <w:t>from</w:t>
      </w:r>
      <w:r w:rsidR="00C653E4" w:rsidRPr="00F207A2">
        <w:rPr>
          <w:szCs w:val="24"/>
        </w:rPr>
        <w:t xml:space="preserve"> January 2019. </w:t>
      </w:r>
    </w:p>
    <w:p w14:paraId="76DAF1B0" w14:textId="110D2BC4" w:rsidR="00661535" w:rsidRPr="00F207A2" w:rsidRDefault="00661535" w:rsidP="00F207A2">
      <w:pPr>
        <w:pStyle w:val="Heading2"/>
      </w:pPr>
      <w:r w:rsidRPr="00F207A2">
        <w:rPr>
          <w:szCs w:val="24"/>
        </w:rPr>
        <w:t xml:space="preserve">In addition, </w:t>
      </w:r>
      <w:r w:rsidR="00EA567C" w:rsidRPr="00F207A2">
        <w:rPr>
          <w:szCs w:val="24"/>
        </w:rPr>
        <w:t xml:space="preserve">the provider will be expected to </w:t>
      </w:r>
      <w:r w:rsidRPr="00F207A2">
        <w:rPr>
          <w:szCs w:val="24"/>
        </w:rPr>
        <w:t xml:space="preserve">attend a </w:t>
      </w:r>
      <w:r w:rsidR="00EA567C" w:rsidRPr="00F207A2">
        <w:rPr>
          <w:szCs w:val="24"/>
        </w:rPr>
        <w:t>post contract review with the Authority</w:t>
      </w:r>
      <w:r w:rsidRPr="00F207A2">
        <w:rPr>
          <w:szCs w:val="24"/>
        </w:rPr>
        <w:t xml:space="preserve"> to review whether the objectives of the contract were met, to review the benefits achieved and to identify any lessons learnt for future projects.</w:t>
      </w:r>
    </w:p>
    <w:p w14:paraId="129470EF" w14:textId="77777777" w:rsidR="000C73A3" w:rsidRPr="00910C2D" w:rsidRDefault="000C73A3" w:rsidP="00910C2D">
      <w:pPr>
        <w:pStyle w:val="Heading1"/>
      </w:pPr>
      <w:bookmarkStart w:id="14" w:name="_Toc527619968"/>
      <w:r w:rsidRPr="00910C2D">
        <w:t>Location</w:t>
      </w:r>
      <w:bookmarkEnd w:id="14"/>
    </w:p>
    <w:p w14:paraId="63BD4E00" w14:textId="3C524A10" w:rsidR="000C73A3" w:rsidRPr="00DA654B" w:rsidRDefault="00DA654B" w:rsidP="00DA654B">
      <w:pPr>
        <w:pStyle w:val="Heading2"/>
      </w:pPr>
      <w:bookmarkStart w:id="15" w:name="_Hlk527620964"/>
      <w:r>
        <w:t xml:space="preserve">The location </w:t>
      </w:r>
      <w:r w:rsidR="00F207A2">
        <w:t xml:space="preserve">of the services will </w:t>
      </w:r>
      <w:r>
        <w:t>be agreed with the provider</w:t>
      </w:r>
      <w:r w:rsidR="00F207A2">
        <w:t xml:space="preserve"> following contract award</w:t>
      </w:r>
      <w:r>
        <w:t xml:space="preserve">. </w:t>
      </w:r>
    </w:p>
    <w:p w14:paraId="70663348" w14:textId="77777777" w:rsidR="00B459C5" w:rsidRPr="00DA654B" w:rsidRDefault="00B459C5" w:rsidP="00910C2D">
      <w:pPr>
        <w:pStyle w:val="Heading1"/>
      </w:pPr>
      <w:bookmarkStart w:id="16" w:name="_Toc527619969"/>
      <w:bookmarkEnd w:id="15"/>
      <w:r w:rsidRPr="00DA654B">
        <w:t>BUDGET</w:t>
      </w:r>
      <w:bookmarkEnd w:id="16"/>
    </w:p>
    <w:p w14:paraId="348B6460" w14:textId="77777777" w:rsidR="00F207A2" w:rsidRPr="00FE674E" w:rsidRDefault="00F207A2" w:rsidP="00F207A2">
      <w:pPr>
        <w:pStyle w:val="Heading2"/>
      </w:pPr>
      <w:r w:rsidRPr="00FE674E">
        <w:t>The maximum budget for this work has been set at a £</w:t>
      </w:r>
      <w:r>
        <w:t>80</w:t>
      </w:r>
      <w:r w:rsidRPr="00FE674E">
        <w:t>,000.</w:t>
      </w:r>
    </w:p>
    <w:p w14:paraId="629687DF" w14:textId="77777777" w:rsidR="00F207A2" w:rsidRDefault="00F207A2" w:rsidP="00F207A2">
      <w:pPr>
        <w:pStyle w:val="Heading2"/>
      </w:pPr>
      <w:r w:rsidRPr="00E45076">
        <w:t>The Department is looking for a cost-effective solution as part of government’s efficiency drive to obtain value for money. The agencies are expected to show wherever possible how they can deliver the same for less and achieve savings.</w:t>
      </w:r>
    </w:p>
    <w:p w14:paraId="3C71DEA7" w14:textId="20FF0438" w:rsidR="006527FD" w:rsidRPr="006527FD" w:rsidRDefault="00F207A2" w:rsidP="008367AD">
      <w:pPr>
        <w:pStyle w:val="Heading2"/>
        <w:numPr>
          <w:ilvl w:val="0"/>
          <w:numId w:val="0"/>
        </w:numPr>
        <w:ind w:left="720"/>
      </w:pPr>
      <w:r w:rsidRPr="00E45076">
        <w:t>Prices should be inclusive of expenses and exclusive of VAT.</w:t>
      </w:r>
      <w:bookmarkStart w:id="17" w:name="_GoBack"/>
      <w:bookmarkEnd w:id="17"/>
    </w:p>
    <w:sectPr w:rsidR="006527FD" w:rsidRPr="006527FD" w:rsidSect="00667389">
      <w:headerReference w:type="default" r:id="rId9"/>
      <w:footerReference w:type="default" r:id="rId10"/>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7909E" w14:textId="77777777" w:rsidR="001B7630" w:rsidRDefault="001B7630">
      <w:pPr>
        <w:spacing w:line="20" w:lineRule="exact"/>
      </w:pPr>
    </w:p>
  </w:endnote>
  <w:endnote w:type="continuationSeparator" w:id="0">
    <w:p w14:paraId="239B575B" w14:textId="77777777" w:rsidR="001B7630" w:rsidRDefault="001B7630">
      <w:pPr>
        <w:spacing w:line="20" w:lineRule="exact"/>
      </w:pPr>
      <w:r>
        <w:t xml:space="preserve"> </w:t>
      </w:r>
    </w:p>
  </w:endnote>
  <w:endnote w:type="continuationNotice" w:id="1">
    <w:p w14:paraId="6E68CFBC" w14:textId="77777777" w:rsidR="001B7630" w:rsidRDefault="001B7630">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D78A1" w14:textId="77777777" w:rsidR="009D4478" w:rsidRPr="00475FD9" w:rsidRDefault="009D4478" w:rsidP="00074357">
    <w:pPr>
      <w:pStyle w:val="Footer"/>
      <w:pBdr>
        <w:top w:val="single" w:sz="6" w:space="1" w:color="auto"/>
      </w:pBdr>
      <w:tabs>
        <w:tab w:val="clear" w:pos="4153"/>
        <w:tab w:val="clear" w:pos="8306"/>
      </w:tabs>
      <w:ind w:right="-43"/>
      <w:jc w:val="center"/>
      <w:rPr>
        <w:rFonts w:cstheme="minorHAnsi"/>
      </w:rPr>
    </w:pPr>
  </w:p>
  <w:p w14:paraId="7F49745A" w14:textId="0CB4B9EB" w:rsidR="009D4478" w:rsidRPr="00475FD9" w:rsidRDefault="009D4478" w:rsidP="00074357">
    <w:pPr>
      <w:pStyle w:val="Footer"/>
      <w:tabs>
        <w:tab w:val="clear" w:pos="8306"/>
      </w:tabs>
      <w:ind w:right="-43"/>
      <w:jc w:val="center"/>
      <w:rPr>
        <w:rFonts w:cstheme="minorHAnsi"/>
        <w:szCs w:val="20"/>
      </w:rPr>
    </w:pPr>
    <w:r w:rsidRPr="00475FD9">
      <w:rPr>
        <w:rFonts w:cstheme="minorHAnsi"/>
        <w:szCs w:val="20"/>
      </w:rPr>
      <w:t xml:space="preserve">Page </w:t>
    </w:r>
    <w:r w:rsidRPr="00475FD9">
      <w:rPr>
        <w:rFonts w:cstheme="minorHAnsi"/>
        <w:szCs w:val="20"/>
      </w:rPr>
      <w:fldChar w:fldCharType="begin"/>
    </w:r>
    <w:r w:rsidRPr="00475FD9">
      <w:rPr>
        <w:rFonts w:cstheme="minorHAnsi"/>
        <w:szCs w:val="20"/>
      </w:rPr>
      <w:instrText xml:space="preserve"> PAGE </w:instrText>
    </w:r>
    <w:r w:rsidRPr="00475FD9">
      <w:rPr>
        <w:rFonts w:cstheme="minorHAnsi"/>
        <w:szCs w:val="20"/>
      </w:rPr>
      <w:fldChar w:fldCharType="separate"/>
    </w:r>
    <w:r w:rsidR="00C55DBD">
      <w:rPr>
        <w:rFonts w:cstheme="minorHAnsi"/>
        <w:noProof/>
        <w:szCs w:val="20"/>
      </w:rPr>
      <w:t>2</w:t>
    </w:r>
    <w:r w:rsidRPr="00475FD9">
      <w:rPr>
        <w:rFonts w:cstheme="minorHAnsi"/>
        <w:szCs w:val="20"/>
      </w:rPr>
      <w:fldChar w:fldCharType="end"/>
    </w:r>
    <w:r w:rsidRPr="00475FD9">
      <w:rPr>
        <w:rFonts w:cstheme="minorHAnsi"/>
        <w:szCs w:val="20"/>
      </w:rPr>
      <w:t xml:space="preserve"> of </w:t>
    </w:r>
    <w:r w:rsidRPr="00475FD9">
      <w:rPr>
        <w:rFonts w:cstheme="minorHAnsi"/>
        <w:szCs w:val="20"/>
      </w:rPr>
      <w:fldChar w:fldCharType="begin"/>
    </w:r>
    <w:r w:rsidRPr="00475FD9">
      <w:rPr>
        <w:rFonts w:cstheme="minorHAnsi"/>
        <w:szCs w:val="20"/>
      </w:rPr>
      <w:instrText xml:space="preserve"> NUMPAGES </w:instrText>
    </w:r>
    <w:r w:rsidRPr="00475FD9">
      <w:rPr>
        <w:rFonts w:cstheme="minorHAnsi"/>
        <w:szCs w:val="20"/>
      </w:rPr>
      <w:fldChar w:fldCharType="separate"/>
    </w:r>
    <w:r w:rsidR="00C55DBD">
      <w:rPr>
        <w:rFonts w:cstheme="minorHAnsi"/>
        <w:noProof/>
        <w:szCs w:val="20"/>
      </w:rPr>
      <w:t>4</w:t>
    </w:r>
    <w:r w:rsidRPr="00475FD9">
      <w:rPr>
        <w:rFonts w:cstheme="minorHAnsi"/>
        <w:szCs w:val="20"/>
      </w:rPr>
      <w:fldChar w:fldCharType="end"/>
    </w:r>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CEF65" w14:textId="77777777" w:rsidR="001B7630" w:rsidRDefault="001B7630">
      <w:r>
        <w:separator/>
      </w:r>
    </w:p>
  </w:footnote>
  <w:footnote w:type="continuationSeparator" w:id="0">
    <w:p w14:paraId="030ACDC5" w14:textId="77777777" w:rsidR="001B7630" w:rsidRDefault="001B7630">
      <w:r>
        <w:continuationSeparator/>
      </w:r>
    </w:p>
  </w:footnote>
  <w:footnote w:type="continuationNotice" w:id="1">
    <w:p w14:paraId="0C7E6F62" w14:textId="77777777" w:rsidR="001B7630" w:rsidRDefault="001B76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CBA42" w14:textId="042AE5B8" w:rsidR="00475FD9" w:rsidRDefault="003154A6" w:rsidP="00475FD9">
    <w:pPr>
      <w:pStyle w:val="Header"/>
      <w:jc w:val="center"/>
    </w:pPr>
    <w:r>
      <w:t xml:space="preserve">ITT 197 - </w:t>
    </w:r>
    <w:r w:rsidR="00EC27D7">
      <w:t xml:space="preserve">Commissioning </w:t>
    </w:r>
    <w:r w:rsidR="00AE62DA">
      <w:t>G</w:t>
    </w:r>
    <w:r w:rsidR="00EC27D7">
      <w:t xml:space="preserve">uidance on </w:t>
    </w:r>
    <w:r w:rsidR="00AE62DA">
      <w:t>A</w:t>
    </w:r>
    <w:r w:rsidR="00EC27D7">
      <w:t xml:space="preserve">utism and an </w:t>
    </w:r>
    <w:r w:rsidR="00AE62DA">
      <w:t>A</w:t>
    </w:r>
    <w:r w:rsidR="00EC27D7">
      <w:t xml:space="preserve">ccompanying </w:t>
    </w:r>
    <w:r w:rsidR="00AE62DA">
      <w:t>B</w:t>
    </w:r>
    <w:r w:rsidR="00EC27D7">
      <w:t xml:space="preserve">est </w:t>
    </w:r>
    <w:r w:rsidR="00AE62DA">
      <w:t>P</w:t>
    </w:r>
    <w:r w:rsidR="00EC27D7">
      <w:t xml:space="preserve">ractice </w:t>
    </w:r>
    <w:r w:rsidR="00AE62DA">
      <w:t>T</w:t>
    </w:r>
    <w:r w:rsidR="00EC27D7">
      <w:t xml:space="preserve">oolkit for </w:t>
    </w:r>
    <w:r w:rsidR="00AE62DA">
      <w:t>L</w:t>
    </w:r>
    <w:r w:rsidR="00EC27D7">
      <w:t xml:space="preserve">ocal </w:t>
    </w:r>
    <w:r w:rsidR="00AE62DA">
      <w:t>H</w:t>
    </w:r>
    <w:r w:rsidR="00EC27D7">
      <w:t xml:space="preserve">ealth and </w:t>
    </w:r>
    <w:r w:rsidR="00AE62DA">
      <w:t>C</w:t>
    </w:r>
    <w:r w:rsidR="00EC27D7">
      <w:t xml:space="preserve">are </w:t>
    </w:r>
    <w:r w:rsidR="00AE62DA">
      <w:t>C</w:t>
    </w:r>
    <w:r w:rsidR="00EC27D7">
      <w:t>ommissioners</w:t>
    </w:r>
  </w:p>
  <w:p w14:paraId="7CBB7033" w14:textId="77777777" w:rsidR="003154A6" w:rsidRPr="0068572E" w:rsidRDefault="003154A6" w:rsidP="00475FD9">
    <w:pPr>
      <w:pStyle w:val="Header"/>
      <w:jc w:val="center"/>
      <w:rPr>
        <w:sz w:val="12"/>
        <w:szCs w:val="12"/>
      </w:rPr>
    </w:pPr>
  </w:p>
  <w:p w14:paraId="13C26FF6" w14:textId="3A26F704" w:rsidR="009D4478" w:rsidRPr="00475FD9" w:rsidRDefault="009D4478" w:rsidP="00074357">
    <w:pPr>
      <w:pStyle w:val="Header"/>
      <w:jc w:val="center"/>
      <w:rPr>
        <w:rFonts w:cstheme="minorHAnsi"/>
        <w:szCs w:val="20"/>
      </w:rPr>
    </w:pPr>
    <w:r w:rsidRPr="00475FD9">
      <w:rPr>
        <w:rFonts w:cstheme="minorHAnsi"/>
        <w:szCs w:val="20"/>
      </w:rPr>
      <w:t>Service Description</w:t>
    </w:r>
  </w:p>
  <w:p w14:paraId="254DFF1E" w14:textId="77777777" w:rsidR="009D4478" w:rsidRPr="0068572E" w:rsidRDefault="009D4478" w:rsidP="00074357">
    <w:pPr>
      <w:pStyle w:val="Header"/>
      <w:tabs>
        <w:tab w:val="clear" w:pos="4153"/>
        <w:tab w:val="clear" w:pos="8306"/>
        <w:tab w:val="center" w:pos="4514"/>
      </w:tabs>
      <w:rPr>
        <w:sz w:val="12"/>
        <w:szCs w:val="12"/>
      </w:rPr>
    </w:pPr>
    <w:r>
      <w:tab/>
    </w:r>
  </w:p>
  <w:p w14:paraId="3C40F811" w14:textId="77777777" w:rsidR="009D4478" w:rsidRPr="00074357" w:rsidRDefault="00EF6E4C" w:rsidP="00074357">
    <w:pPr>
      <w:pStyle w:val="Header"/>
    </w:pPr>
    <w:r>
      <w:rPr>
        <w:noProof/>
      </w:rPr>
      <mc:AlternateContent>
        <mc:Choice Requires="wps">
          <w:drawing>
            <wp:anchor distT="0" distB="0" distL="114300" distR="114300" simplePos="0" relativeHeight="251657216" behindDoc="0" locked="0" layoutInCell="1" allowOverlap="1" wp14:anchorId="30F325E0" wp14:editId="7B00E175">
              <wp:simplePos x="0" y="0"/>
              <wp:positionH relativeFrom="column">
                <wp:posOffset>-55245</wp:posOffset>
              </wp:positionH>
              <wp:positionV relativeFrom="paragraph">
                <wp:posOffset>-3810</wp:posOffset>
              </wp:positionV>
              <wp:extent cx="5853430" cy="0"/>
              <wp:effectExtent l="11430" t="5715" r="12065" b="1333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414CE7" id="_x0000_t32" coordsize="21600,21600" o:spt="32" o:oned="t" path="m,l21600,21600e" filled="f">
              <v:path arrowok="t" fillok="f" o:connecttype="none"/>
              <o:lock v:ext="edit" shapetype="t"/>
            </v:shapetype>
            <v:shape id="AutoShape 1" o:spid="_x0000_s1026" type="#_x0000_t32" style="position:absolute;margin-left:-4.35pt;margin-top:-.3pt;width:460.9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C33472"/>
    <w:multiLevelType w:val="hybridMultilevel"/>
    <w:tmpl w:val="03309954"/>
    <w:lvl w:ilvl="0" w:tplc="B7863D0A">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FBA5548"/>
    <w:multiLevelType w:val="multilevel"/>
    <w:tmpl w:val="F71A4BB4"/>
    <w:lvl w:ilvl="0">
      <w:start w:val="1"/>
      <w:numFmt w:val="decimal"/>
      <w:lvlText w:val="%1."/>
      <w:lvlJc w:val="left"/>
      <w:pPr>
        <w:ind w:left="720" w:hanging="360"/>
      </w:pPr>
      <w:rPr>
        <w:b w:val="0"/>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15:restartNumberingAfterBreak="0">
    <w:nsid w:val="2E2B5D6E"/>
    <w:multiLevelType w:val="hybridMultilevel"/>
    <w:tmpl w:val="3FA046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7"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8"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9" w15:restartNumberingAfterBreak="0">
    <w:nsid w:val="37366173"/>
    <w:multiLevelType w:val="hybridMultilevel"/>
    <w:tmpl w:val="D5BC13D6"/>
    <w:lvl w:ilvl="0" w:tplc="0809001B">
      <w:start w:val="1"/>
      <w:numFmt w:val="lowerRoman"/>
      <w:lvlText w:val="%1."/>
      <w:lvlJc w:val="left"/>
      <w:pPr>
        <w:ind w:left="1080" w:hanging="72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pStyle w:val="Heading8"/>
      <w:lvlText w:val="%8."/>
      <w:lvlJc w:val="left"/>
      <w:pPr>
        <w:ind w:left="5760" w:hanging="360"/>
      </w:pPr>
    </w:lvl>
    <w:lvl w:ilvl="8" w:tplc="08090005" w:tentative="1">
      <w:start w:val="1"/>
      <w:numFmt w:val="lowerRoman"/>
      <w:lvlText w:val="%9."/>
      <w:lvlJc w:val="right"/>
      <w:pPr>
        <w:ind w:left="6480" w:hanging="180"/>
      </w:pPr>
    </w:lvl>
  </w:abstractNum>
  <w:abstractNum w:abstractNumId="20" w15:restartNumberingAfterBreak="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DD6468D"/>
    <w:multiLevelType w:val="hybridMultilevel"/>
    <w:tmpl w:val="A7804CFA"/>
    <w:name w:val="Recital Numbering List"/>
    <w:lvl w:ilvl="0" w:tplc="6D6C36DE">
      <w:start w:val="1"/>
      <w:numFmt w:val="bullet"/>
      <w:lvlText w:val=""/>
      <w:lvlJc w:val="left"/>
      <w:pPr>
        <w:ind w:left="720" w:hanging="360"/>
      </w:pPr>
      <w:rPr>
        <w:rFonts w:ascii="Symbol" w:hAnsi="Symbol" w:hint="default"/>
      </w:rPr>
    </w:lvl>
    <w:lvl w:ilvl="1" w:tplc="299A5028" w:tentative="1">
      <w:start w:val="1"/>
      <w:numFmt w:val="bullet"/>
      <w:lvlText w:val="o"/>
      <w:lvlJc w:val="left"/>
      <w:pPr>
        <w:ind w:left="1440" w:hanging="360"/>
      </w:pPr>
      <w:rPr>
        <w:rFonts w:ascii="Courier New" w:hAnsi="Courier New" w:cs="Courier New" w:hint="default"/>
      </w:rPr>
    </w:lvl>
    <w:lvl w:ilvl="2" w:tplc="92F683B2" w:tentative="1">
      <w:start w:val="1"/>
      <w:numFmt w:val="bullet"/>
      <w:lvlText w:val=""/>
      <w:lvlJc w:val="left"/>
      <w:pPr>
        <w:ind w:left="2160" w:hanging="360"/>
      </w:pPr>
      <w:rPr>
        <w:rFonts w:ascii="Wingdings" w:hAnsi="Wingdings" w:hint="default"/>
      </w:rPr>
    </w:lvl>
    <w:lvl w:ilvl="3" w:tplc="E206B276" w:tentative="1">
      <w:start w:val="1"/>
      <w:numFmt w:val="bullet"/>
      <w:lvlText w:val=""/>
      <w:lvlJc w:val="left"/>
      <w:pPr>
        <w:ind w:left="2880" w:hanging="360"/>
      </w:pPr>
      <w:rPr>
        <w:rFonts w:ascii="Symbol" w:hAnsi="Symbol" w:hint="default"/>
      </w:rPr>
    </w:lvl>
    <w:lvl w:ilvl="4" w:tplc="DE829AB4" w:tentative="1">
      <w:start w:val="1"/>
      <w:numFmt w:val="bullet"/>
      <w:lvlText w:val="o"/>
      <w:lvlJc w:val="left"/>
      <w:pPr>
        <w:ind w:left="3600" w:hanging="360"/>
      </w:pPr>
      <w:rPr>
        <w:rFonts w:ascii="Courier New" w:hAnsi="Courier New" w:cs="Courier New" w:hint="default"/>
      </w:rPr>
    </w:lvl>
    <w:lvl w:ilvl="5" w:tplc="6D5A88FE" w:tentative="1">
      <w:start w:val="1"/>
      <w:numFmt w:val="bullet"/>
      <w:lvlText w:val=""/>
      <w:lvlJc w:val="left"/>
      <w:pPr>
        <w:ind w:left="4320" w:hanging="360"/>
      </w:pPr>
      <w:rPr>
        <w:rFonts w:ascii="Wingdings" w:hAnsi="Wingdings" w:hint="default"/>
      </w:rPr>
    </w:lvl>
    <w:lvl w:ilvl="6" w:tplc="ED683928" w:tentative="1">
      <w:start w:val="1"/>
      <w:numFmt w:val="bullet"/>
      <w:lvlText w:val=""/>
      <w:lvlJc w:val="left"/>
      <w:pPr>
        <w:ind w:left="5040" w:hanging="360"/>
      </w:pPr>
      <w:rPr>
        <w:rFonts w:ascii="Symbol" w:hAnsi="Symbol" w:hint="default"/>
      </w:rPr>
    </w:lvl>
    <w:lvl w:ilvl="7" w:tplc="40D80B62" w:tentative="1">
      <w:start w:val="1"/>
      <w:numFmt w:val="bullet"/>
      <w:lvlText w:val="o"/>
      <w:lvlJc w:val="left"/>
      <w:pPr>
        <w:ind w:left="5760" w:hanging="360"/>
      </w:pPr>
      <w:rPr>
        <w:rFonts w:ascii="Courier New" w:hAnsi="Courier New" w:cs="Courier New" w:hint="default"/>
      </w:rPr>
    </w:lvl>
    <w:lvl w:ilvl="8" w:tplc="1248942E" w:tentative="1">
      <w:start w:val="1"/>
      <w:numFmt w:val="bullet"/>
      <w:lvlText w:val=""/>
      <w:lvlJc w:val="left"/>
      <w:pPr>
        <w:ind w:left="6480" w:hanging="360"/>
      </w:pPr>
      <w:rPr>
        <w:rFonts w:ascii="Wingdings" w:hAnsi="Wingdings" w:hint="default"/>
      </w:rPr>
    </w:lvl>
  </w:abstractNum>
  <w:abstractNum w:abstractNumId="23" w15:restartNumberingAfterBreak="0">
    <w:nsid w:val="50533DD3"/>
    <w:multiLevelType w:val="multilevel"/>
    <w:tmpl w:val="224292F6"/>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bullet"/>
      <w:lvlText w:val=""/>
      <w:lvlJc w:val="left"/>
      <w:pPr>
        <w:tabs>
          <w:tab w:val="num" w:pos="720"/>
        </w:tabs>
        <w:ind w:left="720" w:hanging="720"/>
      </w:pPr>
      <w:rPr>
        <w:rFonts w:ascii="Symbol" w:hAnsi="Symbol" w:hint="default"/>
        <w:caps w:val="0"/>
        <w:effect w:val="none"/>
      </w:rPr>
    </w:lvl>
    <w:lvl w:ilvl="2">
      <w:start w:val="1"/>
      <w:numFmt w:val="decimal"/>
      <w:lvlText w:val="%1.%2.%3"/>
      <w:lvlJc w:val="left"/>
      <w:pPr>
        <w:tabs>
          <w:tab w:val="num" w:pos="1800"/>
        </w:tabs>
        <w:ind w:left="1800" w:hanging="1080"/>
      </w:pPr>
      <w:rPr>
        <w:rFonts w:cs="Times New Roman" w:hint="default"/>
        <w:b w:val="0"/>
        <w:caps w:val="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4" w15:restartNumberingAfterBreak="0">
    <w:nsid w:val="50965CCA"/>
    <w:multiLevelType w:val="multilevel"/>
    <w:tmpl w:val="1332CCD4"/>
    <w:name w:val="Plato Schedule Numbering List"/>
    <w:numStyleLink w:val="111111"/>
  </w:abstractNum>
  <w:abstractNum w:abstractNumId="25" w15:restartNumberingAfterBreak="0">
    <w:nsid w:val="51200365"/>
    <w:multiLevelType w:val="multilevel"/>
    <w:tmpl w:val="01020E6C"/>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800"/>
        </w:tabs>
        <w:ind w:left="1800" w:hanging="1080"/>
      </w:pPr>
      <w:rPr>
        <w:rFonts w:cs="Times New Roman" w:hint="default"/>
        <w:b w:val="0"/>
        <w:i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6" w15:restartNumberingAfterBreak="0">
    <w:nsid w:val="5819080B"/>
    <w:multiLevelType w:val="multilevel"/>
    <w:tmpl w:val="69D0E05E"/>
    <w:styleLink w:val="Style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28"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63548B3"/>
    <w:multiLevelType w:val="hybridMultilevel"/>
    <w:tmpl w:val="7768722E"/>
    <w:name w:val="List Bullet "/>
    <w:lvl w:ilvl="0" w:tplc="02722598">
      <w:start w:val="1"/>
      <w:numFmt w:val="bullet"/>
      <w:lvlText w:val=""/>
      <w:lvlJc w:val="left"/>
      <w:pPr>
        <w:ind w:left="720" w:hanging="360"/>
      </w:pPr>
      <w:rPr>
        <w:rFonts w:ascii="Symbol" w:hAnsi="Symbol" w:hint="default"/>
      </w:rPr>
    </w:lvl>
    <w:lvl w:ilvl="1" w:tplc="8370D526" w:tentative="1">
      <w:start w:val="1"/>
      <w:numFmt w:val="bullet"/>
      <w:lvlText w:val="o"/>
      <w:lvlJc w:val="left"/>
      <w:pPr>
        <w:ind w:left="1440" w:hanging="360"/>
      </w:pPr>
      <w:rPr>
        <w:rFonts w:ascii="Courier New" w:hAnsi="Courier New" w:cs="Courier New" w:hint="default"/>
      </w:rPr>
    </w:lvl>
    <w:lvl w:ilvl="2" w:tplc="C4F47C34" w:tentative="1">
      <w:start w:val="1"/>
      <w:numFmt w:val="bullet"/>
      <w:lvlText w:val=""/>
      <w:lvlJc w:val="left"/>
      <w:pPr>
        <w:ind w:left="2160" w:hanging="360"/>
      </w:pPr>
      <w:rPr>
        <w:rFonts w:ascii="Wingdings" w:hAnsi="Wingdings" w:hint="default"/>
      </w:rPr>
    </w:lvl>
    <w:lvl w:ilvl="3" w:tplc="7DE8A4EC" w:tentative="1">
      <w:start w:val="1"/>
      <w:numFmt w:val="bullet"/>
      <w:lvlText w:val=""/>
      <w:lvlJc w:val="left"/>
      <w:pPr>
        <w:ind w:left="2880" w:hanging="360"/>
      </w:pPr>
      <w:rPr>
        <w:rFonts w:ascii="Symbol" w:hAnsi="Symbol" w:hint="default"/>
      </w:rPr>
    </w:lvl>
    <w:lvl w:ilvl="4" w:tplc="84229B94" w:tentative="1">
      <w:start w:val="1"/>
      <w:numFmt w:val="bullet"/>
      <w:lvlText w:val="o"/>
      <w:lvlJc w:val="left"/>
      <w:pPr>
        <w:ind w:left="3600" w:hanging="360"/>
      </w:pPr>
      <w:rPr>
        <w:rFonts w:ascii="Courier New" w:hAnsi="Courier New" w:cs="Courier New" w:hint="default"/>
      </w:rPr>
    </w:lvl>
    <w:lvl w:ilvl="5" w:tplc="1874970C" w:tentative="1">
      <w:start w:val="1"/>
      <w:numFmt w:val="bullet"/>
      <w:lvlText w:val=""/>
      <w:lvlJc w:val="left"/>
      <w:pPr>
        <w:ind w:left="4320" w:hanging="360"/>
      </w:pPr>
      <w:rPr>
        <w:rFonts w:ascii="Wingdings" w:hAnsi="Wingdings" w:hint="default"/>
      </w:rPr>
    </w:lvl>
    <w:lvl w:ilvl="6" w:tplc="3F7E57DA" w:tentative="1">
      <w:start w:val="1"/>
      <w:numFmt w:val="bullet"/>
      <w:lvlText w:val=""/>
      <w:lvlJc w:val="left"/>
      <w:pPr>
        <w:ind w:left="5040" w:hanging="360"/>
      </w:pPr>
      <w:rPr>
        <w:rFonts w:ascii="Symbol" w:hAnsi="Symbol" w:hint="default"/>
      </w:rPr>
    </w:lvl>
    <w:lvl w:ilvl="7" w:tplc="BE0A2082" w:tentative="1">
      <w:start w:val="1"/>
      <w:numFmt w:val="bullet"/>
      <w:lvlText w:val="o"/>
      <w:lvlJc w:val="left"/>
      <w:pPr>
        <w:ind w:left="5760" w:hanging="360"/>
      </w:pPr>
      <w:rPr>
        <w:rFonts w:ascii="Courier New" w:hAnsi="Courier New" w:cs="Courier New" w:hint="default"/>
      </w:rPr>
    </w:lvl>
    <w:lvl w:ilvl="8" w:tplc="9BC2FD36" w:tentative="1">
      <w:start w:val="1"/>
      <w:numFmt w:val="bullet"/>
      <w:lvlText w:val=""/>
      <w:lvlJc w:val="left"/>
      <w:pPr>
        <w:ind w:left="6480" w:hanging="360"/>
      </w:pPr>
      <w:rPr>
        <w:rFonts w:ascii="Wingdings" w:hAnsi="Wingdings" w:hint="default"/>
      </w:rPr>
    </w:lvl>
  </w:abstractNum>
  <w:abstractNum w:abstractNumId="30"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14"/>
  </w:num>
  <w:num w:numId="3">
    <w:abstractNumId w:val="16"/>
  </w:num>
  <w:num w:numId="4">
    <w:abstractNumId w:val="5"/>
  </w:num>
  <w:num w:numId="5">
    <w:abstractNumId w:val="21"/>
  </w:num>
  <w:num w:numId="6">
    <w:abstractNumId w:val="18"/>
  </w:num>
  <w:num w:numId="7">
    <w:abstractNumId w:val="4"/>
  </w:num>
  <w:num w:numId="8">
    <w:abstractNumId w:val="3"/>
  </w:num>
  <w:num w:numId="9">
    <w:abstractNumId w:val="2"/>
  </w:num>
  <w:num w:numId="10">
    <w:abstractNumId w:val="1"/>
  </w:num>
  <w:num w:numId="11">
    <w:abstractNumId w:val="0"/>
  </w:num>
  <w:num w:numId="12">
    <w:abstractNumId w:val="30"/>
  </w:num>
  <w:num w:numId="13">
    <w:abstractNumId w:val="10"/>
  </w:num>
  <w:num w:numId="14">
    <w:abstractNumId w:val="28"/>
  </w:num>
  <w:num w:numId="15">
    <w:abstractNumId w:val="9"/>
  </w:num>
  <w:num w:numId="16">
    <w:abstractNumId w:val="20"/>
  </w:num>
  <w:num w:numId="17">
    <w:abstractNumId w:val="17"/>
  </w:num>
  <w:num w:numId="18">
    <w:abstractNumId w:val="27"/>
  </w:num>
  <w:num w:numId="19">
    <w:abstractNumId w:val="12"/>
  </w:num>
  <w:num w:numId="20">
    <w:abstractNumId w:val="19"/>
  </w:num>
  <w:num w:numId="21">
    <w:abstractNumId w:val="25"/>
  </w:num>
  <w:num w:numId="22">
    <w:abstractNumId w:val="13"/>
  </w:num>
  <w:num w:numId="23">
    <w:abstractNumId w:val="7"/>
  </w:num>
  <w:num w:numId="24">
    <w:abstractNumId w:val="11"/>
  </w:num>
  <w:num w:numId="25">
    <w:abstractNumId w:val="23"/>
  </w:num>
  <w:num w:numId="26">
    <w:abstractNumId w:val="15"/>
  </w:num>
  <w:num w:numId="27">
    <w:abstractNumId w:val="8"/>
  </w:num>
  <w:num w:numId="28">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20611"/>
    <w:rsid w:val="0002117B"/>
    <w:rsid w:val="000220CD"/>
    <w:rsid w:val="00022304"/>
    <w:rsid w:val="0002409B"/>
    <w:rsid w:val="00024B2F"/>
    <w:rsid w:val="00026CBD"/>
    <w:rsid w:val="00026E28"/>
    <w:rsid w:val="00027C05"/>
    <w:rsid w:val="000318CA"/>
    <w:rsid w:val="0003289F"/>
    <w:rsid w:val="00035A45"/>
    <w:rsid w:val="00037CB6"/>
    <w:rsid w:val="00040A60"/>
    <w:rsid w:val="000459DD"/>
    <w:rsid w:val="000507E9"/>
    <w:rsid w:val="00051F62"/>
    <w:rsid w:val="00052A65"/>
    <w:rsid w:val="0005414E"/>
    <w:rsid w:val="000541C6"/>
    <w:rsid w:val="00056F7F"/>
    <w:rsid w:val="00060D0E"/>
    <w:rsid w:val="00066D70"/>
    <w:rsid w:val="0007280F"/>
    <w:rsid w:val="00074357"/>
    <w:rsid w:val="00074D97"/>
    <w:rsid w:val="000763EA"/>
    <w:rsid w:val="000812AE"/>
    <w:rsid w:val="00081FB8"/>
    <w:rsid w:val="0008330B"/>
    <w:rsid w:val="00090D6B"/>
    <w:rsid w:val="000910A7"/>
    <w:rsid w:val="000924BD"/>
    <w:rsid w:val="00094E2D"/>
    <w:rsid w:val="00096F76"/>
    <w:rsid w:val="00097669"/>
    <w:rsid w:val="000A0C5F"/>
    <w:rsid w:val="000A0D22"/>
    <w:rsid w:val="000A5E95"/>
    <w:rsid w:val="000B1C66"/>
    <w:rsid w:val="000B29B2"/>
    <w:rsid w:val="000B5C9F"/>
    <w:rsid w:val="000C2484"/>
    <w:rsid w:val="000C2E05"/>
    <w:rsid w:val="000C5EC7"/>
    <w:rsid w:val="000C68BF"/>
    <w:rsid w:val="000C73A3"/>
    <w:rsid w:val="000C7C2B"/>
    <w:rsid w:val="000E3471"/>
    <w:rsid w:val="000E4C53"/>
    <w:rsid w:val="000E6CD7"/>
    <w:rsid w:val="000F232D"/>
    <w:rsid w:val="000F3348"/>
    <w:rsid w:val="000F3500"/>
    <w:rsid w:val="000F3E1D"/>
    <w:rsid w:val="00100B77"/>
    <w:rsid w:val="0010318E"/>
    <w:rsid w:val="0010453E"/>
    <w:rsid w:val="0010577C"/>
    <w:rsid w:val="00105FBC"/>
    <w:rsid w:val="00106AAD"/>
    <w:rsid w:val="00110F67"/>
    <w:rsid w:val="00113459"/>
    <w:rsid w:val="001173D2"/>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30F5"/>
    <w:rsid w:val="001541D4"/>
    <w:rsid w:val="00156231"/>
    <w:rsid w:val="0015696A"/>
    <w:rsid w:val="00156E2F"/>
    <w:rsid w:val="00157D99"/>
    <w:rsid w:val="001600AF"/>
    <w:rsid w:val="0016383C"/>
    <w:rsid w:val="00163E79"/>
    <w:rsid w:val="00166299"/>
    <w:rsid w:val="0017225B"/>
    <w:rsid w:val="00173352"/>
    <w:rsid w:val="0017368C"/>
    <w:rsid w:val="00173AA5"/>
    <w:rsid w:val="00176DF8"/>
    <w:rsid w:val="00181D58"/>
    <w:rsid w:val="00183EB0"/>
    <w:rsid w:val="00184673"/>
    <w:rsid w:val="001863E6"/>
    <w:rsid w:val="0018756A"/>
    <w:rsid w:val="001962E6"/>
    <w:rsid w:val="001A1780"/>
    <w:rsid w:val="001A3C4D"/>
    <w:rsid w:val="001A7AB1"/>
    <w:rsid w:val="001B2EA8"/>
    <w:rsid w:val="001B38BD"/>
    <w:rsid w:val="001B3C1C"/>
    <w:rsid w:val="001B485F"/>
    <w:rsid w:val="001B4B79"/>
    <w:rsid w:val="001B52D8"/>
    <w:rsid w:val="001B7630"/>
    <w:rsid w:val="001B7875"/>
    <w:rsid w:val="001C18A7"/>
    <w:rsid w:val="001C210F"/>
    <w:rsid w:val="001C4CDC"/>
    <w:rsid w:val="001C609B"/>
    <w:rsid w:val="001C62A3"/>
    <w:rsid w:val="001C63F8"/>
    <w:rsid w:val="001D0473"/>
    <w:rsid w:val="001D1ADF"/>
    <w:rsid w:val="001D1CC2"/>
    <w:rsid w:val="001D3018"/>
    <w:rsid w:val="001D420C"/>
    <w:rsid w:val="001D54F2"/>
    <w:rsid w:val="001D6212"/>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4323"/>
    <w:rsid w:val="00215015"/>
    <w:rsid w:val="0022047E"/>
    <w:rsid w:val="002222F1"/>
    <w:rsid w:val="002229A8"/>
    <w:rsid w:val="002235BF"/>
    <w:rsid w:val="0022513D"/>
    <w:rsid w:val="00225865"/>
    <w:rsid w:val="0022592F"/>
    <w:rsid w:val="002262A5"/>
    <w:rsid w:val="002268D4"/>
    <w:rsid w:val="0022721A"/>
    <w:rsid w:val="00227460"/>
    <w:rsid w:val="00234955"/>
    <w:rsid w:val="00241853"/>
    <w:rsid w:val="00243276"/>
    <w:rsid w:val="00243547"/>
    <w:rsid w:val="00245342"/>
    <w:rsid w:val="00245B30"/>
    <w:rsid w:val="00246795"/>
    <w:rsid w:val="00250446"/>
    <w:rsid w:val="00257039"/>
    <w:rsid w:val="00257F38"/>
    <w:rsid w:val="002600C6"/>
    <w:rsid w:val="002608F4"/>
    <w:rsid w:val="0026119D"/>
    <w:rsid w:val="002630FA"/>
    <w:rsid w:val="002634FE"/>
    <w:rsid w:val="0027062E"/>
    <w:rsid w:val="00273C21"/>
    <w:rsid w:val="00274416"/>
    <w:rsid w:val="00275B97"/>
    <w:rsid w:val="00277524"/>
    <w:rsid w:val="002802B6"/>
    <w:rsid w:val="00280B5B"/>
    <w:rsid w:val="00281296"/>
    <w:rsid w:val="002848C1"/>
    <w:rsid w:val="0028697F"/>
    <w:rsid w:val="00286F62"/>
    <w:rsid w:val="002876FE"/>
    <w:rsid w:val="00293E2C"/>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76E"/>
    <w:rsid w:val="002C2802"/>
    <w:rsid w:val="002C2D54"/>
    <w:rsid w:val="002C3316"/>
    <w:rsid w:val="002C4729"/>
    <w:rsid w:val="002C538F"/>
    <w:rsid w:val="002C546C"/>
    <w:rsid w:val="002C671C"/>
    <w:rsid w:val="002D2841"/>
    <w:rsid w:val="002D3A27"/>
    <w:rsid w:val="002E05A6"/>
    <w:rsid w:val="002E0DBC"/>
    <w:rsid w:val="002E4890"/>
    <w:rsid w:val="002E5436"/>
    <w:rsid w:val="002E594B"/>
    <w:rsid w:val="002F13FD"/>
    <w:rsid w:val="002F1F7F"/>
    <w:rsid w:val="002F42F4"/>
    <w:rsid w:val="002F4D97"/>
    <w:rsid w:val="0030141E"/>
    <w:rsid w:val="0030285B"/>
    <w:rsid w:val="00311429"/>
    <w:rsid w:val="00314691"/>
    <w:rsid w:val="003154A6"/>
    <w:rsid w:val="00316D27"/>
    <w:rsid w:val="003219FB"/>
    <w:rsid w:val="00323541"/>
    <w:rsid w:val="00323EAA"/>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61D"/>
    <w:rsid w:val="003A1894"/>
    <w:rsid w:val="003A199A"/>
    <w:rsid w:val="003A1B63"/>
    <w:rsid w:val="003A2C48"/>
    <w:rsid w:val="003A4DD7"/>
    <w:rsid w:val="003B0599"/>
    <w:rsid w:val="003B4727"/>
    <w:rsid w:val="003B4B25"/>
    <w:rsid w:val="003C1CB5"/>
    <w:rsid w:val="003C4135"/>
    <w:rsid w:val="003C54C9"/>
    <w:rsid w:val="003D0A36"/>
    <w:rsid w:val="003D164F"/>
    <w:rsid w:val="003D1E1C"/>
    <w:rsid w:val="003D2039"/>
    <w:rsid w:val="003D2902"/>
    <w:rsid w:val="003D4366"/>
    <w:rsid w:val="003D4F07"/>
    <w:rsid w:val="003D6D0B"/>
    <w:rsid w:val="003E17EB"/>
    <w:rsid w:val="003E3445"/>
    <w:rsid w:val="003F06FF"/>
    <w:rsid w:val="003F1C5D"/>
    <w:rsid w:val="003F68D6"/>
    <w:rsid w:val="00402F0D"/>
    <w:rsid w:val="00404F9C"/>
    <w:rsid w:val="0040508D"/>
    <w:rsid w:val="00407320"/>
    <w:rsid w:val="004126C0"/>
    <w:rsid w:val="004128DA"/>
    <w:rsid w:val="00413A43"/>
    <w:rsid w:val="004147A7"/>
    <w:rsid w:val="00415016"/>
    <w:rsid w:val="00416045"/>
    <w:rsid w:val="004206EA"/>
    <w:rsid w:val="00422823"/>
    <w:rsid w:val="0042602C"/>
    <w:rsid w:val="00426AB4"/>
    <w:rsid w:val="00427A64"/>
    <w:rsid w:val="0043067F"/>
    <w:rsid w:val="004324B4"/>
    <w:rsid w:val="00433FF1"/>
    <w:rsid w:val="00442EDE"/>
    <w:rsid w:val="00447F11"/>
    <w:rsid w:val="0045279B"/>
    <w:rsid w:val="00453D4F"/>
    <w:rsid w:val="00453EE6"/>
    <w:rsid w:val="00461688"/>
    <w:rsid w:val="00466CA2"/>
    <w:rsid w:val="00470A2A"/>
    <w:rsid w:val="00475FD9"/>
    <w:rsid w:val="00476F39"/>
    <w:rsid w:val="004771C4"/>
    <w:rsid w:val="00480506"/>
    <w:rsid w:val="00480E50"/>
    <w:rsid w:val="00485BCA"/>
    <w:rsid w:val="004900A1"/>
    <w:rsid w:val="004909B0"/>
    <w:rsid w:val="0049625F"/>
    <w:rsid w:val="004A1958"/>
    <w:rsid w:val="004A225E"/>
    <w:rsid w:val="004A2D0B"/>
    <w:rsid w:val="004A31F5"/>
    <w:rsid w:val="004A4371"/>
    <w:rsid w:val="004B37D5"/>
    <w:rsid w:val="004B4E34"/>
    <w:rsid w:val="004B6951"/>
    <w:rsid w:val="004C0636"/>
    <w:rsid w:val="004C1460"/>
    <w:rsid w:val="004C252B"/>
    <w:rsid w:val="004C50CD"/>
    <w:rsid w:val="004C53C2"/>
    <w:rsid w:val="004C5C6B"/>
    <w:rsid w:val="004C63D6"/>
    <w:rsid w:val="004D0392"/>
    <w:rsid w:val="004D0A59"/>
    <w:rsid w:val="004D1EED"/>
    <w:rsid w:val="004D267E"/>
    <w:rsid w:val="004D2D01"/>
    <w:rsid w:val="004D34B9"/>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121E9"/>
    <w:rsid w:val="005147FE"/>
    <w:rsid w:val="00515D51"/>
    <w:rsid w:val="00517904"/>
    <w:rsid w:val="00522AAC"/>
    <w:rsid w:val="00527040"/>
    <w:rsid w:val="00531360"/>
    <w:rsid w:val="0053220D"/>
    <w:rsid w:val="00533F76"/>
    <w:rsid w:val="005364E3"/>
    <w:rsid w:val="0054536C"/>
    <w:rsid w:val="00545E13"/>
    <w:rsid w:val="00561BB6"/>
    <w:rsid w:val="00564CCA"/>
    <w:rsid w:val="005713C4"/>
    <w:rsid w:val="005750D7"/>
    <w:rsid w:val="005750F5"/>
    <w:rsid w:val="005759DD"/>
    <w:rsid w:val="00576C34"/>
    <w:rsid w:val="005770EC"/>
    <w:rsid w:val="005821EF"/>
    <w:rsid w:val="0058297A"/>
    <w:rsid w:val="0058409F"/>
    <w:rsid w:val="00585D06"/>
    <w:rsid w:val="00586CC2"/>
    <w:rsid w:val="005924FF"/>
    <w:rsid w:val="00593CFF"/>
    <w:rsid w:val="00595C15"/>
    <w:rsid w:val="00597B02"/>
    <w:rsid w:val="005B28B1"/>
    <w:rsid w:val="005B2BA5"/>
    <w:rsid w:val="005B466A"/>
    <w:rsid w:val="005C084E"/>
    <w:rsid w:val="005C2951"/>
    <w:rsid w:val="005C3B95"/>
    <w:rsid w:val="005C6291"/>
    <w:rsid w:val="005C6503"/>
    <w:rsid w:val="005D2362"/>
    <w:rsid w:val="005E2029"/>
    <w:rsid w:val="005E29A1"/>
    <w:rsid w:val="005E4205"/>
    <w:rsid w:val="005E4793"/>
    <w:rsid w:val="005E4F6C"/>
    <w:rsid w:val="005E5DD9"/>
    <w:rsid w:val="005E77ED"/>
    <w:rsid w:val="005E7C19"/>
    <w:rsid w:val="005F11AF"/>
    <w:rsid w:val="005F2A14"/>
    <w:rsid w:val="005F2F66"/>
    <w:rsid w:val="005F6E6D"/>
    <w:rsid w:val="005F79C0"/>
    <w:rsid w:val="00600D97"/>
    <w:rsid w:val="00600EA9"/>
    <w:rsid w:val="00601DFB"/>
    <w:rsid w:val="00605194"/>
    <w:rsid w:val="006054F0"/>
    <w:rsid w:val="006072D7"/>
    <w:rsid w:val="0061104D"/>
    <w:rsid w:val="00611A9C"/>
    <w:rsid w:val="00613C61"/>
    <w:rsid w:val="00617599"/>
    <w:rsid w:val="00627B4B"/>
    <w:rsid w:val="0063134B"/>
    <w:rsid w:val="00632838"/>
    <w:rsid w:val="006373DB"/>
    <w:rsid w:val="00641ACD"/>
    <w:rsid w:val="0064354C"/>
    <w:rsid w:val="006455A0"/>
    <w:rsid w:val="0064629E"/>
    <w:rsid w:val="00646B4C"/>
    <w:rsid w:val="00650B3E"/>
    <w:rsid w:val="006527FD"/>
    <w:rsid w:val="00653D40"/>
    <w:rsid w:val="00654173"/>
    <w:rsid w:val="00657DE2"/>
    <w:rsid w:val="006600A8"/>
    <w:rsid w:val="00661535"/>
    <w:rsid w:val="006641E1"/>
    <w:rsid w:val="006645BF"/>
    <w:rsid w:val="00667389"/>
    <w:rsid w:val="00671C2E"/>
    <w:rsid w:val="0067524C"/>
    <w:rsid w:val="006754B9"/>
    <w:rsid w:val="006772C0"/>
    <w:rsid w:val="00680C72"/>
    <w:rsid w:val="00682503"/>
    <w:rsid w:val="00682677"/>
    <w:rsid w:val="00683380"/>
    <w:rsid w:val="006849F7"/>
    <w:rsid w:val="00684CF6"/>
    <w:rsid w:val="0068572E"/>
    <w:rsid w:val="0068585D"/>
    <w:rsid w:val="0068678A"/>
    <w:rsid w:val="0069053C"/>
    <w:rsid w:val="0069239F"/>
    <w:rsid w:val="00693308"/>
    <w:rsid w:val="006A385C"/>
    <w:rsid w:val="006B1F15"/>
    <w:rsid w:val="006B32CD"/>
    <w:rsid w:val="006B3676"/>
    <w:rsid w:val="006B4F77"/>
    <w:rsid w:val="006B7B36"/>
    <w:rsid w:val="006C0828"/>
    <w:rsid w:val="006C2069"/>
    <w:rsid w:val="006C3FE6"/>
    <w:rsid w:val="006C466F"/>
    <w:rsid w:val="006C5D91"/>
    <w:rsid w:val="006C6246"/>
    <w:rsid w:val="006C7377"/>
    <w:rsid w:val="006D0B91"/>
    <w:rsid w:val="006D2324"/>
    <w:rsid w:val="006D3910"/>
    <w:rsid w:val="006D50D6"/>
    <w:rsid w:val="006D5DC6"/>
    <w:rsid w:val="006D6196"/>
    <w:rsid w:val="006D64A7"/>
    <w:rsid w:val="006D7362"/>
    <w:rsid w:val="006E28A2"/>
    <w:rsid w:val="006E5B51"/>
    <w:rsid w:val="006E5FFB"/>
    <w:rsid w:val="006E66C0"/>
    <w:rsid w:val="006F098A"/>
    <w:rsid w:val="006F0C06"/>
    <w:rsid w:val="006F490F"/>
    <w:rsid w:val="006F6878"/>
    <w:rsid w:val="006F6F85"/>
    <w:rsid w:val="007003CC"/>
    <w:rsid w:val="00702C1F"/>
    <w:rsid w:val="00704A4D"/>
    <w:rsid w:val="00706FCC"/>
    <w:rsid w:val="007110A9"/>
    <w:rsid w:val="007145F1"/>
    <w:rsid w:val="007160DB"/>
    <w:rsid w:val="0072081F"/>
    <w:rsid w:val="00724885"/>
    <w:rsid w:val="007321C1"/>
    <w:rsid w:val="00733ACF"/>
    <w:rsid w:val="0073540C"/>
    <w:rsid w:val="00735D7F"/>
    <w:rsid w:val="007378D3"/>
    <w:rsid w:val="00740B2E"/>
    <w:rsid w:val="007435B9"/>
    <w:rsid w:val="0075008F"/>
    <w:rsid w:val="0075444C"/>
    <w:rsid w:val="00755A73"/>
    <w:rsid w:val="00756064"/>
    <w:rsid w:val="00760E17"/>
    <w:rsid w:val="0076266E"/>
    <w:rsid w:val="0076417D"/>
    <w:rsid w:val="007642C7"/>
    <w:rsid w:val="00764DBB"/>
    <w:rsid w:val="0077082E"/>
    <w:rsid w:val="007714CA"/>
    <w:rsid w:val="00772062"/>
    <w:rsid w:val="007723BF"/>
    <w:rsid w:val="007734F9"/>
    <w:rsid w:val="00773DF3"/>
    <w:rsid w:val="007742BD"/>
    <w:rsid w:val="0077722D"/>
    <w:rsid w:val="0078132F"/>
    <w:rsid w:val="00781B53"/>
    <w:rsid w:val="00781F72"/>
    <w:rsid w:val="007838E0"/>
    <w:rsid w:val="00784548"/>
    <w:rsid w:val="00791568"/>
    <w:rsid w:val="007915BD"/>
    <w:rsid w:val="00792A76"/>
    <w:rsid w:val="00792F41"/>
    <w:rsid w:val="00793CFE"/>
    <w:rsid w:val="007948B4"/>
    <w:rsid w:val="007957E7"/>
    <w:rsid w:val="007A1810"/>
    <w:rsid w:val="007A1EDB"/>
    <w:rsid w:val="007A4212"/>
    <w:rsid w:val="007B22E8"/>
    <w:rsid w:val="007B3FCD"/>
    <w:rsid w:val="007B5019"/>
    <w:rsid w:val="007B52CD"/>
    <w:rsid w:val="007B7B17"/>
    <w:rsid w:val="007C33F9"/>
    <w:rsid w:val="007C389F"/>
    <w:rsid w:val="007C46C5"/>
    <w:rsid w:val="007C79FC"/>
    <w:rsid w:val="007D04CE"/>
    <w:rsid w:val="007D1C75"/>
    <w:rsid w:val="007D3DA3"/>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06295"/>
    <w:rsid w:val="00811C30"/>
    <w:rsid w:val="0081457C"/>
    <w:rsid w:val="00821734"/>
    <w:rsid w:val="008227FE"/>
    <w:rsid w:val="00825DD7"/>
    <w:rsid w:val="0082702F"/>
    <w:rsid w:val="00827E8F"/>
    <w:rsid w:val="00830EA9"/>
    <w:rsid w:val="0083566B"/>
    <w:rsid w:val="00837A47"/>
    <w:rsid w:val="00842735"/>
    <w:rsid w:val="00843256"/>
    <w:rsid w:val="008433A5"/>
    <w:rsid w:val="00843CA8"/>
    <w:rsid w:val="00843FCC"/>
    <w:rsid w:val="00845DE9"/>
    <w:rsid w:val="00846256"/>
    <w:rsid w:val="008519A1"/>
    <w:rsid w:val="0085331D"/>
    <w:rsid w:val="00854513"/>
    <w:rsid w:val="008556F2"/>
    <w:rsid w:val="00856E6C"/>
    <w:rsid w:val="00861D08"/>
    <w:rsid w:val="00862C72"/>
    <w:rsid w:val="00862E1D"/>
    <w:rsid w:val="008633FF"/>
    <w:rsid w:val="00873E83"/>
    <w:rsid w:val="00877AA1"/>
    <w:rsid w:val="00881430"/>
    <w:rsid w:val="0088161D"/>
    <w:rsid w:val="00882465"/>
    <w:rsid w:val="00890886"/>
    <w:rsid w:val="008916A4"/>
    <w:rsid w:val="0089380E"/>
    <w:rsid w:val="00896FCC"/>
    <w:rsid w:val="008A17B5"/>
    <w:rsid w:val="008A20B1"/>
    <w:rsid w:val="008A3F1A"/>
    <w:rsid w:val="008A464C"/>
    <w:rsid w:val="008A5EAC"/>
    <w:rsid w:val="008A74AE"/>
    <w:rsid w:val="008A7C5C"/>
    <w:rsid w:val="008B2760"/>
    <w:rsid w:val="008B3DC8"/>
    <w:rsid w:val="008B4EC5"/>
    <w:rsid w:val="008B5210"/>
    <w:rsid w:val="008B7859"/>
    <w:rsid w:val="008C05F1"/>
    <w:rsid w:val="008C218B"/>
    <w:rsid w:val="008C59EE"/>
    <w:rsid w:val="008C6917"/>
    <w:rsid w:val="008C6DD8"/>
    <w:rsid w:val="008D01FD"/>
    <w:rsid w:val="008D0A9C"/>
    <w:rsid w:val="008D17C0"/>
    <w:rsid w:val="008D1AFC"/>
    <w:rsid w:val="008D1F53"/>
    <w:rsid w:val="008D28A6"/>
    <w:rsid w:val="008D2A86"/>
    <w:rsid w:val="008D52B0"/>
    <w:rsid w:val="008D66D4"/>
    <w:rsid w:val="008D7794"/>
    <w:rsid w:val="008E0B8A"/>
    <w:rsid w:val="008E6D8C"/>
    <w:rsid w:val="008E7D6B"/>
    <w:rsid w:val="008F0B3A"/>
    <w:rsid w:val="008F0B5B"/>
    <w:rsid w:val="008F0F5B"/>
    <w:rsid w:val="008F48B8"/>
    <w:rsid w:val="008F7730"/>
    <w:rsid w:val="00900BFA"/>
    <w:rsid w:val="00900E71"/>
    <w:rsid w:val="009021F5"/>
    <w:rsid w:val="009024C9"/>
    <w:rsid w:val="0090447A"/>
    <w:rsid w:val="00905BFB"/>
    <w:rsid w:val="009064EA"/>
    <w:rsid w:val="009066E0"/>
    <w:rsid w:val="00910C2D"/>
    <w:rsid w:val="00910C56"/>
    <w:rsid w:val="00911C93"/>
    <w:rsid w:val="00912B1E"/>
    <w:rsid w:val="0091531E"/>
    <w:rsid w:val="00915583"/>
    <w:rsid w:val="00923A8C"/>
    <w:rsid w:val="00923ACC"/>
    <w:rsid w:val="00926AFD"/>
    <w:rsid w:val="0092744F"/>
    <w:rsid w:val="00932346"/>
    <w:rsid w:val="00932D6C"/>
    <w:rsid w:val="00934359"/>
    <w:rsid w:val="009448C5"/>
    <w:rsid w:val="0094512F"/>
    <w:rsid w:val="00951437"/>
    <w:rsid w:val="00951FEC"/>
    <w:rsid w:val="009572E2"/>
    <w:rsid w:val="00964906"/>
    <w:rsid w:val="0096553E"/>
    <w:rsid w:val="00965566"/>
    <w:rsid w:val="00965F55"/>
    <w:rsid w:val="00970943"/>
    <w:rsid w:val="00970C86"/>
    <w:rsid w:val="00971A11"/>
    <w:rsid w:val="009738CD"/>
    <w:rsid w:val="0097525F"/>
    <w:rsid w:val="009758F3"/>
    <w:rsid w:val="0097705B"/>
    <w:rsid w:val="0098237E"/>
    <w:rsid w:val="00983AEF"/>
    <w:rsid w:val="00985750"/>
    <w:rsid w:val="00986DDB"/>
    <w:rsid w:val="00993750"/>
    <w:rsid w:val="00995864"/>
    <w:rsid w:val="00996944"/>
    <w:rsid w:val="00997A9A"/>
    <w:rsid w:val="009A041A"/>
    <w:rsid w:val="009A0DA6"/>
    <w:rsid w:val="009A28B5"/>
    <w:rsid w:val="009A3653"/>
    <w:rsid w:val="009A37CD"/>
    <w:rsid w:val="009A6A81"/>
    <w:rsid w:val="009B0A14"/>
    <w:rsid w:val="009B0E63"/>
    <w:rsid w:val="009B2117"/>
    <w:rsid w:val="009B54CA"/>
    <w:rsid w:val="009C2B62"/>
    <w:rsid w:val="009C3578"/>
    <w:rsid w:val="009C3DAF"/>
    <w:rsid w:val="009D08E6"/>
    <w:rsid w:val="009D12CD"/>
    <w:rsid w:val="009D29AF"/>
    <w:rsid w:val="009D4478"/>
    <w:rsid w:val="009D7801"/>
    <w:rsid w:val="009E2289"/>
    <w:rsid w:val="009E22EF"/>
    <w:rsid w:val="009E38B3"/>
    <w:rsid w:val="009E46E8"/>
    <w:rsid w:val="009E664F"/>
    <w:rsid w:val="009E7CA6"/>
    <w:rsid w:val="009F0DAB"/>
    <w:rsid w:val="009F5666"/>
    <w:rsid w:val="00A028E8"/>
    <w:rsid w:val="00A03D60"/>
    <w:rsid w:val="00A04242"/>
    <w:rsid w:val="00A055F2"/>
    <w:rsid w:val="00A06EEA"/>
    <w:rsid w:val="00A07797"/>
    <w:rsid w:val="00A07BA2"/>
    <w:rsid w:val="00A11943"/>
    <w:rsid w:val="00A126CF"/>
    <w:rsid w:val="00A13177"/>
    <w:rsid w:val="00A150ED"/>
    <w:rsid w:val="00A163C2"/>
    <w:rsid w:val="00A203DA"/>
    <w:rsid w:val="00A2190A"/>
    <w:rsid w:val="00A26DB5"/>
    <w:rsid w:val="00A3180D"/>
    <w:rsid w:val="00A33F0B"/>
    <w:rsid w:val="00A3630D"/>
    <w:rsid w:val="00A363DA"/>
    <w:rsid w:val="00A37384"/>
    <w:rsid w:val="00A4055F"/>
    <w:rsid w:val="00A413AE"/>
    <w:rsid w:val="00A425FC"/>
    <w:rsid w:val="00A454BC"/>
    <w:rsid w:val="00A46AE8"/>
    <w:rsid w:val="00A50DAC"/>
    <w:rsid w:val="00A520BB"/>
    <w:rsid w:val="00A53C90"/>
    <w:rsid w:val="00A544DF"/>
    <w:rsid w:val="00A54C8F"/>
    <w:rsid w:val="00A5594A"/>
    <w:rsid w:val="00A57890"/>
    <w:rsid w:val="00A6238E"/>
    <w:rsid w:val="00A63F3F"/>
    <w:rsid w:val="00A646DE"/>
    <w:rsid w:val="00A72352"/>
    <w:rsid w:val="00A73E58"/>
    <w:rsid w:val="00A81243"/>
    <w:rsid w:val="00A845EC"/>
    <w:rsid w:val="00A852B4"/>
    <w:rsid w:val="00A90772"/>
    <w:rsid w:val="00A9295D"/>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D047E"/>
    <w:rsid w:val="00AD5F2B"/>
    <w:rsid w:val="00AD6C7F"/>
    <w:rsid w:val="00AE0361"/>
    <w:rsid w:val="00AE169A"/>
    <w:rsid w:val="00AE1C64"/>
    <w:rsid w:val="00AE2742"/>
    <w:rsid w:val="00AE36E5"/>
    <w:rsid w:val="00AE599F"/>
    <w:rsid w:val="00AE62DA"/>
    <w:rsid w:val="00AF404C"/>
    <w:rsid w:val="00AF5288"/>
    <w:rsid w:val="00AF5D31"/>
    <w:rsid w:val="00B008C0"/>
    <w:rsid w:val="00B0302C"/>
    <w:rsid w:val="00B04AA0"/>
    <w:rsid w:val="00B06B86"/>
    <w:rsid w:val="00B06CDF"/>
    <w:rsid w:val="00B1155E"/>
    <w:rsid w:val="00B1289A"/>
    <w:rsid w:val="00B12987"/>
    <w:rsid w:val="00B13340"/>
    <w:rsid w:val="00B21EB6"/>
    <w:rsid w:val="00B238B0"/>
    <w:rsid w:val="00B240CE"/>
    <w:rsid w:val="00B3136B"/>
    <w:rsid w:val="00B316A1"/>
    <w:rsid w:val="00B366A1"/>
    <w:rsid w:val="00B36D8D"/>
    <w:rsid w:val="00B37052"/>
    <w:rsid w:val="00B42707"/>
    <w:rsid w:val="00B432A0"/>
    <w:rsid w:val="00B4536E"/>
    <w:rsid w:val="00B459C5"/>
    <w:rsid w:val="00B46D5E"/>
    <w:rsid w:val="00B4720A"/>
    <w:rsid w:val="00B50FC5"/>
    <w:rsid w:val="00B55F78"/>
    <w:rsid w:val="00B561E8"/>
    <w:rsid w:val="00B57549"/>
    <w:rsid w:val="00B60BBF"/>
    <w:rsid w:val="00B64C19"/>
    <w:rsid w:val="00B667B2"/>
    <w:rsid w:val="00B67970"/>
    <w:rsid w:val="00B720D3"/>
    <w:rsid w:val="00B7286F"/>
    <w:rsid w:val="00B7431E"/>
    <w:rsid w:val="00B74E47"/>
    <w:rsid w:val="00B768E2"/>
    <w:rsid w:val="00B769AD"/>
    <w:rsid w:val="00B81D11"/>
    <w:rsid w:val="00B82F46"/>
    <w:rsid w:val="00B8687D"/>
    <w:rsid w:val="00B92A35"/>
    <w:rsid w:val="00B9425F"/>
    <w:rsid w:val="00B9498B"/>
    <w:rsid w:val="00B951B1"/>
    <w:rsid w:val="00B979BD"/>
    <w:rsid w:val="00B97A23"/>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7C8B"/>
    <w:rsid w:val="00BF19C4"/>
    <w:rsid w:val="00BF3BAD"/>
    <w:rsid w:val="00BF3CBD"/>
    <w:rsid w:val="00BF423A"/>
    <w:rsid w:val="00C02A15"/>
    <w:rsid w:val="00C02C4F"/>
    <w:rsid w:val="00C12346"/>
    <w:rsid w:val="00C1747F"/>
    <w:rsid w:val="00C25BEE"/>
    <w:rsid w:val="00C26F1C"/>
    <w:rsid w:val="00C35E26"/>
    <w:rsid w:val="00C36C28"/>
    <w:rsid w:val="00C3701E"/>
    <w:rsid w:val="00C44DC2"/>
    <w:rsid w:val="00C5443A"/>
    <w:rsid w:val="00C55DBD"/>
    <w:rsid w:val="00C613B7"/>
    <w:rsid w:val="00C61512"/>
    <w:rsid w:val="00C61ED0"/>
    <w:rsid w:val="00C63BFD"/>
    <w:rsid w:val="00C644A6"/>
    <w:rsid w:val="00C64CE8"/>
    <w:rsid w:val="00C653E4"/>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A2595"/>
    <w:rsid w:val="00CA3052"/>
    <w:rsid w:val="00CA3130"/>
    <w:rsid w:val="00CA69F1"/>
    <w:rsid w:val="00CB14F9"/>
    <w:rsid w:val="00CB1680"/>
    <w:rsid w:val="00CB3318"/>
    <w:rsid w:val="00CB53E4"/>
    <w:rsid w:val="00CC2078"/>
    <w:rsid w:val="00CC5CB2"/>
    <w:rsid w:val="00CD10B1"/>
    <w:rsid w:val="00CD3EE5"/>
    <w:rsid w:val="00CD4D5D"/>
    <w:rsid w:val="00CD505B"/>
    <w:rsid w:val="00CE09E1"/>
    <w:rsid w:val="00CE2942"/>
    <w:rsid w:val="00CE43E0"/>
    <w:rsid w:val="00CE650D"/>
    <w:rsid w:val="00CF09E4"/>
    <w:rsid w:val="00CF199D"/>
    <w:rsid w:val="00CF7B6A"/>
    <w:rsid w:val="00CF7DAD"/>
    <w:rsid w:val="00D01126"/>
    <w:rsid w:val="00D02587"/>
    <w:rsid w:val="00D03382"/>
    <w:rsid w:val="00D038AC"/>
    <w:rsid w:val="00D04502"/>
    <w:rsid w:val="00D056A2"/>
    <w:rsid w:val="00D10BD3"/>
    <w:rsid w:val="00D12A9F"/>
    <w:rsid w:val="00D178E0"/>
    <w:rsid w:val="00D21E06"/>
    <w:rsid w:val="00D23214"/>
    <w:rsid w:val="00D32B32"/>
    <w:rsid w:val="00D336B8"/>
    <w:rsid w:val="00D353B7"/>
    <w:rsid w:val="00D37BAC"/>
    <w:rsid w:val="00D42A06"/>
    <w:rsid w:val="00D440C9"/>
    <w:rsid w:val="00D44A45"/>
    <w:rsid w:val="00D463B4"/>
    <w:rsid w:val="00D47B67"/>
    <w:rsid w:val="00D5114F"/>
    <w:rsid w:val="00D53F84"/>
    <w:rsid w:val="00D62E47"/>
    <w:rsid w:val="00D70A58"/>
    <w:rsid w:val="00D7211C"/>
    <w:rsid w:val="00D74C4C"/>
    <w:rsid w:val="00D80252"/>
    <w:rsid w:val="00D8251C"/>
    <w:rsid w:val="00D82A24"/>
    <w:rsid w:val="00D82DB4"/>
    <w:rsid w:val="00D83B95"/>
    <w:rsid w:val="00D846CA"/>
    <w:rsid w:val="00D84A3C"/>
    <w:rsid w:val="00D92179"/>
    <w:rsid w:val="00D94567"/>
    <w:rsid w:val="00D95287"/>
    <w:rsid w:val="00D9647E"/>
    <w:rsid w:val="00DA5C32"/>
    <w:rsid w:val="00DA654B"/>
    <w:rsid w:val="00DA6D7B"/>
    <w:rsid w:val="00DA770E"/>
    <w:rsid w:val="00DB0CEC"/>
    <w:rsid w:val="00DB3C6E"/>
    <w:rsid w:val="00DB3D51"/>
    <w:rsid w:val="00DB4281"/>
    <w:rsid w:val="00DB7133"/>
    <w:rsid w:val="00DC0208"/>
    <w:rsid w:val="00DC465C"/>
    <w:rsid w:val="00DC6E1E"/>
    <w:rsid w:val="00DD4374"/>
    <w:rsid w:val="00DD6502"/>
    <w:rsid w:val="00DD6E07"/>
    <w:rsid w:val="00DD714C"/>
    <w:rsid w:val="00DE015D"/>
    <w:rsid w:val="00DE0CDD"/>
    <w:rsid w:val="00DE0F16"/>
    <w:rsid w:val="00DE1254"/>
    <w:rsid w:val="00DE29D7"/>
    <w:rsid w:val="00DE3681"/>
    <w:rsid w:val="00DF4C9B"/>
    <w:rsid w:val="00DF5C2C"/>
    <w:rsid w:val="00E024D2"/>
    <w:rsid w:val="00E030C9"/>
    <w:rsid w:val="00E05439"/>
    <w:rsid w:val="00E05F1D"/>
    <w:rsid w:val="00E074E6"/>
    <w:rsid w:val="00E10534"/>
    <w:rsid w:val="00E13CFC"/>
    <w:rsid w:val="00E14310"/>
    <w:rsid w:val="00E14E59"/>
    <w:rsid w:val="00E158C5"/>
    <w:rsid w:val="00E20D35"/>
    <w:rsid w:val="00E22084"/>
    <w:rsid w:val="00E22767"/>
    <w:rsid w:val="00E232BF"/>
    <w:rsid w:val="00E240D9"/>
    <w:rsid w:val="00E25C2D"/>
    <w:rsid w:val="00E2791D"/>
    <w:rsid w:val="00E3410E"/>
    <w:rsid w:val="00E35542"/>
    <w:rsid w:val="00E41D60"/>
    <w:rsid w:val="00E420B0"/>
    <w:rsid w:val="00E43AB0"/>
    <w:rsid w:val="00E450B0"/>
    <w:rsid w:val="00E50B0C"/>
    <w:rsid w:val="00E57A45"/>
    <w:rsid w:val="00E57EE4"/>
    <w:rsid w:val="00E613F6"/>
    <w:rsid w:val="00E63383"/>
    <w:rsid w:val="00E63E21"/>
    <w:rsid w:val="00E7010B"/>
    <w:rsid w:val="00E70BA3"/>
    <w:rsid w:val="00E7139A"/>
    <w:rsid w:val="00E7148B"/>
    <w:rsid w:val="00E7286E"/>
    <w:rsid w:val="00E8259B"/>
    <w:rsid w:val="00E83567"/>
    <w:rsid w:val="00E84FBC"/>
    <w:rsid w:val="00E8578F"/>
    <w:rsid w:val="00E876BF"/>
    <w:rsid w:val="00E90397"/>
    <w:rsid w:val="00E90BDB"/>
    <w:rsid w:val="00E9160D"/>
    <w:rsid w:val="00E92407"/>
    <w:rsid w:val="00E927E9"/>
    <w:rsid w:val="00E92E05"/>
    <w:rsid w:val="00EA3CBF"/>
    <w:rsid w:val="00EA567C"/>
    <w:rsid w:val="00EA6A93"/>
    <w:rsid w:val="00EB1275"/>
    <w:rsid w:val="00EB512C"/>
    <w:rsid w:val="00EB78D8"/>
    <w:rsid w:val="00EC00BC"/>
    <w:rsid w:val="00EC1B98"/>
    <w:rsid w:val="00EC212C"/>
    <w:rsid w:val="00EC27D7"/>
    <w:rsid w:val="00EC3A14"/>
    <w:rsid w:val="00EC494F"/>
    <w:rsid w:val="00EC57AA"/>
    <w:rsid w:val="00EC6DAB"/>
    <w:rsid w:val="00ED08E0"/>
    <w:rsid w:val="00ED0E52"/>
    <w:rsid w:val="00ED208B"/>
    <w:rsid w:val="00ED3242"/>
    <w:rsid w:val="00ED3ECF"/>
    <w:rsid w:val="00ED6D4F"/>
    <w:rsid w:val="00EE2602"/>
    <w:rsid w:val="00EE3490"/>
    <w:rsid w:val="00EE3CAE"/>
    <w:rsid w:val="00EE6DC8"/>
    <w:rsid w:val="00EF0368"/>
    <w:rsid w:val="00EF14C7"/>
    <w:rsid w:val="00EF5B11"/>
    <w:rsid w:val="00EF6E4C"/>
    <w:rsid w:val="00F000D3"/>
    <w:rsid w:val="00F015C6"/>
    <w:rsid w:val="00F072DE"/>
    <w:rsid w:val="00F07323"/>
    <w:rsid w:val="00F10E1E"/>
    <w:rsid w:val="00F1110B"/>
    <w:rsid w:val="00F1354C"/>
    <w:rsid w:val="00F16205"/>
    <w:rsid w:val="00F172D8"/>
    <w:rsid w:val="00F2043B"/>
    <w:rsid w:val="00F207A2"/>
    <w:rsid w:val="00F26236"/>
    <w:rsid w:val="00F26367"/>
    <w:rsid w:val="00F267CA"/>
    <w:rsid w:val="00F2778E"/>
    <w:rsid w:val="00F30696"/>
    <w:rsid w:val="00F3498C"/>
    <w:rsid w:val="00F34D03"/>
    <w:rsid w:val="00F3576A"/>
    <w:rsid w:val="00F35B2B"/>
    <w:rsid w:val="00F36F55"/>
    <w:rsid w:val="00F37B26"/>
    <w:rsid w:val="00F40B47"/>
    <w:rsid w:val="00F40C92"/>
    <w:rsid w:val="00F439AD"/>
    <w:rsid w:val="00F4664B"/>
    <w:rsid w:val="00F468FE"/>
    <w:rsid w:val="00F476A1"/>
    <w:rsid w:val="00F533A3"/>
    <w:rsid w:val="00F5434A"/>
    <w:rsid w:val="00F558CA"/>
    <w:rsid w:val="00F6463B"/>
    <w:rsid w:val="00F6782C"/>
    <w:rsid w:val="00F70732"/>
    <w:rsid w:val="00F718BA"/>
    <w:rsid w:val="00F722CD"/>
    <w:rsid w:val="00F7526B"/>
    <w:rsid w:val="00F80355"/>
    <w:rsid w:val="00F8366A"/>
    <w:rsid w:val="00F8387B"/>
    <w:rsid w:val="00F83B65"/>
    <w:rsid w:val="00F87597"/>
    <w:rsid w:val="00F9070D"/>
    <w:rsid w:val="00F926EC"/>
    <w:rsid w:val="00F950A3"/>
    <w:rsid w:val="00FA0C0A"/>
    <w:rsid w:val="00FA11A4"/>
    <w:rsid w:val="00FA27DB"/>
    <w:rsid w:val="00FA361A"/>
    <w:rsid w:val="00FA5229"/>
    <w:rsid w:val="00FA5C55"/>
    <w:rsid w:val="00FA7802"/>
    <w:rsid w:val="00FA79DC"/>
    <w:rsid w:val="00FB1A3D"/>
    <w:rsid w:val="00FB2431"/>
    <w:rsid w:val="00FC0100"/>
    <w:rsid w:val="00FC0D7C"/>
    <w:rsid w:val="00FC38BB"/>
    <w:rsid w:val="00FC7CF2"/>
    <w:rsid w:val="00FD080D"/>
    <w:rsid w:val="00FD0FBD"/>
    <w:rsid w:val="00FD330F"/>
    <w:rsid w:val="00FD4289"/>
    <w:rsid w:val="00FD6F08"/>
    <w:rsid w:val="00FE008E"/>
    <w:rsid w:val="00FE0D7E"/>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3600368"/>
  <w15:docId w15:val="{D444FD36-9F48-4FE3-A1B3-275035C6A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C2D"/>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910C2D"/>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910C2D"/>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910C2D"/>
    <w:pPr>
      <w:numPr>
        <w:ilvl w:val="2"/>
        <w:numId w:val="2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910C2D"/>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910C2D"/>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910C2D"/>
    <w:pPr>
      <w:numPr>
        <w:ilvl w:val="5"/>
        <w:numId w:val="2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910C2D"/>
    <w:pPr>
      <w:numPr>
        <w:ilvl w:val="6"/>
        <w:numId w:val="2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910C2D"/>
    <w:pPr>
      <w:numPr>
        <w:ilvl w:val="7"/>
        <w:numId w:val="20"/>
      </w:numPr>
      <w:tabs>
        <w:tab w:val="num" w:pos="5040"/>
      </w:tabs>
      <w:ind w:left="5040" w:hanging="720"/>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910C2D"/>
    <w:pPr>
      <w:tabs>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910C2D"/>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910C2D"/>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910C2D"/>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22"/>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22"/>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22"/>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Cs w:val="20"/>
    </w:rPr>
  </w:style>
  <w:style w:type="paragraph" w:styleId="E-mailSignature">
    <w:name w:val="E-mail Signature"/>
    <w:basedOn w:val="Normal"/>
    <w:rsid w:val="00AA7115"/>
  </w:style>
  <w:style w:type="character" w:styleId="Emphasis">
    <w:name w:val="Emphasis"/>
    <w:basedOn w:val="DefaultParagraphFont"/>
    <w:uiPriority w:val="99"/>
    <w:qFormat/>
    <w:rsid w:val="00910C2D"/>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7"/>
      </w:numPr>
    </w:pPr>
  </w:style>
  <w:style w:type="paragraph" w:styleId="ListNumber2">
    <w:name w:val="List Number 2"/>
    <w:basedOn w:val="Normal"/>
    <w:rsid w:val="00AA7115"/>
    <w:pPr>
      <w:numPr>
        <w:numId w:val="8"/>
      </w:numPr>
    </w:pPr>
  </w:style>
  <w:style w:type="paragraph" w:styleId="ListNumber3">
    <w:name w:val="List Number 3"/>
    <w:basedOn w:val="Normal"/>
    <w:rsid w:val="00AA7115"/>
    <w:pPr>
      <w:numPr>
        <w:numId w:val="9"/>
      </w:numPr>
    </w:pPr>
  </w:style>
  <w:style w:type="paragraph" w:styleId="ListNumber4">
    <w:name w:val="List Number 4"/>
    <w:basedOn w:val="Normal"/>
    <w:rsid w:val="00AA7115"/>
    <w:pPr>
      <w:numPr>
        <w:numId w:val="10"/>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910C2D"/>
    <w:rPr>
      <w:rFonts w:cs="Times New Roman"/>
      <w:b/>
      <w:bCs/>
    </w:rPr>
  </w:style>
  <w:style w:type="paragraph" w:styleId="Subtitle">
    <w:name w:val="Subtitle"/>
    <w:basedOn w:val="Normal"/>
    <w:rsid w:val="00AA7115"/>
    <w:pPr>
      <w:spacing w:after="60"/>
      <w:jc w:val="center"/>
      <w:outlineLvl w:val="1"/>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AA7115"/>
    <w:pPr>
      <w:spacing w:before="240" w:after="60"/>
      <w:jc w:val="center"/>
      <w:outlineLvl w:val="0"/>
    </w:pPr>
    <w:rPr>
      <w:b/>
      <w:bCs/>
      <w:kern w:val="28"/>
      <w:sz w:val="32"/>
      <w:szCs w:val="32"/>
    </w:rPr>
  </w:style>
  <w:style w:type="paragraph" w:styleId="ListParagraph">
    <w:name w:val="List Paragraph"/>
    <w:basedOn w:val="Normal"/>
    <w:uiPriority w:val="34"/>
    <w:qFormat/>
    <w:rsid w:val="00910C2D"/>
    <w:pPr>
      <w:ind w:left="720"/>
    </w:pPr>
    <w:rPr>
      <w:rFonts w:ascii="Arial"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910C2D"/>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2"/>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2"/>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2"/>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2"/>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2"/>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2"/>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2"/>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2"/>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910C2D"/>
    <w:rPr>
      <w:rFonts w:ascii="Calibri" w:hAnsi="Calibri"/>
      <w:lang w:val="en-US" w:eastAsia="en-US"/>
    </w:rPr>
  </w:style>
  <w:style w:type="character" w:customStyle="1" w:styleId="NoSpacingChar">
    <w:name w:val="No Spacing Char"/>
    <w:basedOn w:val="DefaultParagraphFont"/>
    <w:link w:val="NoSpacing"/>
    <w:uiPriority w:val="99"/>
    <w:rsid w:val="00910C2D"/>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910C2D"/>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910C2D"/>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910C2D"/>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910C2D"/>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910C2D"/>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910C2D"/>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910C2D"/>
    <w:rPr>
      <w:rFonts w:ascii="Arial" w:eastAsia="STZhongsong" w:hAnsi="Arial"/>
      <w:szCs w:val="20"/>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3"/>
      </w:numPr>
      <w:spacing w:after="240"/>
      <w:jc w:val="both"/>
    </w:pPr>
    <w:rPr>
      <w:rFonts w:eastAsia="Times New Roman"/>
      <w:szCs w:val="20"/>
      <w:lang w:eastAsia="en-US"/>
    </w:rPr>
  </w:style>
  <w:style w:type="paragraph" w:customStyle="1" w:styleId="Level2">
    <w:name w:val="Level 2"/>
    <w:basedOn w:val="Normal"/>
    <w:rsid w:val="00AA7115"/>
    <w:pPr>
      <w:numPr>
        <w:ilvl w:val="1"/>
        <w:numId w:val="13"/>
      </w:numPr>
      <w:spacing w:after="240"/>
      <w:jc w:val="both"/>
    </w:pPr>
    <w:rPr>
      <w:rFonts w:eastAsia="Times New Roman"/>
      <w:lang w:eastAsia="en-US"/>
    </w:rPr>
  </w:style>
  <w:style w:type="paragraph" w:customStyle="1" w:styleId="Level3">
    <w:name w:val="Level 3"/>
    <w:basedOn w:val="Normal"/>
    <w:rsid w:val="00AA7115"/>
    <w:pPr>
      <w:numPr>
        <w:ilvl w:val="2"/>
        <w:numId w:val="13"/>
      </w:numPr>
      <w:spacing w:after="240"/>
      <w:jc w:val="both"/>
    </w:pPr>
    <w:rPr>
      <w:rFonts w:eastAsia="Times New Roman"/>
      <w:szCs w:val="20"/>
      <w:lang w:eastAsia="en-US"/>
    </w:rPr>
  </w:style>
  <w:style w:type="paragraph" w:customStyle="1" w:styleId="Level4">
    <w:name w:val="Level 4"/>
    <w:basedOn w:val="Normal"/>
    <w:rsid w:val="00AA7115"/>
    <w:pPr>
      <w:numPr>
        <w:ilvl w:val="3"/>
        <w:numId w:val="13"/>
      </w:numPr>
      <w:spacing w:after="240"/>
      <w:jc w:val="both"/>
    </w:pPr>
    <w:rPr>
      <w:rFonts w:eastAsia="Times New Roman"/>
      <w:szCs w:val="20"/>
      <w:lang w:eastAsia="en-US"/>
    </w:rPr>
  </w:style>
  <w:style w:type="paragraph" w:customStyle="1" w:styleId="Level5">
    <w:name w:val="Level 5"/>
    <w:basedOn w:val="Normal"/>
    <w:rsid w:val="00AA7115"/>
    <w:pPr>
      <w:numPr>
        <w:ilvl w:val="4"/>
        <w:numId w:val="13"/>
      </w:numPr>
      <w:spacing w:after="240"/>
      <w:jc w:val="both"/>
    </w:pPr>
    <w:rPr>
      <w:rFonts w:eastAsia="Times New Roman"/>
      <w:szCs w:val="20"/>
      <w:lang w:eastAsia="en-US"/>
    </w:rPr>
  </w:style>
  <w:style w:type="paragraph" w:customStyle="1" w:styleId="Level6">
    <w:name w:val="Level 6"/>
    <w:basedOn w:val="Normal"/>
    <w:rsid w:val="00AA7115"/>
    <w:pPr>
      <w:numPr>
        <w:ilvl w:val="5"/>
        <w:numId w:val="13"/>
      </w:numPr>
      <w:spacing w:after="240"/>
      <w:jc w:val="both"/>
    </w:pPr>
    <w:rPr>
      <w:rFonts w:eastAsia="Times New Roman"/>
      <w:szCs w:val="20"/>
      <w:lang w:eastAsia="en-US"/>
    </w:rPr>
  </w:style>
  <w:style w:type="paragraph" w:customStyle="1" w:styleId="Level7">
    <w:name w:val="Level 7"/>
    <w:basedOn w:val="Normal"/>
    <w:rsid w:val="00AA7115"/>
    <w:pPr>
      <w:numPr>
        <w:ilvl w:val="6"/>
        <w:numId w:val="13"/>
      </w:numPr>
      <w:spacing w:after="240"/>
      <w:jc w:val="both"/>
    </w:pPr>
    <w:rPr>
      <w:rFonts w:eastAsia="Times New Roman"/>
      <w:szCs w:val="20"/>
      <w:lang w:eastAsia="en-US"/>
    </w:rPr>
  </w:style>
  <w:style w:type="paragraph" w:customStyle="1" w:styleId="Level8">
    <w:name w:val="Level 8"/>
    <w:basedOn w:val="Normal"/>
    <w:rsid w:val="00AA7115"/>
    <w:pPr>
      <w:numPr>
        <w:ilvl w:val="7"/>
        <w:numId w:val="13"/>
      </w:numPr>
      <w:spacing w:after="240"/>
      <w:jc w:val="both"/>
    </w:pPr>
    <w:rPr>
      <w:rFonts w:eastAsia="Times New Roman"/>
      <w:szCs w:val="20"/>
      <w:lang w:eastAsia="en-US"/>
    </w:rPr>
  </w:style>
  <w:style w:type="paragraph" w:customStyle="1" w:styleId="Level9">
    <w:name w:val="Level 9"/>
    <w:basedOn w:val="Normal"/>
    <w:rsid w:val="00AA7115"/>
    <w:pPr>
      <w:numPr>
        <w:ilvl w:val="8"/>
        <w:numId w:val="13"/>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1"/>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4"/>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4"/>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4"/>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4"/>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5"/>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5"/>
      </w:numPr>
      <w:jc w:val="both"/>
    </w:pPr>
    <w:rPr>
      <w:rFonts w:eastAsia="Times New Roman"/>
      <w:szCs w:val="20"/>
      <w:lang w:eastAsia="en-US"/>
    </w:rPr>
  </w:style>
  <w:style w:type="paragraph" w:customStyle="1" w:styleId="01-Level3-BB">
    <w:name w:val="01-Level3-BB"/>
    <w:basedOn w:val="Normal"/>
    <w:next w:val="Normal"/>
    <w:rsid w:val="00AA7115"/>
    <w:pPr>
      <w:numPr>
        <w:ilvl w:val="2"/>
        <w:numId w:val="15"/>
      </w:numPr>
      <w:jc w:val="both"/>
    </w:pPr>
    <w:rPr>
      <w:rFonts w:eastAsia="Times New Roman"/>
      <w:szCs w:val="20"/>
      <w:lang w:eastAsia="en-US"/>
    </w:rPr>
  </w:style>
  <w:style w:type="paragraph" w:customStyle="1" w:styleId="01-Level4-BB">
    <w:name w:val="01-Level4-BB"/>
    <w:basedOn w:val="Normal"/>
    <w:next w:val="Normal"/>
    <w:rsid w:val="00AA7115"/>
    <w:pPr>
      <w:numPr>
        <w:ilvl w:val="3"/>
        <w:numId w:val="15"/>
      </w:numPr>
      <w:jc w:val="both"/>
    </w:pPr>
    <w:rPr>
      <w:rFonts w:eastAsia="Times New Roman"/>
      <w:szCs w:val="20"/>
      <w:lang w:eastAsia="en-US"/>
    </w:rPr>
  </w:style>
  <w:style w:type="paragraph" w:customStyle="1" w:styleId="01-Level5-BB">
    <w:name w:val="01-Level5-BB"/>
    <w:basedOn w:val="Normal"/>
    <w:next w:val="Normal"/>
    <w:rsid w:val="00AA7115"/>
    <w:pPr>
      <w:numPr>
        <w:ilvl w:val="4"/>
        <w:numId w:val="15"/>
      </w:numPr>
      <w:jc w:val="both"/>
    </w:pPr>
    <w:rPr>
      <w:rFonts w:eastAsia="Times New Roman"/>
      <w:szCs w:val="20"/>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6"/>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7"/>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19"/>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19"/>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19"/>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locked/>
    <w:rsid w:val="00AA7115"/>
    <w:rPr>
      <w:rFonts w:ascii="Helvetica Neue" w:hAnsi="Helvetica Neue" w:cs="Arial"/>
      <w:sz w:val="20"/>
    </w:rPr>
  </w:style>
  <w:style w:type="paragraph" w:customStyle="1" w:styleId="PQQbullet">
    <w:name w:val="PQQ bullet"/>
    <w:basedOn w:val="Normal"/>
    <w:link w:val="PQQbulletChar"/>
    <w:rsid w:val="00AA7115"/>
    <w:pPr>
      <w:numPr>
        <w:numId w:val="18"/>
      </w:numPr>
      <w:jc w:val="both"/>
    </w:pPr>
    <w:rPr>
      <w:rFonts w:eastAsia="Times New Roman"/>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StyleBodyTextIndent2Linespacingsingle">
    <w:name w:val="Style Body Text Indent 2 + Line spacing:  single"/>
    <w:basedOn w:val="BodyTextIndent2"/>
    <w:rsid w:val="00E35542"/>
    <w:pPr>
      <w:numPr>
        <w:ilvl w:val="0"/>
        <w:numId w:val="0"/>
      </w:numPr>
      <w:overflowPunct w:val="0"/>
      <w:autoSpaceDE w:val="0"/>
      <w:autoSpaceDN w:val="0"/>
      <w:ind w:left="1440"/>
      <w:textAlignment w:val="baseline"/>
    </w:pPr>
    <w:rPr>
      <w:rFonts w:eastAsia="Times New Roman"/>
      <w:lang w:eastAsia="en-US"/>
    </w:rPr>
  </w:style>
  <w:style w:type="paragraph" w:customStyle="1" w:styleId="Chapter">
    <w:name w:val="Chapter"/>
    <w:basedOn w:val="Title"/>
    <w:link w:val="ChapterChar"/>
    <w:qFormat/>
    <w:rsid w:val="00910C2D"/>
    <w:pPr>
      <w:jc w:val="left"/>
    </w:pPr>
    <w:rPr>
      <w:rFonts w:ascii="Arial" w:hAnsi="Arial"/>
      <w:b w:val="0"/>
      <w:color w:val="00AE9C"/>
      <w:spacing w:val="10"/>
      <w:sz w:val="40"/>
      <w:szCs w:val="40"/>
      <w:lang w:eastAsia="zh-CN"/>
    </w:rPr>
  </w:style>
  <w:style w:type="character" w:customStyle="1" w:styleId="ChapterChar">
    <w:name w:val="Chapter Char"/>
    <w:basedOn w:val="TitleChar"/>
    <w:link w:val="Chapter"/>
    <w:rsid w:val="00910C2D"/>
    <w:rPr>
      <w:rFonts w:ascii="Arial" w:eastAsia="SimSun" w:hAnsi="Arial" w:cs="Arial"/>
      <w:b w:val="0"/>
      <w:bCs/>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910C2D"/>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910C2D"/>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910C2D"/>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Quote">
    <w:name w:val="Quote"/>
    <w:basedOn w:val="Normal"/>
    <w:next w:val="Normal"/>
    <w:link w:val="QuoteChar"/>
    <w:uiPriority w:val="29"/>
    <w:qFormat/>
    <w:rsid w:val="00910C2D"/>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910C2D"/>
    <w:rPr>
      <w:rFonts w:ascii="Arial" w:eastAsia="SimSun" w:hAnsi="Arial"/>
      <w:i/>
      <w:iCs/>
      <w:color w:val="000000" w:themeColor="text1"/>
      <w:szCs w:val="24"/>
      <w:lang w:eastAsia="zh-CN"/>
    </w:rPr>
  </w:style>
  <w:style w:type="character" w:styleId="SubtleEmphasis">
    <w:name w:val="Subtle Emphasis"/>
    <w:uiPriority w:val="19"/>
    <w:qFormat/>
    <w:rsid w:val="00910C2D"/>
    <w:rPr>
      <w:i/>
      <w:iCs/>
      <w:color w:val="808080" w:themeColor="text1" w:themeTint="7F"/>
    </w:rPr>
  </w:style>
  <w:style w:type="character" w:styleId="IntenseReference">
    <w:name w:val="Intense Reference"/>
    <w:uiPriority w:val="32"/>
    <w:qFormat/>
    <w:rsid w:val="00910C2D"/>
    <w:rPr>
      <w:b/>
      <w:bCs/>
      <w:smallCaps/>
      <w:color w:val="C0504D" w:themeColor="accent2"/>
      <w:spacing w:val="5"/>
      <w:u w:val="single"/>
    </w:rPr>
  </w:style>
  <w:style w:type="numbering" w:customStyle="1" w:styleId="Style5">
    <w:name w:val="Style5"/>
    <w:rsid w:val="00C653E4"/>
    <w:pPr>
      <w:numPr>
        <w:numId w:val="28"/>
      </w:numPr>
    </w:pPr>
  </w:style>
  <w:style w:type="character" w:styleId="UnresolvedMention">
    <w:name w:val="Unresolved Mention"/>
    <w:basedOn w:val="DefaultParagraphFont"/>
    <w:uiPriority w:val="99"/>
    <w:semiHidden/>
    <w:unhideWhenUsed/>
    <w:rsid w:val="009A6A8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05542">
      <w:bodyDiv w:val="1"/>
      <w:marLeft w:val="0"/>
      <w:marRight w:val="0"/>
      <w:marTop w:val="0"/>
      <w:marBottom w:val="0"/>
      <w:divBdr>
        <w:top w:val="none" w:sz="0" w:space="0" w:color="auto"/>
        <w:left w:val="none" w:sz="0" w:space="0" w:color="auto"/>
        <w:bottom w:val="none" w:sz="0" w:space="0" w:color="auto"/>
        <w:right w:val="none" w:sz="0" w:space="0" w:color="auto"/>
      </w:divBdr>
      <w:divsChild>
        <w:div w:id="1739865509">
          <w:marLeft w:val="0"/>
          <w:marRight w:val="0"/>
          <w:marTop w:val="0"/>
          <w:marBottom w:val="0"/>
          <w:divBdr>
            <w:top w:val="none" w:sz="0" w:space="0" w:color="auto"/>
            <w:left w:val="none" w:sz="0" w:space="0" w:color="auto"/>
            <w:bottom w:val="none" w:sz="0" w:space="0" w:color="auto"/>
            <w:right w:val="none" w:sz="0" w:space="0" w:color="auto"/>
          </w:divBdr>
          <w:divsChild>
            <w:div w:id="241185276">
              <w:marLeft w:val="0"/>
              <w:marRight w:val="0"/>
              <w:marTop w:val="0"/>
              <w:marBottom w:val="0"/>
              <w:divBdr>
                <w:top w:val="none" w:sz="0" w:space="0" w:color="auto"/>
                <w:left w:val="none" w:sz="0" w:space="0" w:color="auto"/>
                <w:bottom w:val="none" w:sz="0" w:space="0" w:color="auto"/>
                <w:right w:val="none" w:sz="0" w:space="0" w:color="auto"/>
              </w:divBdr>
              <w:divsChild>
                <w:div w:id="1130975271">
                  <w:marLeft w:val="0"/>
                  <w:marRight w:val="0"/>
                  <w:marTop w:val="0"/>
                  <w:marBottom w:val="0"/>
                  <w:divBdr>
                    <w:top w:val="none" w:sz="0" w:space="0" w:color="auto"/>
                    <w:left w:val="none" w:sz="0" w:space="0" w:color="auto"/>
                    <w:bottom w:val="none" w:sz="0" w:space="0" w:color="auto"/>
                    <w:right w:val="none" w:sz="0" w:space="0" w:color="auto"/>
                  </w:divBdr>
                </w:div>
              </w:divsChild>
            </w:div>
            <w:div w:id="357851109">
              <w:marLeft w:val="0"/>
              <w:marRight w:val="0"/>
              <w:marTop w:val="0"/>
              <w:marBottom w:val="0"/>
              <w:divBdr>
                <w:top w:val="none" w:sz="0" w:space="0" w:color="auto"/>
                <w:left w:val="none" w:sz="0" w:space="0" w:color="auto"/>
                <w:bottom w:val="none" w:sz="0" w:space="0" w:color="auto"/>
                <w:right w:val="none" w:sz="0" w:space="0" w:color="auto"/>
              </w:divBdr>
              <w:divsChild>
                <w:div w:id="42599425">
                  <w:marLeft w:val="0"/>
                  <w:marRight w:val="0"/>
                  <w:marTop w:val="0"/>
                  <w:marBottom w:val="0"/>
                  <w:divBdr>
                    <w:top w:val="none" w:sz="0" w:space="0" w:color="auto"/>
                    <w:left w:val="none" w:sz="0" w:space="0" w:color="auto"/>
                    <w:bottom w:val="none" w:sz="0" w:space="0" w:color="auto"/>
                    <w:right w:val="none" w:sz="0" w:space="0" w:color="auto"/>
                  </w:divBdr>
                  <w:divsChild>
                    <w:div w:id="1113019271">
                      <w:marLeft w:val="0"/>
                      <w:marRight w:val="0"/>
                      <w:marTop w:val="0"/>
                      <w:marBottom w:val="0"/>
                      <w:divBdr>
                        <w:top w:val="none" w:sz="0" w:space="0" w:color="auto"/>
                        <w:left w:val="none" w:sz="0" w:space="0" w:color="auto"/>
                        <w:bottom w:val="none" w:sz="0" w:space="0" w:color="auto"/>
                        <w:right w:val="none" w:sz="0" w:space="0" w:color="auto"/>
                      </w:divBdr>
                      <w:divsChild>
                        <w:div w:id="8555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857426">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mentiapartnerships.com/diagnosis/dementia-prevalence-calculato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2F4A0-6F75-41D7-A45D-932674815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0</TotalTime>
  <Pages>4</Pages>
  <Words>1166</Words>
  <Characters>6955</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8105</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2</cp:revision>
  <cp:lastPrinted>2013-09-19T08:38:00Z</cp:lastPrinted>
  <dcterms:created xsi:type="dcterms:W3CDTF">2018-10-22T12:03:00Z</dcterms:created>
  <dcterms:modified xsi:type="dcterms:W3CDTF">2018-10-22T12:03:00Z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