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7F121" w14:textId="77777777" w:rsidR="00FA4A40" w:rsidRPr="003C3156" w:rsidRDefault="008F2B90">
      <w:pPr>
        <w:pStyle w:val="Heading6"/>
        <w:rPr>
          <w:sz w:val="28"/>
          <w:szCs w:val="28"/>
        </w:rPr>
      </w:pPr>
      <w:r>
        <w:rPr>
          <w:sz w:val="28"/>
          <w:szCs w:val="28"/>
        </w:rPr>
        <w:t>Good Growth Directorate</w:t>
      </w:r>
      <w:r w:rsidR="002B6E6B">
        <w:rPr>
          <w:sz w:val="28"/>
          <w:szCs w:val="28"/>
        </w:rPr>
        <w:t xml:space="preserve"> - </w:t>
      </w:r>
      <w:r w:rsidR="00FA4A40" w:rsidRPr="003C3156">
        <w:rPr>
          <w:sz w:val="28"/>
          <w:szCs w:val="28"/>
        </w:rPr>
        <w:t>Greater London Authority</w:t>
      </w:r>
    </w:p>
    <w:p w14:paraId="00B7F122" w14:textId="77777777" w:rsidR="002B6E6B" w:rsidRDefault="002B6E6B">
      <w:pPr>
        <w:pStyle w:val="Heading6"/>
      </w:pPr>
    </w:p>
    <w:p w14:paraId="00B7F123" w14:textId="0AAB6764" w:rsidR="009A3C2C" w:rsidRPr="003C3156" w:rsidRDefault="0EF3D618">
      <w:pPr>
        <w:pStyle w:val="Heading6"/>
        <w:rPr>
          <w:sz w:val="28"/>
          <w:szCs w:val="28"/>
        </w:rPr>
      </w:pPr>
      <w:r w:rsidRPr="594A6DEA">
        <w:rPr>
          <w:sz w:val="28"/>
          <w:szCs w:val="28"/>
        </w:rPr>
        <w:t xml:space="preserve">Tender </w:t>
      </w:r>
      <w:r w:rsidR="002B6E6B" w:rsidRPr="003C3156">
        <w:rPr>
          <w:sz w:val="28"/>
          <w:szCs w:val="28"/>
        </w:rPr>
        <w:t xml:space="preserve">Specification: </w:t>
      </w:r>
      <w:r w:rsidR="002C0E5A">
        <w:rPr>
          <w:sz w:val="28"/>
          <w:szCs w:val="28"/>
        </w:rPr>
        <w:t xml:space="preserve">GLA </w:t>
      </w:r>
      <w:r w:rsidR="000378BE">
        <w:rPr>
          <w:sz w:val="28"/>
          <w:szCs w:val="28"/>
        </w:rPr>
        <w:t>8</w:t>
      </w:r>
      <w:r w:rsidR="002C0E5A">
        <w:rPr>
          <w:sz w:val="28"/>
          <w:szCs w:val="28"/>
        </w:rPr>
        <w:t xml:space="preserve">2594 - </w:t>
      </w:r>
      <w:bookmarkStart w:id="0" w:name="_Hlk160112940"/>
      <w:r w:rsidR="009A3C2C" w:rsidRPr="003C3156">
        <w:rPr>
          <w:sz w:val="28"/>
          <w:szCs w:val="28"/>
        </w:rPr>
        <w:t>Lo</w:t>
      </w:r>
      <w:r w:rsidR="008F2B90">
        <w:rPr>
          <w:sz w:val="28"/>
          <w:szCs w:val="28"/>
        </w:rPr>
        <w:t xml:space="preserve">ndon Low Carbon Market Snapshot </w:t>
      </w:r>
      <w:r w:rsidR="009A3C2C" w:rsidRPr="003C3156">
        <w:rPr>
          <w:sz w:val="28"/>
          <w:szCs w:val="28"/>
        </w:rPr>
        <w:t>Update</w:t>
      </w:r>
    </w:p>
    <w:bookmarkEnd w:id="0"/>
    <w:p w14:paraId="00B7F124" w14:textId="77777777" w:rsidR="009A3C2C" w:rsidRDefault="009A3C2C">
      <w:pPr>
        <w:rPr>
          <w:rFonts w:ascii="Foundry Form Sans" w:hAnsi="Foundry Form Sans" w:cs="Arial"/>
          <w:szCs w:val="22"/>
        </w:rPr>
      </w:pPr>
    </w:p>
    <w:p w14:paraId="00B7F125" w14:textId="77777777" w:rsidR="009A3C2C" w:rsidRDefault="009A3C2C">
      <w:pPr>
        <w:rPr>
          <w:rFonts w:ascii="Foundry Form Sans" w:hAnsi="Foundry Form Sans" w:cs="Arial"/>
          <w:b/>
          <w:szCs w:val="22"/>
        </w:rPr>
      </w:pPr>
    </w:p>
    <w:p w14:paraId="2F6D072F" w14:textId="77777777" w:rsidR="008C2FA2" w:rsidRDefault="008C2FA2" w:rsidP="008C2FA2">
      <w:pPr>
        <w:numPr>
          <w:ilvl w:val="0"/>
          <w:numId w:val="32"/>
        </w:numPr>
        <w:rPr>
          <w:rFonts w:ascii="Foundry Form Sans" w:hAnsi="Foundry Form Sans" w:cs="Arial"/>
          <w:b/>
        </w:rPr>
      </w:pPr>
      <w:r w:rsidRPr="594A6DEA">
        <w:rPr>
          <w:rFonts w:ascii="Foundry Form Sans" w:hAnsi="Foundry Form Sans" w:cs="Arial"/>
          <w:b/>
        </w:rPr>
        <w:t>Introduction</w:t>
      </w:r>
    </w:p>
    <w:p w14:paraId="5F52308D" w14:textId="37B5CB7A" w:rsidR="00804F6B" w:rsidRDefault="04B52F31" w:rsidP="008C2FA2">
      <w:pPr>
        <w:rPr>
          <w:rFonts w:ascii="Foundry Form Sans" w:hAnsi="Foundry Form Sans" w:cs="Arial"/>
        </w:rPr>
      </w:pPr>
      <w:r w:rsidRPr="4694368D">
        <w:rPr>
          <w:rFonts w:ascii="Foundry Form Sans" w:hAnsi="Foundry Form Sans" w:cs="Arial"/>
        </w:rPr>
        <w:t xml:space="preserve">The GLA </w:t>
      </w:r>
      <w:r w:rsidR="736231CA" w:rsidRPr="4694368D">
        <w:rPr>
          <w:rFonts w:ascii="Foundry Form Sans" w:hAnsi="Foundry Form Sans" w:cs="Arial"/>
        </w:rPr>
        <w:t>and its partners</w:t>
      </w:r>
      <w:r w:rsidRPr="4694368D">
        <w:rPr>
          <w:rFonts w:ascii="Foundry Form Sans" w:hAnsi="Foundry Form Sans" w:cs="Arial"/>
        </w:rPr>
        <w:t xml:space="preserve"> are</w:t>
      </w:r>
      <w:r w:rsidR="00D84210">
        <w:rPr>
          <w:rFonts w:ascii="Foundry Form Sans" w:hAnsi="Foundry Form Sans" w:cs="Arial"/>
        </w:rPr>
        <w:t xml:space="preserve"> looking</w:t>
      </w:r>
      <w:r w:rsidR="000F0C07">
        <w:rPr>
          <w:rFonts w:ascii="Foundry Form Sans" w:hAnsi="Foundry Form Sans" w:cs="Arial"/>
        </w:rPr>
        <w:t xml:space="preserve"> for suggestions</w:t>
      </w:r>
      <w:r w:rsidR="00D84210">
        <w:rPr>
          <w:rFonts w:ascii="Foundry Form Sans" w:hAnsi="Foundry Form Sans" w:cs="Arial"/>
        </w:rPr>
        <w:t xml:space="preserve"> to </w:t>
      </w:r>
      <w:r w:rsidR="00F968AF">
        <w:rPr>
          <w:rFonts w:ascii="Foundry Form Sans" w:hAnsi="Foundry Form Sans" w:cs="Arial"/>
        </w:rPr>
        <w:t xml:space="preserve">baseline and </w:t>
      </w:r>
      <w:r w:rsidR="00C63EDC">
        <w:rPr>
          <w:rFonts w:ascii="Foundry Form Sans" w:hAnsi="Foundry Form Sans" w:cs="Arial"/>
        </w:rPr>
        <w:t xml:space="preserve">provide </w:t>
      </w:r>
      <w:r w:rsidR="00F968AF">
        <w:rPr>
          <w:rFonts w:ascii="Foundry Form Sans" w:hAnsi="Foundry Form Sans" w:cs="Arial"/>
        </w:rPr>
        <w:t xml:space="preserve">projection of the Green Economy. </w:t>
      </w:r>
      <w:r w:rsidR="00840BC5">
        <w:rPr>
          <w:rFonts w:ascii="Foundry Form Sans" w:hAnsi="Foundry Form Sans" w:cs="Arial"/>
        </w:rPr>
        <w:t>An example of the approach could be integration of two key datasets</w:t>
      </w:r>
      <w:r w:rsidR="005C1B95">
        <w:rPr>
          <w:rFonts w:ascii="Foundry Form Sans" w:hAnsi="Foundry Form Sans" w:cs="Arial"/>
        </w:rPr>
        <w:t xml:space="preserve"> that have been used </w:t>
      </w:r>
      <w:r w:rsidR="009E77FA">
        <w:rPr>
          <w:rFonts w:ascii="Foundry Form Sans" w:hAnsi="Foundry Form Sans" w:cs="Arial"/>
        </w:rPr>
        <w:t>before</w:t>
      </w:r>
      <w:r w:rsidR="00C63EDC">
        <w:rPr>
          <w:rFonts w:ascii="Foundry Form Sans" w:hAnsi="Foundry Form Sans" w:cs="Arial"/>
        </w:rPr>
        <w:t>,</w:t>
      </w:r>
      <w:r w:rsidR="00840BC5">
        <w:rPr>
          <w:rFonts w:ascii="Foundry Form Sans" w:hAnsi="Foundry Form Sans" w:cs="Arial"/>
        </w:rPr>
        <w:t xml:space="preserve"> </w:t>
      </w:r>
      <w:r w:rsidR="00907DF2">
        <w:rPr>
          <w:rFonts w:ascii="Foundry Form Sans" w:hAnsi="Foundry Form Sans" w:cs="Arial"/>
        </w:rPr>
        <w:t>t</w:t>
      </w:r>
      <w:r w:rsidR="001925B0">
        <w:rPr>
          <w:rFonts w:ascii="Foundry Form Sans" w:hAnsi="Foundry Form Sans" w:cs="Arial"/>
        </w:rPr>
        <w:t>he</w:t>
      </w:r>
      <w:r w:rsidR="00350B82">
        <w:rPr>
          <w:rFonts w:ascii="Foundry Form Sans" w:hAnsi="Foundry Form Sans" w:cs="Arial"/>
        </w:rPr>
        <w:t xml:space="preserve"> kMatrix</w:t>
      </w:r>
      <w:r w:rsidR="001925B0">
        <w:rPr>
          <w:rFonts w:ascii="Foundry Form Sans" w:hAnsi="Foundry Form Sans" w:cs="Arial"/>
        </w:rPr>
        <w:t xml:space="preserve"> London Low Carbon and Environmental Good and Services sec</w:t>
      </w:r>
      <w:r w:rsidR="00350B82">
        <w:rPr>
          <w:rFonts w:ascii="Foundry Form Sans" w:hAnsi="Foundry Form Sans" w:cs="Arial"/>
        </w:rPr>
        <w:t xml:space="preserve">tor and WPI </w:t>
      </w:r>
      <w:r w:rsidR="00237EEC">
        <w:rPr>
          <w:rFonts w:ascii="Foundry Form Sans" w:hAnsi="Foundry Form Sans" w:cs="Arial"/>
        </w:rPr>
        <w:t>Economics Green Jobs and Skills report</w:t>
      </w:r>
      <w:r w:rsidR="00FE3990">
        <w:rPr>
          <w:rFonts w:ascii="Foundry Form Sans" w:hAnsi="Foundry Form Sans" w:cs="Arial"/>
        </w:rPr>
        <w:t xml:space="preserve"> wh</w:t>
      </w:r>
      <w:r w:rsidR="00AA0D21">
        <w:rPr>
          <w:rFonts w:ascii="Foundry Form Sans" w:hAnsi="Foundry Form Sans" w:cs="Arial"/>
        </w:rPr>
        <w:t xml:space="preserve">ich </w:t>
      </w:r>
      <w:r w:rsidR="00B4092A">
        <w:rPr>
          <w:rFonts w:ascii="Foundry Form Sans" w:hAnsi="Foundry Form Sans" w:cs="Arial"/>
        </w:rPr>
        <w:t>focuses on</w:t>
      </w:r>
      <w:r w:rsidR="00AA0D21">
        <w:rPr>
          <w:rFonts w:ascii="Foundry Form Sans" w:hAnsi="Foundry Form Sans" w:cs="Arial"/>
        </w:rPr>
        <w:t xml:space="preserve"> 11 priority emerging green economy sectors. </w:t>
      </w:r>
    </w:p>
    <w:p w14:paraId="563E55C0" w14:textId="77777777" w:rsidR="008C2FA2" w:rsidRDefault="008C2FA2" w:rsidP="008C2FA2">
      <w:pPr>
        <w:rPr>
          <w:rFonts w:ascii="Foundry Form Sans" w:hAnsi="Foundry Form Sans" w:cs="Arial"/>
          <w:bCs/>
          <w:szCs w:val="22"/>
        </w:rPr>
      </w:pPr>
    </w:p>
    <w:p w14:paraId="306C98B8" w14:textId="1A3AB14E" w:rsidR="008C2FA2" w:rsidRDefault="256622DD" w:rsidP="19601E74">
      <w:pPr>
        <w:rPr>
          <w:rFonts w:ascii="Foundry Form Sans" w:hAnsi="Foundry Form Sans" w:cs="Arial"/>
        </w:rPr>
      </w:pPr>
      <w:r w:rsidRPr="4694368D">
        <w:rPr>
          <w:rFonts w:ascii="Foundry Form Sans" w:hAnsi="Foundry Form Sans" w:cs="Arial"/>
        </w:rPr>
        <w:t xml:space="preserve">The proposed contract will run for 3 years. The GLA </w:t>
      </w:r>
      <w:r w:rsidR="3A5474AB" w:rsidRPr="4694368D">
        <w:rPr>
          <w:rFonts w:ascii="Foundry Form Sans" w:hAnsi="Foundry Form Sans" w:cs="Arial"/>
        </w:rPr>
        <w:t>and its partners</w:t>
      </w:r>
      <w:r w:rsidRPr="4694368D">
        <w:rPr>
          <w:rFonts w:ascii="Foundry Form Sans" w:hAnsi="Foundry Form Sans" w:cs="Arial"/>
        </w:rPr>
        <w:t xml:space="preserve"> want to update the dataset with data for </w:t>
      </w:r>
      <w:bookmarkStart w:id="1" w:name="_Hlk66137752"/>
      <w:r w:rsidRPr="4694368D">
        <w:rPr>
          <w:rFonts w:ascii="Foundry Form Sans" w:hAnsi="Foundry Form Sans" w:cs="Arial"/>
        </w:rPr>
        <w:t>202</w:t>
      </w:r>
      <w:r w:rsidR="00343363">
        <w:rPr>
          <w:rFonts w:ascii="Foundry Form Sans" w:hAnsi="Foundry Form Sans" w:cs="Arial"/>
        </w:rPr>
        <w:t>3/24</w:t>
      </w:r>
      <w:r w:rsidRPr="4694368D">
        <w:rPr>
          <w:rFonts w:ascii="Foundry Form Sans" w:hAnsi="Foundry Form Sans" w:cs="Arial"/>
        </w:rPr>
        <w:t>, 202</w:t>
      </w:r>
      <w:r w:rsidR="00343363">
        <w:rPr>
          <w:rFonts w:ascii="Foundry Form Sans" w:hAnsi="Foundry Form Sans" w:cs="Arial"/>
        </w:rPr>
        <w:t>4</w:t>
      </w:r>
      <w:r w:rsidRPr="4694368D">
        <w:rPr>
          <w:rFonts w:ascii="Foundry Form Sans" w:hAnsi="Foundry Form Sans" w:cs="Arial"/>
        </w:rPr>
        <w:t>/2</w:t>
      </w:r>
      <w:r w:rsidR="00343363">
        <w:rPr>
          <w:rFonts w:ascii="Foundry Form Sans" w:hAnsi="Foundry Form Sans" w:cs="Arial"/>
        </w:rPr>
        <w:t>5</w:t>
      </w:r>
      <w:r w:rsidRPr="4694368D">
        <w:rPr>
          <w:rFonts w:ascii="Foundry Form Sans" w:hAnsi="Foundry Form Sans" w:cs="Arial"/>
        </w:rPr>
        <w:t xml:space="preserve"> and 202</w:t>
      </w:r>
      <w:r w:rsidR="00343363">
        <w:rPr>
          <w:rFonts w:ascii="Foundry Form Sans" w:hAnsi="Foundry Form Sans" w:cs="Arial"/>
        </w:rPr>
        <w:t>5</w:t>
      </w:r>
      <w:r w:rsidRPr="4694368D">
        <w:rPr>
          <w:rFonts w:ascii="Foundry Form Sans" w:hAnsi="Foundry Form Sans" w:cs="Arial"/>
        </w:rPr>
        <w:t>/2</w:t>
      </w:r>
      <w:r w:rsidR="00343363">
        <w:rPr>
          <w:rFonts w:ascii="Foundry Form Sans" w:hAnsi="Foundry Form Sans" w:cs="Arial"/>
        </w:rPr>
        <w:t>6</w:t>
      </w:r>
      <w:r w:rsidRPr="4694368D">
        <w:rPr>
          <w:rFonts w:ascii="Foundry Form Sans" w:hAnsi="Foundry Form Sans" w:cs="Arial"/>
        </w:rPr>
        <w:t xml:space="preserve"> </w:t>
      </w:r>
      <w:bookmarkEnd w:id="1"/>
      <w:r w:rsidRPr="4694368D">
        <w:rPr>
          <w:rFonts w:ascii="Foundry Form Sans" w:hAnsi="Foundry Form Sans" w:cs="Arial"/>
        </w:rPr>
        <w:t xml:space="preserve">to continue the 16-year data set to </w:t>
      </w:r>
      <w:bookmarkStart w:id="2" w:name="_Hlk151454811"/>
      <w:r w:rsidRPr="4694368D">
        <w:rPr>
          <w:rFonts w:ascii="Foundry Form Sans" w:hAnsi="Foundry Form Sans" w:cs="Arial"/>
        </w:rPr>
        <w:t>create a baseline for the ‘green economy’ from which to evaluate the impact of the G</w:t>
      </w:r>
      <w:r w:rsidR="57C2562B" w:rsidRPr="4694368D">
        <w:rPr>
          <w:rFonts w:ascii="Foundry Form Sans" w:hAnsi="Foundry Form Sans" w:cs="Arial"/>
        </w:rPr>
        <w:t xml:space="preserve">reen </w:t>
      </w:r>
      <w:r w:rsidRPr="4694368D">
        <w:rPr>
          <w:rFonts w:ascii="Foundry Form Sans" w:hAnsi="Foundry Form Sans" w:cs="Arial"/>
        </w:rPr>
        <w:t>N</w:t>
      </w:r>
      <w:r w:rsidR="255AF7DD" w:rsidRPr="4694368D">
        <w:rPr>
          <w:rFonts w:ascii="Foundry Form Sans" w:hAnsi="Foundry Form Sans" w:cs="Arial"/>
        </w:rPr>
        <w:t xml:space="preserve">ew </w:t>
      </w:r>
      <w:r w:rsidRPr="4694368D">
        <w:rPr>
          <w:rFonts w:ascii="Foundry Form Sans" w:hAnsi="Foundry Form Sans" w:cs="Arial"/>
        </w:rPr>
        <w:t>D</w:t>
      </w:r>
      <w:r w:rsidR="1AB9A027" w:rsidRPr="4694368D">
        <w:rPr>
          <w:rFonts w:ascii="Foundry Form Sans" w:hAnsi="Foundry Form Sans" w:cs="Arial"/>
        </w:rPr>
        <w:t>eal</w:t>
      </w:r>
      <w:r w:rsidRPr="4694368D">
        <w:rPr>
          <w:rFonts w:ascii="Foundry Form Sans" w:hAnsi="Foundry Form Sans" w:cs="Arial"/>
        </w:rPr>
        <w:t xml:space="preserve"> mission</w:t>
      </w:r>
      <w:bookmarkEnd w:id="2"/>
      <w:r w:rsidR="6F294EE7" w:rsidRPr="4694368D">
        <w:rPr>
          <w:rFonts w:ascii="Foundry Form Sans" w:hAnsi="Foundry Form Sans" w:cs="Arial"/>
        </w:rPr>
        <w:t>, shape the delivery of the Green Economy theme of London Councils’ Climate Programme</w:t>
      </w:r>
      <w:r w:rsidR="2A798F57" w:rsidRPr="4694368D">
        <w:rPr>
          <w:rFonts w:ascii="Foundry Form Sans" w:hAnsi="Foundry Form Sans" w:cs="Arial"/>
        </w:rPr>
        <w:t xml:space="preserve">, </w:t>
      </w:r>
      <w:r w:rsidR="2A798F57" w:rsidRPr="4694368D">
        <w:rPr>
          <w:rFonts w:ascii="Foundry Form Sans" w:eastAsia="Foundry Form Sans" w:hAnsi="Foundry Form Sans" w:cs="Foundry Form Sans"/>
        </w:rPr>
        <w:t>as well as borough net zero and skills programmes,</w:t>
      </w:r>
      <w:r w:rsidR="6F294EE7" w:rsidRPr="4694368D">
        <w:rPr>
          <w:rFonts w:ascii="Foundry Form Sans" w:hAnsi="Foundry Form Sans" w:cs="Arial"/>
        </w:rPr>
        <w:t xml:space="preserve"> and</w:t>
      </w:r>
      <w:r w:rsidR="4C47183B" w:rsidRPr="4694368D">
        <w:rPr>
          <w:rFonts w:ascii="Foundry Form Sans" w:hAnsi="Foundry Form Sans" w:cs="Arial"/>
        </w:rPr>
        <w:t xml:space="preserve"> help</w:t>
      </w:r>
      <w:r w:rsidR="6F294EE7" w:rsidRPr="4694368D">
        <w:rPr>
          <w:rFonts w:ascii="Foundry Form Sans" w:hAnsi="Foundry Form Sans" w:cs="Arial"/>
        </w:rPr>
        <w:t xml:space="preserve"> support overall awareness of and engagement with the green economy across the public and private sector</w:t>
      </w:r>
      <w:r w:rsidR="412C7BA7" w:rsidRPr="4694368D">
        <w:rPr>
          <w:rFonts w:ascii="Foundry Form Sans" w:hAnsi="Foundry Form Sans" w:cs="Arial"/>
        </w:rPr>
        <w:t xml:space="preserve"> in London</w:t>
      </w:r>
      <w:r w:rsidRPr="4694368D">
        <w:rPr>
          <w:rFonts w:ascii="Foundry Form Sans" w:hAnsi="Foundry Form Sans" w:cs="Arial"/>
        </w:rPr>
        <w:t>.</w:t>
      </w:r>
    </w:p>
    <w:p w14:paraId="512B88E2" w14:textId="77777777" w:rsidR="008C2FA2" w:rsidRDefault="008C2FA2" w:rsidP="008C2FA2">
      <w:pPr>
        <w:rPr>
          <w:rFonts w:ascii="Foundry Form Sans" w:hAnsi="Foundry Form Sans" w:cs="Arial"/>
          <w:bCs/>
          <w:szCs w:val="22"/>
        </w:rPr>
      </w:pPr>
    </w:p>
    <w:p w14:paraId="0E2F2F3B" w14:textId="6E8F70C6" w:rsidR="008C2FA2" w:rsidRDefault="027E1555" w:rsidP="19601E74">
      <w:pPr>
        <w:rPr>
          <w:rFonts w:ascii="Foundry Form Sans" w:hAnsi="Foundry Form Sans" w:cs="Arial"/>
        </w:rPr>
      </w:pPr>
      <w:r w:rsidRPr="19601E74">
        <w:rPr>
          <w:rFonts w:ascii="Foundry Form Sans" w:hAnsi="Foundry Form Sans" w:cs="Arial"/>
        </w:rPr>
        <w:t xml:space="preserve">This dataset will quantify the size, nature and growth patterns of the sector, and its sub-sectors, and provide important intelligence that will provide data to monitor growth in the ‘green economy’ for </w:t>
      </w:r>
      <w:r w:rsidR="00343363" w:rsidRPr="00343363">
        <w:rPr>
          <w:rFonts w:ascii="Foundry Form Sans" w:hAnsi="Foundry Form Sans" w:cs="Arial"/>
        </w:rPr>
        <w:t>2023/24, 2024/25 and 2025/</w:t>
      </w:r>
      <w:r w:rsidR="00DA5EC5" w:rsidRPr="00343363">
        <w:rPr>
          <w:rFonts w:ascii="Foundry Form Sans" w:hAnsi="Foundry Form Sans" w:cs="Arial"/>
        </w:rPr>
        <w:t>26.</w:t>
      </w:r>
      <w:r w:rsidRPr="19601E74">
        <w:rPr>
          <w:rFonts w:ascii="Foundry Form Sans" w:hAnsi="Foundry Form Sans" w:cs="Arial"/>
        </w:rPr>
        <w:t xml:space="preserve"> </w:t>
      </w:r>
    </w:p>
    <w:p w14:paraId="433397D7" w14:textId="77777777" w:rsidR="008C2FA2" w:rsidRDefault="008C2FA2" w:rsidP="008C2FA2">
      <w:pPr>
        <w:rPr>
          <w:rFonts w:ascii="Foundry Form Sans" w:hAnsi="Foundry Form Sans" w:cs="Arial"/>
          <w:bCs/>
          <w:szCs w:val="22"/>
        </w:rPr>
      </w:pPr>
    </w:p>
    <w:p w14:paraId="2D54EFCB" w14:textId="77777777" w:rsidR="008C2FA2" w:rsidRDefault="027E1555" w:rsidP="008C2FA2">
      <w:pPr>
        <w:rPr>
          <w:rFonts w:ascii="Foundry Form Sans" w:hAnsi="Foundry Form Sans" w:cs="Arial"/>
        </w:rPr>
      </w:pPr>
      <w:r w:rsidRPr="19601E74">
        <w:rPr>
          <w:rFonts w:ascii="Foundry Form Sans" w:hAnsi="Foundry Form Sans" w:cs="Arial"/>
        </w:rPr>
        <w:t xml:space="preserve">It will also help provide an insight into the make-up of London’s ‘green economy’ at a London borough and sub-regional level so that economic and environmental support can be tailored to the needs of different parts of London. It will also provide analysis and long-term forecasts for London specific priorities and cover sectors such as climate adaptation and green infrastructure. </w:t>
      </w:r>
    </w:p>
    <w:p w14:paraId="7BC8C0AA" w14:textId="77777777" w:rsidR="008C2FA2" w:rsidRDefault="008C2FA2" w:rsidP="008C2FA2">
      <w:pPr>
        <w:rPr>
          <w:rFonts w:ascii="Foundry Form Sans" w:hAnsi="Foundry Form Sans" w:cs="Arial"/>
        </w:rPr>
      </w:pPr>
    </w:p>
    <w:p w14:paraId="00B7F126" w14:textId="77777777" w:rsidR="009A3C2C" w:rsidRDefault="00942F10" w:rsidP="00942F10">
      <w:pPr>
        <w:numPr>
          <w:ilvl w:val="0"/>
          <w:numId w:val="32"/>
        </w:numPr>
        <w:rPr>
          <w:rFonts w:ascii="Foundry Form Sans" w:hAnsi="Foundry Form Sans" w:cs="Arial"/>
          <w:b/>
          <w:szCs w:val="22"/>
        </w:rPr>
      </w:pPr>
      <w:r>
        <w:rPr>
          <w:rFonts w:ascii="Foundry Form Sans" w:hAnsi="Foundry Form Sans" w:cs="Arial"/>
          <w:b/>
          <w:szCs w:val="22"/>
        </w:rPr>
        <w:t>Background</w:t>
      </w:r>
    </w:p>
    <w:p w14:paraId="00B7F129" w14:textId="6A815F31" w:rsidR="00CB57AE" w:rsidRDefault="008F2B90" w:rsidP="00942F10">
      <w:pPr>
        <w:rPr>
          <w:rFonts w:ascii="Foundry Form Sans" w:hAnsi="Foundry Form Sans" w:cs="Arial"/>
        </w:rPr>
      </w:pPr>
      <w:bookmarkStart w:id="3" w:name="_Hlk151456695"/>
      <w:r w:rsidRPr="594A6DEA">
        <w:rPr>
          <w:rFonts w:ascii="Foundry Form Sans" w:hAnsi="Foundry Form Sans" w:cs="Arial"/>
        </w:rPr>
        <w:t xml:space="preserve">London’s Low Carbon Market Snapshot has been used to quantify the size and nature of London’s low carbon and environmental goods and services sector since 2013.  This has been used as a proxy for the ‘green economy’ since then as a way of estimating activity across </w:t>
      </w:r>
      <w:r w:rsidR="00942F10" w:rsidRPr="594A6DEA">
        <w:rPr>
          <w:rFonts w:ascii="Foundry Form Sans" w:hAnsi="Foundry Form Sans" w:cs="Arial"/>
        </w:rPr>
        <w:t xml:space="preserve">the economy </w:t>
      </w:r>
      <w:r w:rsidRPr="594A6DEA">
        <w:rPr>
          <w:rFonts w:ascii="Foundry Form Sans" w:hAnsi="Foundry Form Sans" w:cs="Arial"/>
        </w:rPr>
        <w:t>to reduce</w:t>
      </w:r>
      <w:r w:rsidR="00942F10" w:rsidRPr="594A6DEA">
        <w:rPr>
          <w:rFonts w:ascii="Foundry Form Sans" w:hAnsi="Foundry Form Sans" w:cs="Arial"/>
        </w:rPr>
        <w:t xml:space="preserve"> carbon emissions and consumption of natural resources</w:t>
      </w:r>
      <w:r w:rsidR="00CB57AE" w:rsidRPr="594A6DEA">
        <w:rPr>
          <w:rFonts w:ascii="Foundry Form Sans" w:hAnsi="Foundry Form Sans" w:cs="Arial"/>
        </w:rPr>
        <w:t>.</w:t>
      </w:r>
    </w:p>
    <w:bookmarkEnd w:id="3"/>
    <w:p w14:paraId="00B7F12A" w14:textId="77777777" w:rsidR="00CB57AE" w:rsidRDefault="00CB57AE" w:rsidP="00942F10">
      <w:pPr>
        <w:rPr>
          <w:rFonts w:ascii="Foundry Form Sans" w:hAnsi="Foundry Form Sans" w:cs="Arial"/>
          <w:bCs/>
          <w:szCs w:val="22"/>
        </w:rPr>
      </w:pPr>
    </w:p>
    <w:p w14:paraId="00B7F12B" w14:textId="1E1E9A96" w:rsidR="00CB57AE" w:rsidRPr="00CB57AE" w:rsidRDefault="00CB57AE" w:rsidP="00CB57AE">
      <w:pPr>
        <w:rPr>
          <w:rFonts w:ascii="Foundry Form Sans" w:hAnsi="Foundry Form Sans" w:cs="Arial"/>
        </w:rPr>
      </w:pPr>
      <w:r w:rsidRPr="6D22C65C">
        <w:rPr>
          <w:rFonts w:ascii="Foundry Form Sans" w:hAnsi="Foundry Form Sans" w:cs="Arial"/>
        </w:rPr>
        <w:t xml:space="preserve">In 2020 the Mayor </w:t>
      </w:r>
      <w:r w:rsidR="781ACB6C" w:rsidRPr="6D22C65C">
        <w:rPr>
          <w:rFonts w:ascii="Foundry Form Sans" w:hAnsi="Foundry Form Sans" w:cs="Arial"/>
        </w:rPr>
        <w:t>and London Councils’ Chair</w:t>
      </w:r>
      <w:r w:rsidRPr="6D22C65C">
        <w:rPr>
          <w:rFonts w:ascii="Foundry Form Sans" w:hAnsi="Foundry Form Sans" w:cs="Arial"/>
        </w:rPr>
        <w:t xml:space="preserve"> established the London Recovery Board to co-ordinate London’s response to the impacts of the coronavirus pandemic on both society and the economy. The board established a mission-based approach to the recovery with nine missions focussing on a variety of issues from high street revival and good work to engaging youth</w:t>
      </w:r>
      <w:r w:rsidR="00E358B2">
        <w:rPr>
          <w:rFonts w:ascii="Foundry Form Sans" w:hAnsi="Foundry Form Sans" w:cs="Arial"/>
        </w:rPr>
        <w:t>,</w:t>
      </w:r>
      <w:r w:rsidRPr="6D22C65C">
        <w:rPr>
          <w:rFonts w:ascii="Foundry Form Sans" w:hAnsi="Foundry Form Sans" w:cs="Arial"/>
        </w:rPr>
        <w:t xml:space="preserve"> social cohesion</w:t>
      </w:r>
      <w:r w:rsidR="00E358B2">
        <w:rPr>
          <w:rFonts w:ascii="Foundry Form Sans" w:hAnsi="Foundry Form Sans" w:cs="Arial"/>
        </w:rPr>
        <w:t xml:space="preserve"> and green new deal</w:t>
      </w:r>
      <w:r w:rsidRPr="6D22C65C">
        <w:rPr>
          <w:rFonts w:ascii="Foundry Form Sans" w:hAnsi="Foundry Form Sans" w:cs="Arial"/>
        </w:rPr>
        <w:t xml:space="preserve">. </w:t>
      </w:r>
      <w:r w:rsidR="59A64A3C" w:rsidRPr="6D22C65C">
        <w:rPr>
          <w:rFonts w:ascii="Foundry Form Sans" w:hAnsi="Foundry Form Sans" w:cs="Arial"/>
        </w:rPr>
        <w:t>In 2022, the board was renamed the London Partnership Board, to reflect its ongoing mission beyond the Covid-19 pandemic.</w:t>
      </w:r>
    </w:p>
    <w:p w14:paraId="00B7F12C" w14:textId="77777777" w:rsidR="00CB57AE" w:rsidRPr="00CB57AE" w:rsidRDefault="00CB57AE" w:rsidP="00CB57AE">
      <w:pPr>
        <w:rPr>
          <w:rFonts w:ascii="Foundry Form Sans" w:hAnsi="Foundry Form Sans" w:cs="Arial"/>
          <w:bCs/>
          <w:szCs w:val="22"/>
        </w:rPr>
      </w:pPr>
    </w:p>
    <w:p w14:paraId="00B7F12D" w14:textId="16A48009" w:rsidR="00CB57AE" w:rsidRPr="00CB57AE" w:rsidRDefault="00CB57AE" w:rsidP="00CB57AE">
      <w:pPr>
        <w:rPr>
          <w:rFonts w:ascii="Foundry Form Sans" w:hAnsi="Foundry Form Sans" w:cs="Arial"/>
          <w:bCs/>
          <w:szCs w:val="22"/>
        </w:rPr>
      </w:pPr>
      <w:r w:rsidRPr="00CB57AE">
        <w:rPr>
          <w:rFonts w:ascii="Foundry Form Sans" w:hAnsi="Foundry Form Sans" w:cs="Arial"/>
          <w:bCs/>
          <w:szCs w:val="22"/>
        </w:rPr>
        <w:t>A Green New Deal</w:t>
      </w:r>
      <w:r w:rsidR="00027CFD">
        <w:rPr>
          <w:rFonts w:ascii="Foundry Form Sans" w:hAnsi="Foundry Form Sans" w:cs="Arial"/>
          <w:bCs/>
          <w:szCs w:val="22"/>
        </w:rPr>
        <w:t xml:space="preserve"> (GND)</w:t>
      </w:r>
      <w:r w:rsidRPr="00CB57AE">
        <w:rPr>
          <w:rFonts w:ascii="Foundry Form Sans" w:hAnsi="Foundry Form Sans" w:cs="Arial"/>
          <w:bCs/>
          <w:szCs w:val="22"/>
        </w:rPr>
        <w:t xml:space="preserve"> for London is one of those missions and environmental sustainability is also one of the cross-cutting themes that runs through every mission.  </w:t>
      </w:r>
      <w:r>
        <w:rPr>
          <w:rFonts w:ascii="Foundry Form Sans" w:hAnsi="Foundry Form Sans" w:cs="Arial"/>
          <w:bCs/>
          <w:szCs w:val="22"/>
        </w:rPr>
        <w:t>The objective of the G</w:t>
      </w:r>
      <w:r w:rsidRPr="00CB57AE">
        <w:rPr>
          <w:rFonts w:ascii="Foundry Form Sans" w:hAnsi="Foundry Form Sans" w:cs="Arial"/>
          <w:bCs/>
          <w:szCs w:val="22"/>
        </w:rPr>
        <w:t xml:space="preserve">reen New Deal </w:t>
      </w:r>
      <w:r>
        <w:rPr>
          <w:rFonts w:ascii="Foundry Form Sans" w:hAnsi="Foundry Form Sans" w:cs="Arial"/>
          <w:bCs/>
          <w:szCs w:val="22"/>
        </w:rPr>
        <w:t>m</w:t>
      </w:r>
      <w:r w:rsidRPr="00CB57AE">
        <w:rPr>
          <w:rFonts w:ascii="Foundry Form Sans" w:hAnsi="Foundry Form Sans" w:cs="Arial"/>
          <w:bCs/>
          <w:szCs w:val="22"/>
        </w:rPr>
        <w:t xml:space="preserve">ission is to </w:t>
      </w:r>
      <w:r w:rsidR="00A02E02">
        <w:rPr>
          <w:rFonts w:ascii="Foundry Form Sans" w:hAnsi="Foundry Form Sans" w:cs="Arial"/>
          <w:bCs/>
          <w:szCs w:val="22"/>
        </w:rPr>
        <w:t xml:space="preserve">help </w:t>
      </w:r>
      <w:r w:rsidRPr="00CB57AE">
        <w:rPr>
          <w:rFonts w:ascii="Foundry Form Sans" w:hAnsi="Foundry Form Sans" w:cs="Arial"/>
          <w:bCs/>
          <w:szCs w:val="22"/>
        </w:rPr>
        <w:t xml:space="preserve">drive London’s recovery by tackling the climate and ecological emergencies and improving air quality whilst </w:t>
      </w:r>
      <w:r w:rsidRPr="00CB57AE">
        <w:rPr>
          <w:rFonts w:ascii="Foundry Form Sans" w:hAnsi="Foundry Form Sans" w:cs="Arial"/>
          <w:bCs/>
          <w:szCs w:val="22"/>
        </w:rPr>
        <w:lastRenderedPageBreak/>
        <w:t xml:space="preserve">doubling the size of London’s green economy by 2030 and accelerating job creation for all. </w:t>
      </w:r>
    </w:p>
    <w:p w14:paraId="00B7F12E" w14:textId="77777777" w:rsidR="00CB57AE" w:rsidRPr="00CB57AE" w:rsidRDefault="00CB57AE" w:rsidP="00CB57AE">
      <w:pPr>
        <w:rPr>
          <w:rFonts w:ascii="Foundry Form Sans" w:hAnsi="Foundry Form Sans" w:cs="Arial"/>
          <w:bCs/>
          <w:szCs w:val="22"/>
        </w:rPr>
      </w:pPr>
    </w:p>
    <w:p w14:paraId="006BAD53" w14:textId="44AC4214" w:rsidR="003D60C0" w:rsidRDefault="428B81DE" w:rsidP="00CB57AE">
      <w:pPr>
        <w:rPr>
          <w:rFonts w:ascii="Foundry Form Sans" w:hAnsi="Foundry Form Sans" w:cs="Arial"/>
        </w:rPr>
      </w:pPr>
      <w:r w:rsidRPr="6D22C65C">
        <w:rPr>
          <w:rFonts w:ascii="Foundry Form Sans" w:hAnsi="Foundry Form Sans" w:cs="Arial"/>
        </w:rPr>
        <w:t>Within and beyond the GND, London boroughs have been actively engaged in supporting their local green economies, for example by</w:t>
      </w:r>
      <w:r w:rsidR="00E002A2">
        <w:rPr>
          <w:rFonts w:ascii="Foundry Form Sans" w:hAnsi="Foundry Form Sans" w:cs="Arial"/>
        </w:rPr>
        <w:t>:</w:t>
      </w:r>
    </w:p>
    <w:p w14:paraId="7C693080" w14:textId="045EAAEC" w:rsidR="00AE3D1B" w:rsidRPr="00E002A2" w:rsidRDefault="00AE3D1B" w:rsidP="004F70C7">
      <w:pPr>
        <w:pStyle w:val="ListParagraph"/>
        <w:numPr>
          <w:ilvl w:val="0"/>
          <w:numId w:val="36"/>
        </w:numPr>
        <w:rPr>
          <w:rFonts w:ascii="Foundry Form Sans" w:hAnsi="Foundry Form Sans" w:cs="Arial"/>
        </w:rPr>
      </w:pPr>
      <w:r w:rsidRPr="00E002A2">
        <w:rPr>
          <w:rFonts w:ascii="Foundry Form Sans" w:hAnsi="Foundry Form Sans" w:cs="Arial"/>
        </w:rPr>
        <w:t>Local Skills Improvement Plans</w:t>
      </w:r>
      <w:r w:rsidR="00E002A2">
        <w:rPr>
          <w:rFonts w:ascii="Foundry Form Sans" w:hAnsi="Foundry Form Sans" w:cs="Arial"/>
        </w:rPr>
        <w:t>;</w:t>
      </w:r>
    </w:p>
    <w:p w14:paraId="5D87075B" w14:textId="3ECFC5F3" w:rsidR="00E93623" w:rsidRPr="00E002A2" w:rsidRDefault="00E93623" w:rsidP="004F70C7">
      <w:pPr>
        <w:pStyle w:val="ListParagraph"/>
        <w:numPr>
          <w:ilvl w:val="0"/>
          <w:numId w:val="36"/>
        </w:numPr>
        <w:rPr>
          <w:rFonts w:ascii="Foundry Form Sans" w:hAnsi="Foundry Form Sans" w:cs="Arial"/>
        </w:rPr>
      </w:pPr>
      <w:r w:rsidRPr="00E002A2">
        <w:rPr>
          <w:rFonts w:ascii="Foundry Form Sans" w:hAnsi="Foundry Form Sans" w:cs="Arial"/>
        </w:rPr>
        <w:t xml:space="preserve">Green skills academies and delivery of </w:t>
      </w:r>
      <w:r w:rsidR="428B81DE" w:rsidRPr="00E002A2">
        <w:rPr>
          <w:rFonts w:ascii="Foundry Form Sans" w:hAnsi="Foundry Form Sans" w:cs="Arial"/>
        </w:rPr>
        <w:t xml:space="preserve">green skills </w:t>
      </w:r>
      <w:r w:rsidRPr="00E002A2">
        <w:rPr>
          <w:rFonts w:ascii="Foundry Form Sans" w:hAnsi="Foundry Form Sans" w:cs="Arial"/>
        </w:rPr>
        <w:t>bootcamps</w:t>
      </w:r>
      <w:r w:rsidR="00E002A2">
        <w:rPr>
          <w:rFonts w:ascii="Foundry Form Sans" w:hAnsi="Foundry Form Sans" w:cs="Arial"/>
        </w:rPr>
        <w:t>;</w:t>
      </w:r>
      <w:r w:rsidRPr="00E002A2">
        <w:rPr>
          <w:rFonts w:ascii="Foundry Form Sans" w:hAnsi="Foundry Form Sans" w:cs="Arial"/>
        </w:rPr>
        <w:t xml:space="preserve"> </w:t>
      </w:r>
    </w:p>
    <w:p w14:paraId="3462F6FD" w14:textId="02858F8D" w:rsidR="00AF606F" w:rsidRPr="00E002A2" w:rsidRDefault="00AF606F" w:rsidP="004F70C7">
      <w:pPr>
        <w:pStyle w:val="ListParagraph"/>
        <w:numPr>
          <w:ilvl w:val="0"/>
          <w:numId w:val="36"/>
        </w:numPr>
        <w:rPr>
          <w:rFonts w:ascii="Foundry Form Sans" w:hAnsi="Foundry Form Sans" w:cs="Arial"/>
        </w:rPr>
      </w:pPr>
      <w:r w:rsidRPr="00E002A2">
        <w:rPr>
          <w:rFonts w:ascii="Foundry Form Sans" w:hAnsi="Foundry Form Sans" w:cs="Arial"/>
        </w:rPr>
        <w:t>Promotion of green career pathways</w:t>
      </w:r>
      <w:r w:rsidR="00E002A2">
        <w:rPr>
          <w:rFonts w:ascii="Foundry Form Sans" w:hAnsi="Foundry Form Sans" w:cs="Arial"/>
        </w:rPr>
        <w:t>;</w:t>
      </w:r>
    </w:p>
    <w:p w14:paraId="79DF57CB" w14:textId="58E0C36D" w:rsidR="00093E14" w:rsidRPr="00E002A2" w:rsidRDefault="00AF606F" w:rsidP="004F70C7">
      <w:pPr>
        <w:pStyle w:val="ListParagraph"/>
        <w:numPr>
          <w:ilvl w:val="0"/>
          <w:numId w:val="36"/>
        </w:numPr>
        <w:rPr>
          <w:rFonts w:ascii="Foundry Form Sans" w:hAnsi="Foundry Form Sans" w:cs="Arial"/>
        </w:rPr>
      </w:pPr>
      <w:r w:rsidRPr="00E002A2">
        <w:rPr>
          <w:rFonts w:ascii="Foundry Form Sans" w:hAnsi="Foundry Form Sans" w:cs="Arial"/>
        </w:rPr>
        <w:t xml:space="preserve">Green </w:t>
      </w:r>
      <w:r w:rsidR="00D7017C" w:rsidRPr="00E002A2">
        <w:rPr>
          <w:rFonts w:ascii="Foundry Form Sans" w:hAnsi="Foundry Form Sans" w:cs="Arial"/>
        </w:rPr>
        <w:t>innovation</w:t>
      </w:r>
      <w:r w:rsidRPr="00E002A2">
        <w:rPr>
          <w:rFonts w:ascii="Foundry Form Sans" w:hAnsi="Foundry Form Sans" w:cs="Arial"/>
        </w:rPr>
        <w:t xml:space="preserve"> and </w:t>
      </w:r>
      <w:r w:rsidR="00D7017C" w:rsidRPr="00E002A2">
        <w:rPr>
          <w:rFonts w:ascii="Foundry Form Sans" w:hAnsi="Foundry Form Sans" w:cs="Arial"/>
        </w:rPr>
        <w:t>enterprise</w:t>
      </w:r>
      <w:r w:rsidRPr="00E002A2">
        <w:rPr>
          <w:rFonts w:ascii="Foundry Form Sans" w:hAnsi="Foundry Form Sans" w:cs="Arial"/>
        </w:rPr>
        <w:t xml:space="preserve"> business support programmes</w:t>
      </w:r>
      <w:r w:rsidR="00E002A2">
        <w:rPr>
          <w:rFonts w:ascii="Foundry Form Sans" w:hAnsi="Foundry Form Sans" w:cs="Arial"/>
        </w:rPr>
        <w:t>;</w:t>
      </w:r>
    </w:p>
    <w:p w14:paraId="16886979" w14:textId="41B61713" w:rsidR="003D60C0" w:rsidRPr="00E002A2" w:rsidRDefault="00D7017C" w:rsidP="004F70C7">
      <w:pPr>
        <w:pStyle w:val="ListParagraph"/>
        <w:numPr>
          <w:ilvl w:val="0"/>
          <w:numId w:val="36"/>
        </w:numPr>
        <w:rPr>
          <w:rFonts w:ascii="Foundry Form Sans" w:hAnsi="Foundry Form Sans" w:cs="Arial"/>
        </w:rPr>
      </w:pPr>
      <w:r w:rsidRPr="00E002A2">
        <w:rPr>
          <w:rFonts w:ascii="Foundry Form Sans" w:hAnsi="Foundry Form Sans" w:cs="Arial"/>
        </w:rPr>
        <w:t>Borough wide Green Economy Action Plans</w:t>
      </w:r>
      <w:r w:rsidR="00E002A2">
        <w:rPr>
          <w:rFonts w:ascii="Foundry Form Sans" w:hAnsi="Foundry Form Sans" w:cs="Arial"/>
        </w:rPr>
        <w:t>.</w:t>
      </w:r>
      <w:r w:rsidRPr="00E002A2">
        <w:rPr>
          <w:rFonts w:ascii="Foundry Form Sans" w:hAnsi="Foundry Form Sans" w:cs="Arial"/>
        </w:rPr>
        <w:t xml:space="preserve"> </w:t>
      </w:r>
      <w:r w:rsidR="00AE3D1B" w:rsidRPr="00E002A2">
        <w:rPr>
          <w:rFonts w:ascii="Foundry Form Sans" w:hAnsi="Foundry Form Sans" w:cs="Arial"/>
        </w:rPr>
        <w:t xml:space="preserve"> </w:t>
      </w:r>
      <w:r w:rsidR="428B81DE" w:rsidRPr="00E002A2">
        <w:rPr>
          <w:rFonts w:ascii="Foundry Form Sans" w:hAnsi="Foundry Form Sans" w:cs="Arial"/>
        </w:rPr>
        <w:t xml:space="preserve"> </w:t>
      </w:r>
    </w:p>
    <w:p w14:paraId="4720DF66" w14:textId="77777777" w:rsidR="003D60C0" w:rsidRDefault="003D60C0" w:rsidP="00CB57AE">
      <w:pPr>
        <w:rPr>
          <w:rFonts w:ascii="Foundry Form Sans" w:hAnsi="Foundry Form Sans" w:cs="Arial"/>
        </w:rPr>
      </w:pPr>
    </w:p>
    <w:p w14:paraId="00B7F12F" w14:textId="171D32DA" w:rsidR="00CB57AE" w:rsidRDefault="428B81DE" w:rsidP="00CB57AE">
      <w:pPr>
        <w:rPr>
          <w:rFonts w:ascii="Foundry Form Sans" w:hAnsi="Foundry Form Sans" w:cs="Arial"/>
        </w:rPr>
      </w:pPr>
      <w:r w:rsidRPr="6D22C65C">
        <w:rPr>
          <w:rFonts w:ascii="Foundry Form Sans" w:hAnsi="Foundry Form Sans" w:cs="Arial"/>
        </w:rPr>
        <w:t xml:space="preserve">London’s Sub-Regional Partnerships are actively involved in skills and economic development work on behalf of their borough members, including in growing </w:t>
      </w:r>
      <w:r w:rsidR="0069663B" w:rsidRPr="6D22C65C">
        <w:rPr>
          <w:rFonts w:ascii="Foundry Form Sans" w:hAnsi="Foundry Form Sans" w:cs="Arial"/>
        </w:rPr>
        <w:t xml:space="preserve">the </w:t>
      </w:r>
      <w:r w:rsidRPr="6D22C65C">
        <w:rPr>
          <w:rFonts w:ascii="Foundry Form Sans" w:hAnsi="Foundry Form Sans" w:cs="Arial"/>
        </w:rPr>
        <w:t xml:space="preserve">green economy. In 2021, they </w:t>
      </w:r>
      <w:hyperlink r:id="rId10" w:history="1">
        <w:r w:rsidR="009C3F82" w:rsidRPr="006B7F93">
          <w:rPr>
            <w:rStyle w:val="Hyperlink"/>
            <w:rFonts w:ascii="Foundry Form Sans" w:hAnsi="Foundry Form Sans" w:cs="Arial"/>
          </w:rPr>
          <w:t>commissioned a report</w:t>
        </w:r>
      </w:hyperlink>
      <w:r w:rsidR="009C3F82" w:rsidRPr="594A6DEA">
        <w:rPr>
          <w:rFonts w:ascii="Foundry Form Sans" w:hAnsi="Foundry Form Sans" w:cs="Arial"/>
        </w:rPr>
        <w:t xml:space="preserve"> produced by </w:t>
      </w:r>
      <w:r w:rsidR="1510C7AF" w:rsidRPr="6D22C65C">
        <w:rPr>
          <w:rFonts w:ascii="Foundry Form Sans" w:hAnsi="Foundry Form Sans" w:cs="Arial"/>
        </w:rPr>
        <w:t>WPI</w:t>
      </w:r>
      <w:r w:rsidR="0010379E" w:rsidRPr="594A6DEA">
        <w:rPr>
          <w:rFonts w:ascii="Foundry Form Sans" w:hAnsi="Foundry Form Sans" w:cs="Arial"/>
        </w:rPr>
        <w:t xml:space="preserve"> </w:t>
      </w:r>
      <w:r w:rsidR="009C3F82" w:rsidRPr="594A6DEA">
        <w:rPr>
          <w:rFonts w:ascii="Foundry Form Sans" w:hAnsi="Foundry Form Sans" w:cs="Arial"/>
        </w:rPr>
        <w:t xml:space="preserve">economics </w:t>
      </w:r>
      <w:r w:rsidR="0708162D" w:rsidRPr="6D22C65C">
        <w:rPr>
          <w:rFonts w:ascii="Foundry Form Sans" w:hAnsi="Foundry Form Sans" w:cs="Arial"/>
        </w:rPr>
        <w:t xml:space="preserve">and the Institute of Economic </w:t>
      </w:r>
      <w:r w:rsidR="00AD59CC" w:rsidRPr="6D22C65C">
        <w:rPr>
          <w:rFonts w:ascii="Foundry Form Sans" w:hAnsi="Foundry Form Sans" w:cs="Arial"/>
        </w:rPr>
        <w:t>Studies</w:t>
      </w:r>
      <w:r w:rsidR="009C3F82" w:rsidRPr="594A6DEA">
        <w:rPr>
          <w:rFonts w:ascii="Foundry Form Sans" w:hAnsi="Foundry Form Sans" w:cs="Arial"/>
        </w:rPr>
        <w:t xml:space="preserve"> to assess green jobs and skills. The report adapts the list of priority sectors identified by the Green Jobs Taskforce to create an approach that meets London government’s needs. It identifies 11 sectors for London which are necessary to meet net zero and broader environmental goals.</w:t>
      </w:r>
      <w:r w:rsidR="00AD59CC">
        <w:rPr>
          <w:rFonts w:ascii="Foundry Form Sans" w:hAnsi="Foundry Form Sans" w:cs="Arial"/>
        </w:rPr>
        <w:t xml:space="preserve"> </w:t>
      </w:r>
      <w:r w:rsidR="54043CC1" w:rsidRPr="6D22C65C">
        <w:rPr>
          <w:rFonts w:ascii="Foundry Form Sans" w:hAnsi="Foundry Form Sans" w:cs="Arial"/>
        </w:rPr>
        <w:t>The authors</w:t>
      </w:r>
      <w:r w:rsidR="009C3F82" w:rsidRPr="594A6DEA">
        <w:rPr>
          <w:rFonts w:ascii="Foundry Form Sans" w:hAnsi="Foundry Form Sans" w:cs="Arial"/>
        </w:rPr>
        <w:t xml:space="preserve"> estimate employment and revenues in 11 green priority sectors for 2020 and produce forecasts for 2030 and 2050. It </w:t>
      </w:r>
      <w:r w:rsidR="3E569791" w:rsidRPr="594A6DEA">
        <w:rPr>
          <w:rFonts w:ascii="Foundry Form Sans" w:hAnsi="Foundry Form Sans" w:cs="Arial"/>
        </w:rPr>
        <w:t xml:space="preserve">had been anticipated that </w:t>
      </w:r>
      <w:r w:rsidR="009C3F82" w:rsidRPr="594A6DEA">
        <w:rPr>
          <w:rFonts w:ascii="Foundry Form Sans" w:hAnsi="Foundry Form Sans" w:cs="Arial"/>
        </w:rPr>
        <w:t>that this research w</w:t>
      </w:r>
      <w:r w:rsidR="7676168E" w:rsidRPr="594A6DEA">
        <w:rPr>
          <w:rFonts w:ascii="Foundry Form Sans" w:hAnsi="Foundry Form Sans" w:cs="Arial"/>
        </w:rPr>
        <w:t>ould</w:t>
      </w:r>
      <w:r w:rsidR="009C3F82" w:rsidRPr="594A6DEA">
        <w:rPr>
          <w:rFonts w:ascii="Foundry Form Sans" w:hAnsi="Foundry Form Sans" w:cs="Arial"/>
        </w:rPr>
        <w:t xml:space="preserve"> be updated by London’s sub-regions every two years, allowing comparisons to be made over time.</w:t>
      </w:r>
    </w:p>
    <w:p w14:paraId="00B7F130" w14:textId="77777777" w:rsidR="009C3F82" w:rsidRDefault="009C3F82" w:rsidP="00CB57AE">
      <w:pPr>
        <w:rPr>
          <w:rFonts w:ascii="Foundry Form Sans" w:hAnsi="Foundry Form Sans" w:cs="Arial"/>
        </w:rPr>
      </w:pPr>
    </w:p>
    <w:p w14:paraId="543F896A" w14:textId="0326C4AA" w:rsidR="5CD278E1" w:rsidRDefault="5CD278E1" w:rsidP="6D22C65C">
      <w:pPr>
        <w:rPr>
          <w:rFonts w:ascii="Foundry Form Sans" w:hAnsi="Foundry Form Sans" w:cs="Arial"/>
        </w:rPr>
      </w:pPr>
      <w:r w:rsidRPr="6D22C65C">
        <w:rPr>
          <w:rFonts w:ascii="Foundry Form Sans" w:hAnsi="Foundry Form Sans" w:cs="Arial"/>
        </w:rPr>
        <w:t xml:space="preserve">London boroughs are also collaborating through London Councils. Recognising that in this work, as in many areas </w:t>
      </w:r>
      <w:r w:rsidR="00673759">
        <w:rPr>
          <w:rFonts w:ascii="Foundry Form Sans" w:hAnsi="Foundry Form Sans" w:cs="Arial"/>
        </w:rPr>
        <w:t xml:space="preserve">of </w:t>
      </w:r>
      <w:r w:rsidRPr="6D22C65C">
        <w:rPr>
          <w:rFonts w:ascii="Foundry Form Sans" w:hAnsi="Foundry Form Sans" w:cs="Arial"/>
        </w:rPr>
        <w:t>climate action, they can maximise their learning and impact through collaboration, they established London Councils’ Climate Programme in 2020. The Green Economy theme of this programme, led by the London Borough of Hounslow, has aligned its overall target with the GND, and is also developing complementary indicators that wil</w:t>
      </w:r>
      <w:r w:rsidR="0C0234C8" w:rsidRPr="6D22C65C">
        <w:rPr>
          <w:rFonts w:ascii="Foundry Form Sans" w:hAnsi="Foundry Form Sans" w:cs="Arial"/>
        </w:rPr>
        <w:t>l enable London government to track the nature and impacts of green economic growth.</w:t>
      </w:r>
    </w:p>
    <w:p w14:paraId="20A9C6DE" w14:textId="6F6536D7" w:rsidR="6D22C65C" w:rsidRDefault="6D22C65C" w:rsidP="6D22C65C">
      <w:pPr>
        <w:rPr>
          <w:rFonts w:ascii="Foundry Form Sans" w:hAnsi="Foundry Form Sans" w:cs="Arial"/>
        </w:rPr>
      </w:pPr>
    </w:p>
    <w:p w14:paraId="00B7F132" w14:textId="7A1FA62B" w:rsidR="008A0D03" w:rsidRDefault="00CB57AE" w:rsidP="00CB57AE">
      <w:pPr>
        <w:rPr>
          <w:rFonts w:ascii="Foundry Form Sans" w:hAnsi="Foundry Form Sans" w:cs="Arial"/>
          <w:bCs/>
          <w:szCs w:val="22"/>
        </w:rPr>
      </w:pPr>
      <w:r w:rsidRPr="594A6DEA">
        <w:rPr>
          <w:rFonts w:ascii="Foundry Form Sans" w:hAnsi="Foundry Form Sans" w:cs="Arial"/>
        </w:rPr>
        <w:t>The low carbon and environmental goods and services sector</w:t>
      </w:r>
      <w:r w:rsidR="009C3F82" w:rsidRPr="594A6DEA">
        <w:rPr>
          <w:rFonts w:ascii="Foundry Form Sans" w:hAnsi="Foundry Form Sans" w:cs="Arial"/>
        </w:rPr>
        <w:t xml:space="preserve"> (LCEGS)</w:t>
      </w:r>
      <w:r w:rsidRPr="594A6DEA">
        <w:rPr>
          <w:rFonts w:ascii="Foundry Form Sans" w:hAnsi="Foundry Form Sans" w:cs="Arial"/>
        </w:rPr>
        <w:t xml:space="preserve"> is being used as the proxy for the ‘green economy’ </w:t>
      </w:r>
      <w:r w:rsidR="72F9446B" w:rsidRPr="594A6DEA">
        <w:rPr>
          <w:rFonts w:ascii="Foundry Form Sans" w:hAnsi="Foundry Form Sans" w:cs="Arial"/>
        </w:rPr>
        <w:t>by</w:t>
      </w:r>
      <w:r w:rsidR="009C3F82" w:rsidRPr="594A6DEA">
        <w:rPr>
          <w:rFonts w:ascii="Foundry Form Sans" w:hAnsi="Foundry Form Sans" w:cs="Arial"/>
        </w:rPr>
        <w:t xml:space="preserve"> the GLA, </w:t>
      </w:r>
      <w:r w:rsidRPr="594A6DEA">
        <w:rPr>
          <w:rFonts w:ascii="Foundry Form Sans" w:hAnsi="Foundry Form Sans" w:cs="Arial"/>
        </w:rPr>
        <w:t xml:space="preserve">and this </w:t>
      </w:r>
      <w:r w:rsidR="009C3F82" w:rsidRPr="594A6DEA">
        <w:rPr>
          <w:rFonts w:ascii="Foundry Form Sans" w:hAnsi="Foundry Form Sans" w:cs="Arial"/>
        </w:rPr>
        <w:t>snapshot update</w:t>
      </w:r>
      <w:r w:rsidRPr="594A6DEA">
        <w:rPr>
          <w:rFonts w:ascii="Foundry Form Sans" w:hAnsi="Foundry Form Sans" w:cs="Arial"/>
        </w:rPr>
        <w:t xml:space="preserve"> bring</w:t>
      </w:r>
      <w:r w:rsidR="009C3F82" w:rsidRPr="594A6DEA">
        <w:rPr>
          <w:rFonts w:ascii="Foundry Form Sans" w:hAnsi="Foundry Form Sans" w:cs="Arial"/>
        </w:rPr>
        <w:t>s</w:t>
      </w:r>
      <w:r w:rsidRPr="594A6DEA">
        <w:rPr>
          <w:rFonts w:ascii="Foundry Form Sans" w:hAnsi="Foundry Form Sans" w:cs="Arial"/>
        </w:rPr>
        <w:t xml:space="preserve"> the timeseries up to date so that there is a </w:t>
      </w:r>
      <w:r w:rsidR="00FB6FF3" w:rsidRPr="594A6DEA">
        <w:rPr>
          <w:rFonts w:ascii="Foundry Form Sans" w:hAnsi="Foundry Form Sans" w:cs="Arial"/>
        </w:rPr>
        <w:t xml:space="preserve">more </w:t>
      </w:r>
      <w:r w:rsidRPr="594A6DEA">
        <w:rPr>
          <w:rFonts w:ascii="Foundry Form Sans" w:hAnsi="Foundry Form Sans" w:cs="Arial"/>
        </w:rPr>
        <w:t xml:space="preserve">comprehensive </w:t>
      </w:r>
      <w:r w:rsidR="00586C2F" w:rsidRPr="594A6DEA">
        <w:rPr>
          <w:rFonts w:ascii="Foundry Form Sans" w:hAnsi="Foundry Form Sans" w:cs="Arial"/>
        </w:rPr>
        <w:t>dataset to use in quantifying the baseline for the ‘green economy’.</w:t>
      </w:r>
    </w:p>
    <w:p w14:paraId="00B7F134" w14:textId="77777777" w:rsidR="00CB57AE" w:rsidRDefault="00CB57AE" w:rsidP="00CB57AE">
      <w:pPr>
        <w:rPr>
          <w:rFonts w:ascii="Foundry Form Sans" w:hAnsi="Foundry Form Sans" w:cs="Arial"/>
          <w:bCs/>
          <w:szCs w:val="22"/>
        </w:rPr>
      </w:pPr>
    </w:p>
    <w:p w14:paraId="4E4FD7D3" w14:textId="74CC1FA0" w:rsidR="00942F10" w:rsidRDefault="009C3F82" w:rsidP="594A6DEA">
      <w:pPr>
        <w:rPr>
          <w:rFonts w:ascii="Foundry Form Sans" w:hAnsi="Foundry Form Sans" w:cs="Arial"/>
        </w:rPr>
      </w:pPr>
      <w:r w:rsidRPr="594A6DEA">
        <w:rPr>
          <w:rFonts w:ascii="Foundry Form Sans" w:hAnsi="Foundry Form Sans" w:cs="Arial"/>
        </w:rPr>
        <w:t xml:space="preserve">However, </w:t>
      </w:r>
      <w:r w:rsidR="2E646C82" w:rsidRPr="594A6DEA">
        <w:rPr>
          <w:rFonts w:ascii="Foundry Form Sans" w:hAnsi="Foundry Form Sans" w:cs="Arial"/>
        </w:rPr>
        <w:t>in line with joint working through</w:t>
      </w:r>
      <w:r w:rsidR="0DB6DF1B" w:rsidRPr="594A6DEA">
        <w:rPr>
          <w:rFonts w:ascii="Foundry Form Sans" w:hAnsi="Foundry Form Sans" w:cs="Arial"/>
        </w:rPr>
        <w:t xml:space="preserve"> </w:t>
      </w:r>
      <w:r w:rsidR="2E646C82" w:rsidRPr="594A6DEA">
        <w:rPr>
          <w:rFonts w:ascii="Foundry Form Sans" w:hAnsi="Foundry Form Sans" w:cs="Arial"/>
        </w:rPr>
        <w:t>the Lon</w:t>
      </w:r>
      <w:r w:rsidR="2081D9F6" w:rsidRPr="594A6DEA">
        <w:rPr>
          <w:rFonts w:ascii="Foundry Form Sans" w:hAnsi="Foundry Form Sans" w:cs="Arial"/>
        </w:rPr>
        <w:t>don</w:t>
      </w:r>
      <w:r w:rsidR="2E646C82" w:rsidRPr="594A6DEA">
        <w:rPr>
          <w:rFonts w:ascii="Foundry Form Sans" w:hAnsi="Foundry Form Sans" w:cs="Arial"/>
        </w:rPr>
        <w:t xml:space="preserve"> </w:t>
      </w:r>
      <w:r w:rsidR="11E4990A" w:rsidRPr="6D22C65C">
        <w:rPr>
          <w:rFonts w:ascii="Foundry Form Sans" w:hAnsi="Foundry Form Sans" w:cs="Arial"/>
        </w:rPr>
        <w:t>P</w:t>
      </w:r>
      <w:r w:rsidR="2E646C82" w:rsidRPr="6D22C65C">
        <w:rPr>
          <w:rFonts w:ascii="Foundry Form Sans" w:hAnsi="Foundry Form Sans" w:cs="Arial"/>
        </w:rPr>
        <w:t xml:space="preserve">artnership </w:t>
      </w:r>
      <w:r w:rsidR="7858F29B" w:rsidRPr="6D22C65C">
        <w:rPr>
          <w:rFonts w:ascii="Foundry Form Sans" w:hAnsi="Foundry Form Sans" w:cs="Arial"/>
        </w:rPr>
        <w:t>B</w:t>
      </w:r>
      <w:r w:rsidR="2E646C82" w:rsidRPr="594A6DEA">
        <w:rPr>
          <w:rFonts w:ascii="Foundry Form Sans" w:hAnsi="Foundry Form Sans" w:cs="Arial"/>
        </w:rPr>
        <w:t>oard the decisi</w:t>
      </w:r>
      <w:r w:rsidR="20667025" w:rsidRPr="594A6DEA">
        <w:rPr>
          <w:rFonts w:ascii="Foundry Form Sans" w:hAnsi="Foundry Form Sans" w:cs="Arial"/>
        </w:rPr>
        <w:t>o</w:t>
      </w:r>
      <w:r w:rsidR="2E646C82" w:rsidRPr="594A6DEA">
        <w:rPr>
          <w:rFonts w:ascii="Foundry Form Sans" w:hAnsi="Foundry Form Sans" w:cs="Arial"/>
        </w:rPr>
        <w:t xml:space="preserve">n has been made to </w:t>
      </w:r>
      <w:r w:rsidR="001E6891">
        <w:rPr>
          <w:rFonts w:ascii="Foundry Form Sans" w:hAnsi="Foundry Form Sans" w:cs="Arial"/>
        </w:rPr>
        <w:t xml:space="preserve">seek new approaches to measure green economy, for example by </w:t>
      </w:r>
      <w:r w:rsidRPr="594A6DEA">
        <w:rPr>
          <w:rFonts w:ascii="Foundry Form Sans" w:hAnsi="Foundry Form Sans" w:cs="Arial"/>
        </w:rPr>
        <w:t>integrat</w:t>
      </w:r>
      <w:r w:rsidR="001E6891">
        <w:rPr>
          <w:rFonts w:ascii="Foundry Form Sans" w:hAnsi="Foundry Form Sans" w:cs="Arial"/>
        </w:rPr>
        <w:t>ing</w:t>
      </w:r>
      <w:r w:rsidRPr="594A6DEA">
        <w:rPr>
          <w:rFonts w:ascii="Foundry Form Sans" w:hAnsi="Foundry Form Sans" w:cs="Arial"/>
        </w:rPr>
        <w:t xml:space="preserve"> both </w:t>
      </w:r>
      <w:r w:rsidR="21134EA9" w:rsidRPr="594A6DEA">
        <w:rPr>
          <w:rFonts w:ascii="Foundry Form Sans" w:hAnsi="Foundry Form Sans" w:cs="Arial"/>
        </w:rPr>
        <w:t xml:space="preserve">the </w:t>
      </w:r>
      <w:r w:rsidRPr="594A6DEA">
        <w:rPr>
          <w:rFonts w:ascii="Foundry Form Sans" w:hAnsi="Foundry Form Sans" w:cs="Arial"/>
        </w:rPr>
        <w:t>LCEGS and WPI</w:t>
      </w:r>
      <w:r w:rsidR="533FB3D8" w:rsidRPr="6D22C65C">
        <w:rPr>
          <w:rFonts w:ascii="Foundry Form Sans" w:hAnsi="Foundry Form Sans" w:cs="Arial"/>
        </w:rPr>
        <w:t>/ IES</w:t>
      </w:r>
      <w:r w:rsidRPr="594A6DEA">
        <w:rPr>
          <w:rFonts w:ascii="Foundry Form Sans" w:hAnsi="Foundry Form Sans" w:cs="Arial"/>
        </w:rPr>
        <w:t xml:space="preserve"> approaches </w:t>
      </w:r>
      <w:r w:rsidR="2B3A59D0" w:rsidRPr="594A6DEA">
        <w:rPr>
          <w:rFonts w:ascii="Foundry Form Sans" w:hAnsi="Foundry Form Sans" w:cs="Arial"/>
        </w:rPr>
        <w:t>in to one dataset and approach</w:t>
      </w:r>
      <w:r w:rsidR="4D5D15A5" w:rsidRPr="6D22C65C">
        <w:rPr>
          <w:rFonts w:ascii="Foundry Form Sans" w:hAnsi="Foundry Form Sans" w:cs="Arial"/>
        </w:rPr>
        <w:t>, to enable effective data-led joint working across London government</w:t>
      </w:r>
      <w:r w:rsidR="2B3A59D0" w:rsidRPr="594A6DEA">
        <w:rPr>
          <w:rFonts w:ascii="Foundry Form Sans" w:hAnsi="Foundry Form Sans" w:cs="Arial"/>
        </w:rPr>
        <w:t>.</w:t>
      </w:r>
    </w:p>
    <w:p w14:paraId="539D4E0E" w14:textId="04A7ABC2" w:rsidR="00942F10" w:rsidRDefault="00942F10" w:rsidP="594A6DEA">
      <w:pPr>
        <w:rPr>
          <w:rFonts w:ascii="Foundry Form Sans" w:hAnsi="Foundry Form Sans" w:cs="Arial"/>
        </w:rPr>
      </w:pPr>
    </w:p>
    <w:p w14:paraId="00B7F135" w14:textId="56349E2D" w:rsidR="00942F10" w:rsidRDefault="5922181A" w:rsidP="00942F10">
      <w:pPr>
        <w:rPr>
          <w:rFonts w:ascii="Foundry Form Sans" w:hAnsi="Foundry Form Sans" w:cs="Arial"/>
        </w:rPr>
      </w:pPr>
      <w:r w:rsidRPr="6D22C65C">
        <w:rPr>
          <w:rFonts w:ascii="Foundry Form Sans" w:hAnsi="Foundry Form Sans" w:cs="Arial"/>
        </w:rPr>
        <w:t>To do this,</w:t>
      </w:r>
      <w:r w:rsidR="52C25AB0" w:rsidRPr="594A6DEA">
        <w:rPr>
          <w:rFonts w:ascii="Foundry Form Sans" w:hAnsi="Foundry Form Sans" w:cs="Arial"/>
        </w:rPr>
        <w:t xml:space="preserve"> </w:t>
      </w:r>
      <w:r w:rsidR="00942F10" w:rsidRPr="594A6DEA">
        <w:rPr>
          <w:rFonts w:ascii="Foundry Form Sans" w:hAnsi="Foundry Form Sans" w:cs="Arial"/>
        </w:rPr>
        <w:t xml:space="preserve">it is essential to not only know the size, nature and capacity of this sector but also to better understand </w:t>
      </w:r>
      <w:r w:rsidR="00586C2F" w:rsidRPr="594A6DEA">
        <w:rPr>
          <w:rFonts w:ascii="Foundry Form Sans" w:hAnsi="Foundry Form Sans" w:cs="Arial"/>
        </w:rPr>
        <w:t xml:space="preserve">the geographical make-up of the ‘green economy’ </w:t>
      </w:r>
      <w:r w:rsidR="009C3F82" w:rsidRPr="594A6DEA">
        <w:rPr>
          <w:rFonts w:ascii="Foundry Form Sans" w:hAnsi="Foundry Form Sans" w:cs="Arial"/>
        </w:rPr>
        <w:t>and more detailed priority sectors</w:t>
      </w:r>
      <w:r w:rsidR="00586C2F" w:rsidRPr="594A6DEA">
        <w:rPr>
          <w:rFonts w:ascii="Foundry Form Sans" w:hAnsi="Foundry Form Sans" w:cs="Arial"/>
        </w:rPr>
        <w:t xml:space="preserve">. </w:t>
      </w:r>
      <w:r w:rsidR="73F41A39" w:rsidRPr="594A6DEA">
        <w:rPr>
          <w:rFonts w:ascii="Foundry Form Sans" w:hAnsi="Foundry Form Sans" w:cs="Arial"/>
        </w:rPr>
        <w:t xml:space="preserve">The enhanced dataset </w:t>
      </w:r>
      <w:bookmarkStart w:id="4" w:name="_Hlk151454432"/>
      <w:r w:rsidR="00586C2F" w:rsidRPr="594A6DEA">
        <w:rPr>
          <w:rFonts w:ascii="Foundry Form Sans" w:hAnsi="Foundry Form Sans" w:cs="Arial"/>
        </w:rPr>
        <w:t xml:space="preserve">will provide intelligence and insights to develop programmes and projects that the </w:t>
      </w:r>
      <w:r w:rsidR="00942F10" w:rsidRPr="594A6DEA">
        <w:rPr>
          <w:rFonts w:ascii="Foundry Form Sans" w:hAnsi="Foundry Form Sans" w:cs="Arial"/>
        </w:rPr>
        <w:t xml:space="preserve">Mayor </w:t>
      </w:r>
      <w:r w:rsidR="47F7ED18" w:rsidRPr="6D22C65C">
        <w:rPr>
          <w:rFonts w:ascii="Foundry Form Sans" w:hAnsi="Foundry Form Sans" w:cs="Arial"/>
        </w:rPr>
        <w:t xml:space="preserve">and London boroughs </w:t>
      </w:r>
      <w:r w:rsidR="00942F10" w:rsidRPr="594A6DEA">
        <w:rPr>
          <w:rFonts w:ascii="Foundry Form Sans" w:hAnsi="Foundry Form Sans" w:cs="Arial"/>
        </w:rPr>
        <w:t xml:space="preserve">can </w:t>
      </w:r>
      <w:r w:rsidR="00586C2F" w:rsidRPr="594A6DEA">
        <w:rPr>
          <w:rFonts w:ascii="Foundry Form Sans" w:hAnsi="Foundry Form Sans" w:cs="Arial"/>
        </w:rPr>
        <w:t>support to help</w:t>
      </w:r>
      <w:r w:rsidR="00942F10" w:rsidRPr="594A6DEA">
        <w:rPr>
          <w:rFonts w:ascii="Foundry Form Sans" w:hAnsi="Foundry Form Sans" w:cs="Arial"/>
        </w:rPr>
        <w:t xml:space="preserve"> grow</w:t>
      </w:r>
      <w:r w:rsidR="00586C2F" w:rsidRPr="594A6DEA">
        <w:rPr>
          <w:rFonts w:ascii="Foundry Form Sans" w:hAnsi="Foundry Form Sans" w:cs="Arial"/>
        </w:rPr>
        <w:t xml:space="preserve"> the ‘green economy’, </w:t>
      </w:r>
      <w:r w:rsidR="00942F10" w:rsidRPr="594A6DEA">
        <w:rPr>
          <w:rFonts w:ascii="Foundry Form Sans" w:hAnsi="Foundry Form Sans" w:cs="Arial"/>
        </w:rPr>
        <w:t xml:space="preserve">generate jobs </w:t>
      </w:r>
      <w:r w:rsidR="00586C2F" w:rsidRPr="594A6DEA">
        <w:rPr>
          <w:rFonts w:ascii="Foundry Form Sans" w:hAnsi="Foundry Form Sans" w:cs="Arial"/>
        </w:rPr>
        <w:t xml:space="preserve">for Londoners </w:t>
      </w:r>
      <w:r w:rsidR="00942F10" w:rsidRPr="594A6DEA">
        <w:rPr>
          <w:rFonts w:ascii="Foundry Form Sans" w:hAnsi="Foundry Form Sans" w:cs="Arial"/>
        </w:rPr>
        <w:t xml:space="preserve">and </w:t>
      </w:r>
      <w:r w:rsidR="00586C2F" w:rsidRPr="594A6DEA">
        <w:rPr>
          <w:rFonts w:ascii="Foundry Form Sans" w:hAnsi="Foundry Form Sans" w:cs="Arial"/>
        </w:rPr>
        <w:t>market opportunit</w:t>
      </w:r>
      <w:r w:rsidR="00000E8F">
        <w:rPr>
          <w:rFonts w:ascii="Foundry Form Sans" w:hAnsi="Foundry Form Sans" w:cs="Arial"/>
        </w:rPr>
        <w:t>ies</w:t>
      </w:r>
      <w:r w:rsidR="00586C2F" w:rsidRPr="594A6DEA">
        <w:rPr>
          <w:rFonts w:ascii="Foundry Form Sans" w:hAnsi="Foundry Form Sans" w:cs="Arial"/>
        </w:rPr>
        <w:t xml:space="preserve"> for London’s businesses whilst </w:t>
      </w:r>
      <w:r w:rsidR="00942F10" w:rsidRPr="594A6DEA">
        <w:rPr>
          <w:rFonts w:ascii="Foundry Form Sans" w:hAnsi="Foundry Form Sans" w:cs="Arial"/>
        </w:rPr>
        <w:t>help</w:t>
      </w:r>
      <w:r w:rsidR="00586C2F" w:rsidRPr="594A6DEA">
        <w:rPr>
          <w:rFonts w:ascii="Foundry Form Sans" w:hAnsi="Foundry Form Sans" w:cs="Arial"/>
        </w:rPr>
        <w:t>ing to</w:t>
      </w:r>
      <w:r w:rsidR="00942F10" w:rsidRPr="594A6DEA">
        <w:rPr>
          <w:rFonts w:ascii="Foundry Form Sans" w:hAnsi="Foundry Form Sans" w:cs="Arial"/>
        </w:rPr>
        <w:t xml:space="preserve"> solve the environmental challenges that London and other cities are facing.</w:t>
      </w:r>
      <w:bookmarkEnd w:id="4"/>
    </w:p>
    <w:p w14:paraId="00B7F136" w14:textId="77777777" w:rsidR="003C3156" w:rsidRDefault="003C3156" w:rsidP="00942F10">
      <w:pPr>
        <w:rPr>
          <w:rFonts w:ascii="Foundry Form Sans" w:hAnsi="Foundry Form Sans" w:cs="Arial"/>
          <w:bCs/>
          <w:szCs w:val="22"/>
        </w:rPr>
      </w:pPr>
    </w:p>
    <w:p w14:paraId="00B7F142" w14:textId="715FC5FA" w:rsidR="00942F10" w:rsidRDefault="00466A2F" w:rsidP="00942F10">
      <w:pPr>
        <w:numPr>
          <w:ilvl w:val="0"/>
          <w:numId w:val="32"/>
        </w:numPr>
        <w:rPr>
          <w:rFonts w:ascii="Foundry Form Sans" w:hAnsi="Foundry Form Sans" w:cs="Arial"/>
          <w:b/>
          <w:szCs w:val="22"/>
        </w:rPr>
      </w:pPr>
      <w:r>
        <w:rPr>
          <w:rFonts w:ascii="Foundry Form Sans" w:hAnsi="Foundry Form Sans" w:cs="Arial"/>
          <w:b/>
          <w:szCs w:val="22"/>
        </w:rPr>
        <w:t>Requirements</w:t>
      </w:r>
    </w:p>
    <w:p w14:paraId="3D83005D" w14:textId="394BC53B" w:rsidR="00421F46" w:rsidRDefault="002D581B" w:rsidP="00115C81">
      <w:pPr>
        <w:numPr>
          <w:ilvl w:val="0"/>
          <w:numId w:val="10"/>
        </w:numPr>
        <w:rPr>
          <w:rFonts w:ascii="Foundry Form Sans" w:hAnsi="Foundry Form Sans" w:cs="Arial"/>
        </w:rPr>
      </w:pPr>
      <w:bookmarkStart w:id="5" w:name="_Hlk151455072"/>
      <w:r>
        <w:rPr>
          <w:rFonts w:ascii="Foundry Form Sans" w:hAnsi="Foundry Form Sans" w:cs="Arial"/>
        </w:rPr>
        <w:t>Either i</w:t>
      </w:r>
      <w:r w:rsidR="00C65C39">
        <w:rPr>
          <w:rFonts w:ascii="Foundry Form Sans" w:hAnsi="Foundry Form Sans" w:cs="Arial"/>
        </w:rPr>
        <w:t xml:space="preserve">ntegration </w:t>
      </w:r>
      <w:r w:rsidR="00074E16">
        <w:rPr>
          <w:rFonts w:ascii="Foundry Form Sans" w:hAnsi="Foundry Form Sans" w:cs="Arial"/>
        </w:rPr>
        <w:t>of</w:t>
      </w:r>
      <w:r w:rsidR="009865B7">
        <w:rPr>
          <w:rFonts w:ascii="Foundry Form Sans" w:hAnsi="Foundry Form Sans" w:cs="Arial"/>
        </w:rPr>
        <w:t xml:space="preserve"> the</w:t>
      </w:r>
      <w:r w:rsidR="00421F46">
        <w:rPr>
          <w:rFonts w:ascii="Foundry Form Sans" w:hAnsi="Foundry Form Sans" w:cs="Arial"/>
        </w:rPr>
        <w:t xml:space="preserve"> kMatrix</w:t>
      </w:r>
      <w:r w:rsidR="09EF190C" w:rsidRPr="19601E74">
        <w:rPr>
          <w:rFonts w:ascii="Foundry Form Sans" w:hAnsi="Foundry Form Sans" w:cs="Arial"/>
        </w:rPr>
        <w:t xml:space="preserve"> Low Carbon and Environmental Goods and Services </w:t>
      </w:r>
      <w:r w:rsidR="0C804936" w:rsidRPr="19601E74">
        <w:rPr>
          <w:rFonts w:ascii="Foundry Form Sans" w:hAnsi="Foundry Form Sans" w:cs="Arial"/>
        </w:rPr>
        <w:t xml:space="preserve">(LCEGS) </w:t>
      </w:r>
      <w:r w:rsidR="00917042">
        <w:rPr>
          <w:rFonts w:ascii="Foundry Form Sans" w:hAnsi="Foundry Form Sans" w:cs="Arial"/>
        </w:rPr>
        <w:t xml:space="preserve">data </w:t>
      </w:r>
      <w:r w:rsidR="00421F46">
        <w:rPr>
          <w:rFonts w:ascii="Foundry Form Sans" w:hAnsi="Foundry Form Sans" w:cs="Arial"/>
        </w:rPr>
        <w:t>and WPI economics</w:t>
      </w:r>
      <w:r w:rsidR="00917042">
        <w:rPr>
          <w:rFonts w:ascii="Foundry Form Sans" w:hAnsi="Foundry Form Sans" w:cs="Arial"/>
        </w:rPr>
        <w:t xml:space="preserve"> green jobs and skills data to provide an overall assessment of the</w:t>
      </w:r>
      <w:r w:rsidR="09EF190C" w:rsidRPr="19601E74">
        <w:rPr>
          <w:rFonts w:ascii="Foundry Form Sans" w:hAnsi="Foundry Form Sans" w:cs="Arial"/>
        </w:rPr>
        <w:t xml:space="preserve"> </w:t>
      </w:r>
      <w:r w:rsidR="55BBD60C" w:rsidRPr="19601E74">
        <w:rPr>
          <w:rFonts w:ascii="Foundry Form Sans" w:hAnsi="Foundry Form Sans" w:cs="Arial"/>
        </w:rPr>
        <w:t xml:space="preserve">‘green economy’ </w:t>
      </w:r>
      <w:r w:rsidR="09EF190C" w:rsidRPr="19601E74">
        <w:rPr>
          <w:rFonts w:ascii="Foundry Form Sans" w:hAnsi="Foundry Form Sans" w:cs="Arial"/>
        </w:rPr>
        <w:t xml:space="preserve">in London </w:t>
      </w:r>
      <w:r w:rsidR="55BBD60C" w:rsidRPr="19601E74">
        <w:rPr>
          <w:rFonts w:ascii="Foundry Form Sans" w:hAnsi="Foundry Form Sans" w:cs="Arial"/>
        </w:rPr>
        <w:t xml:space="preserve">for the years </w:t>
      </w:r>
      <w:r w:rsidR="001E6891" w:rsidRPr="4694368D">
        <w:rPr>
          <w:rFonts w:ascii="Foundry Form Sans" w:hAnsi="Foundry Form Sans" w:cs="Arial"/>
        </w:rPr>
        <w:t>202</w:t>
      </w:r>
      <w:r w:rsidR="001E6891">
        <w:rPr>
          <w:rFonts w:ascii="Foundry Form Sans" w:hAnsi="Foundry Form Sans" w:cs="Arial"/>
        </w:rPr>
        <w:t>3/24</w:t>
      </w:r>
      <w:r w:rsidR="001E6891" w:rsidRPr="4694368D">
        <w:rPr>
          <w:rFonts w:ascii="Foundry Form Sans" w:hAnsi="Foundry Form Sans" w:cs="Arial"/>
        </w:rPr>
        <w:t>, 202</w:t>
      </w:r>
      <w:r w:rsidR="001E6891">
        <w:rPr>
          <w:rFonts w:ascii="Foundry Form Sans" w:hAnsi="Foundry Form Sans" w:cs="Arial"/>
        </w:rPr>
        <w:t>4</w:t>
      </w:r>
      <w:r w:rsidR="001E6891" w:rsidRPr="4694368D">
        <w:rPr>
          <w:rFonts w:ascii="Foundry Form Sans" w:hAnsi="Foundry Form Sans" w:cs="Arial"/>
        </w:rPr>
        <w:t>/2</w:t>
      </w:r>
      <w:r w:rsidR="001E6891">
        <w:rPr>
          <w:rFonts w:ascii="Foundry Form Sans" w:hAnsi="Foundry Form Sans" w:cs="Arial"/>
        </w:rPr>
        <w:t>5</w:t>
      </w:r>
      <w:r w:rsidR="001E6891" w:rsidRPr="4694368D">
        <w:rPr>
          <w:rFonts w:ascii="Foundry Form Sans" w:hAnsi="Foundry Form Sans" w:cs="Arial"/>
        </w:rPr>
        <w:t xml:space="preserve"> and </w:t>
      </w:r>
      <w:r w:rsidR="001E6891" w:rsidRPr="4694368D">
        <w:rPr>
          <w:rFonts w:ascii="Foundry Form Sans" w:hAnsi="Foundry Form Sans" w:cs="Arial"/>
        </w:rPr>
        <w:lastRenderedPageBreak/>
        <w:t>202</w:t>
      </w:r>
      <w:r w:rsidR="001E6891">
        <w:rPr>
          <w:rFonts w:ascii="Foundry Form Sans" w:hAnsi="Foundry Form Sans" w:cs="Arial"/>
        </w:rPr>
        <w:t>5</w:t>
      </w:r>
      <w:r w:rsidR="001E6891" w:rsidRPr="4694368D">
        <w:rPr>
          <w:rFonts w:ascii="Foundry Form Sans" w:hAnsi="Foundry Form Sans" w:cs="Arial"/>
        </w:rPr>
        <w:t>/2</w:t>
      </w:r>
      <w:r w:rsidR="001E6891">
        <w:rPr>
          <w:rFonts w:ascii="Foundry Form Sans" w:hAnsi="Foundry Form Sans" w:cs="Arial"/>
        </w:rPr>
        <w:t>6,</w:t>
      </w:r>
      <w:r>
        <w:rPr>
          <w:rFonts w:ascii="Foundry Form Sans" w:hAnsi="Foundry Form Sans" w:cs="Arial"/>
        </w:rPr>
        <w:t xml:space="preserve"> or the proposal of a new dataset that will meet the requirements of the tender</w:t>
      </w:r>
      <w:r w:rsidR="55BBD60C" w:rsidRPr="19601E74">
        <w:rPr>
          <w:rFonts w:ascii="Foundry Form Sans" w:hAnsi="Foundry Form Sans" w:cs="Arial"/>
        </w:rPr>
        <w:t>.</w:t>
      </w:r>
    </w:p>
    <w:p w14:paraId="754DA74A" w14:textId="77777777" w:rsidR="00421F46" w:rsidRDefault="00421F46" w:rsidP="00147EE4">
      <w:pPr>
        <w:ind w:left="360"/>
        <w:rPr>
          <w:rFonts w:ascii="Foundry Form Sans" w:hAnsi="Foundry Form Sans" w:cs="Arial"/>
        </w:rPr>
      </w:pPr>
    </w:p>
    <w:p w14:paraId="00B7F144" w14:textId="448D353C" w:rsidR="00115C81" w:rsidRPr="00115C81" w:rsidRDefault="006A799D" w:rsidP="00115C81">
      <w:pPr>
        <w:numPr>
          <w:ilvl w:val="0"/>
          <w:numId w:val="10"/>
        </w:numPr>
        <w:rPr>
          <w:rFonts w:ascii="Foundry Form Sans" w:hAnsi="Foundry Form Sans" w:cs="Arial"/>
        </w:rPr>
      </w:pPr>
      <w:r>
        <w:rPr>
          <w:rFonts w:ascii="Foundry Form Sans" w:hAnsi="Foundry Form Sans" w:cs="Arial"/>
        </w:rPr>
        <w:t>A</w:t>
      </w:r>
      <w:r w:rsidR="00184B6A">
        <w:rPr>
          <w:rFonts w:ascii="Foundry Form Sans" w:hAnsi="Foundry Form Sans" w:cs="Arial"/>
        </w:rPr>
        <w:t xml:space="preserve">ble to provide backwards comparison </w:t>
      </w:r>
      <w:r w:rsidR="09EF190C" w:rsidRPr="19601E74">
        <w:rPr>
          <w:rFonts w:ascii="Foundry Form Sans" w:hAnsi="Foundry Form Sans" w:cs="Arial"/>
        </w:rPr>
        <w:t>consistent with the existing timeseries</w:t>
      </w:r>
      <w:r w:rsidR="4A9A218B" w:rsidRPr="19601E74">
        <w:rPr>
          <w:rFonts w:ascii="Foundry Form Sans" w:hAnsi="Foundry Form Sans" w:cs="Arial"/>
        </w:rPr>
        <w:t xml:space="preserve"> </w:t>
      </w:r>
      <w:r w:rsidR="0C804936" w:rsidRPr="19601E74">
        <w:rPr>
          <w:rFonts w:ascii="Foundry Form Sans" w:hAnsi="Foundry Form Sans" w:cs="Arial"/>
        </w:rPr>
        <w:t>that the GLA has from 2007/08 to 20</w:t>
      </w:r>
      <w:r w:rsidR="348D277F" w:rsidRPr="19601E74">
        <w:rPr>
          <w:rFonts w:ascii="Foundry Form Sans" w:hAnsi="Foundry Form Sans" w:cs="Arial"/>
        </w:rPr>
        <w:t>2</w:t>
      </w:r>
      <w:r w:rsidR="001E6891">
        <w:rPr>
          <w:rFonts w:ascii="Foundry Form Sans" w:hAnsi="Foundry Form Sans" w:cs="Arial"/>
        </w:rPr>
        <w:t>2</w:t>
      </w:r>
      <w:r w:rsidR="0C804936" w:rsidRPr="19601E74">
        <w:rPr>
          <w:rFonts w:ascii="Foundry Form Sans" w:hAnsi="Foundry Form Sans" w:cs="Arial"/>
        </w:rPr>
        <w:t>/</w:t>
      </w:r>
      <w:r w:rsidR="348D277F" w:rsidRPr="19601E74">
        <w:rPr>
          <w:rFonts w:ascii="Foundry Form Sans" w:hAnsi="Foundry Form Sans" w:cs="Arial"/>
        </w:rPr>
        <w:t>2</w:t>
      </w:r>
      <w:r w:rsidR="001E6891">
        <w:rPr>
          <w:rFonts w:ascii="Foundry Form Sans" w:hAnsi="Foundry Form Sans" w:cs="Arial"/>
        </w:rPr>
        <w:t>3</w:t>
      </w:r>
      <w:r w:rsidR="55BBD60C" w:rsidRPr="19601E74">
        <w:rPr>
          <w:rFonts w:ascii="Foundry Form Sans" w:hAnsi="Foundry Form Sans" w:cs="Arial"/>
        </w:rPr>
        <w:t>.</w:t>
      </w:r>
      <w:r w:rsidR="4A9A218B" w:rsidRPr="19601E74">
        <w:rPr>
          <w:rFonts w:ascii="Foundry Form Sans" w:hAnsi="Foundry Form Sans" w:cs="Arial"/>
        </w:rPr>
        <w:t xml:space="preserve"> This should be </w:t>
      </w:r>
      <w:r w:rsidR="55BBD60C" w:rsidRPr="19601E74">
        <w:rPr>
          <w:rFonts w:ascii="Foundry Form Sans" w:hAnsi="Foundry Form Sans" w:cs="Arial"/>
        </w:rPr>
        <w:t>presented at a London and sub-regional level</w:t>
      </w:r>
      <w:r w:rsidR="348D277F" w:rsidRPr="19601E74">
        <w:rPr>
          <w:rFonts w:ascii="Foundry Form Sans" w:hAnsi="Foundry Form Sans" w:cs="Arial"/>
        </w:rPr>
        <w:t xml:space="preserve"> for all years,</w:t>
      </w:r>
      <w:r w:rsidR="55BBD60C" w:rsidRPr="19601E74">
        <w:rPr>
          <w:rFonts w:ascii="Foundry Form Sans" w:hAnsi="Foundry Form Sans" w:cs="Arial"/>
        </w:rPr>
        <w:t xml:space="preserve"> </w:t>
      </w:r>
      <w:r w:rsidR="4A9A218B" w:rsidRPr="19601E74">
        <w:rPr>
          <w:rFonts w:ascii="Foundry Form Sans" w:hAnsi="Foundry Form Sans" w:cs="Arial"/>
        </w:rPr>
        <w:t>in a dataset that</w:t>
      </w:r>
      <w:r w:rsidR="6123B20F" w:rsidRPr="19601E74">
        <w:rPr>
          <w:rFonts w:ascii="Foundry Form Sans" w:hAnsi="Foundry Form Sans" w:cs="Arial"/>
        </w:rPr>
        <w:t xml:space="preserve"> </w:t>
      </w:r>
      <w:r w:rsidR="4A9A218B" w:rsidRPr="19601E74">
        <w:rPr>
          <w:rFonts w:ascii="Foundry Form Sans" w:hAnsi="Foundry Form Sans" w:cs="Arial"/>
        </w:rPr>
        <w:t xml:space="preserve">can be broken </w:t>
      </w:r>
      <w:r w:rsidR="09EF190C" w:rsidRPr="19601E74">
        <w:rPr>
          <w:rFonts w:ascii="Foundry Form Sans" w:hAnsi="Foundry Form Sans" w:cs="Arial"/>
        </w:rPr>
        <w:t xml:space="preserve">down to a London </w:t>
      </w:r>
      <w:r w:rsidR="626FEA6F" w:rsidRPr="19601E74">
        <w:rPr>
          <w:rFonts w:ascii="Foundry Form Sans" w:hAnsi="Foundry Form Sans" w:cs="Arial"/>
        </w:rPr>
        <w:t>b</w:t>
      </w:r>
      <w:r w:rsidR="09EF190C" w:rsidRPr="19601E74">
        <w:rPr>
          <w:rFonts w:ascii="Foundry Form Sans" w:hAnsi="Foundry Form Sans" w:cs="Arial"/>
        </w:rPr>
        <w:t>orough level</w:t>
      </w:r>
      <w:r w:rsidR="009C7139">
        <w:rPr>
          <w:rFonts w:ascii="Foundry Form Sans" w:hAnsi="Foundry Form Sans" w:cs="Arial"/>
        </w:rPr>
        <w:t xml:space="preserve"> as required</w:t>
      </w:r>
      <w:r w:rsidR="00F66B3A">
        <w:rPr>
          <w:rFonts w:ascii="Foundry Form Sans" w:hAnsi="Foundry Form Sans" w:cs="Arial"/>
        </w:rPr>
        <w:t xml:space="preserve">. </w:t>
      </w:r>
      <w:r w:rsidR="2C430786" w:rsidRPr="19601E74">
        <w:rPr>
          <w:rFonts w:ascii="Foundry Form Sans" w:hAnsi="Foundry Form Sans" w:cs="Arial"/>
        </w:rPr>
        <w:t xml:space="preserve"> </w:t>
      </w:r>
    </w:p>
    <w:bookmarkEnd w:id="5"/>
    <w:p w14:paraId="00B7F145" w14:textId="77777777" w:rsidR="00115C81" w:rsidRPr="00115C81" w:rsidRDefault="00115C81" w:rsidP="00115C81">
      <w:pPr>
        <w:ind w:left="375"/>
        <w:rPr>
          <w:rFonts w:ascii="Foundry Form Sans" w:hAnsi="Foundry Form Sans" w:cs="Arial"/>
          <w:szCs w:val="22"/>
        </w:rPr>
      </w:pPr>
    </w:p>
    <w:p w14:paraId="7855AFC6" w14:textId="13416C4E" w:rsidR="003C3671" w:rsidRPr="009D2372" w:rsidRDefault="00115C81" w:rsidP="00E23D08">
      <w:pPr>
        <w:numPr>
          <w:ilvl w:val="0"/>
          <w:numId w:val="10"/>
        </w:numPr>
        <w:rPr>
          <w:rFonts w:ascii="Foundry Form Sans" w:hAnsi="Foundry Form Sans" w:cs="Arial"/>
          <w:szCs w:val="22"/>
        </w:rPr>
      </w:pPr>
      <w:r w:rsidRPr="009D2372">
        <w:rPr>
          <w:rFonts w:ascii="Foundry Form Sans" w:hAnsi="Foundry Form Sans" w:cs="Arial"/>
          <w:szCs w:val="22"/>
        </w:rPr>
        <w:t>To provide a comparative dataset for the rest of the UK regions and nations to both assess London’s performance and strengths against them as well as identify where there are opportunities for collaboration and partnership within the supply and value chain.</w:t>
      </w:r>
    </w:p>
    <w:p w14:paraId="00B7F147" w14:textId="77777777" w:rsidR="00115C81" w:rsidRPr="00115C81" w:rsidRDefault="00115C81" w:rsidP="00115C81">
      <w:pPr>
        <w:ind w:left="375"/>
        <w:rPr>
          <w:rFonts w:ascii="Foundry Form Sans" w:hAnsi="Foundry Form Sans" w:cs="Arial"/>
          <w:szCs w:val="22"/>
        </w:rPr>
      </w:pPr>
    </w:p>
    <w:p w14:paraId="00B7F149" w14:textId="5517C630" w:rsidR="00115C81" w:rsidRPr="00160FE0" w:rsidRDefault="09EF190C" w:rsidP="008C5430">
      <w:pPr>
        <w:numPr>
          <w:ilvl w:val="0"/>
          <w:numId w:val="10"/>
        </w:numPr>
        <w:ind w:left="375"/>
        <w:rPr>
          <w:rFonts w:ascii="Foundry Form Sans" w:hAnsi="Foundry Form Sans" w:cs="Arial"/>
          <w:szCs w:val="22"/>
        </w:rPr>
      </w:pPr>
      <w:r w:rsidRPr="00160FE0">
        <w:rPr>
          <w:rFonts w:ascii="Foundry Form Sans" w:hAnsi="Foundry Form Sans" w:cs="Arial"/>
        </w:rPr>
        <w:t xml:space="preserve">To provide a projection/forecast of sectoral growth in London </w:t>
      </w:r>
      <w:r w:rsidR="009A720D" w:rsidRPr="00160FE0">
        <w:rPr>
          <w:rFonts w:ascii="Foundry Form Sans" w:hAnsi="Foundry Form Sans" w:cs="Arial"/>
        </w:rPr>
        <w:t>to 20</w:t>
      </w:r>
      <w:r w:rsidR="00E4674B" w:rsidRPr="00160FE0">
        <w:rPr>
          <w:rFonts w:ascii="Foundry Form Sans" w:hAnsi="Foundry Form Sans" w:cs="Arial"/>
        </w:rPr>
        <w:t>30</w:t>
      </w:r>
      <w:r w:rsidRPr="00160FE0">
        <w:rPr>
          <w:rFonts w:ascii="Foundry Form Sans" w:hAnsi="Foundry Form Sans" w:cs="Arial"/>
        </w:rPr>
        <w:t xml:space="preserve"> for</w:t>
      </w:r>
      <w:r w:rsidR="0065366F" w:rsidRPr="00160FE0">
        <w:rPr>
          <w:rFonts w:ascii="Foundry Form Sans" w:hAnsi="Foundry Form Sans" w:cs="Arial"/>
        </w:rPr>
        <w:t xml:space="preserve"> London’s Green Economy</w:t>
      </w:r>
      <w:r w:rsidR="00D81204">
        <w:rPr>
          <w:rFonts w:ascii="Foundry Form Sans" w:hAnsi="Foundry Form Sans" w:cs="Arial"/>
        </w:rPr>
        <w:t>,</w:t>
      </w:r>
      <w:r w:rsidR="0065366F" w:rsidRPr="00160FE0">
        <w:rPr>
          <w:rFonts w:ascii="Foundry Form Sans" w:hAnsi="Foundry Form Sans" w:cs="Arial"/>
        </w:rPr>
        <w:t xml:space="preserve"> </w:t>
      </w:r>
      <w:r w:rsidR="00DA5EC5">
        <w:rPr>
          <w:rFonts w:ascii="Foundry Form Sans" w:hAnsi="Foundry Form Sans" w:cs="Arial"/>
        </w:rPr>
        <w:t>e.g.,</w:t>
      </w:r>
      <w:r w:rsidR="00611AA1">
        <w:rPr>
          <w:rFonts w:ascii="Foundry Form Sans" w:hAnsi="Foundry Form Sans" w:cs="Arial"/>
        </w:rPr>
        <w:t xml:space="preserve"> </w:t>
      </w:r>
      <w:r w:rsidR="00AB6E1D" w:rsidRPr="00160FE0">
        <w:rPr>
          <w:rFonts w:ascii="Foundry Form Sans" w:hAnsi="Foundry Form Sans" w:cs="Arial"/>
        </w:rPr>
        <w:t>utilising</w:t>
      </w:r>
      <w:r w:rsidR="0065366F" w:rsidRPr="00160FE0">
        <w:rPr>
          <w:rFonts w:ascii="Foundry Form Sans" w:hAnsi="Foundry Form Sans" w:cs="Arial"/>
        </w:rPr>
        <w:t xml:space="preserve"> both </w:t>
      </w:r>
      <w:r w:rsidR="00AB6E1D" w:rsidRPr="00160FE0">
        <w:rPr>
          <w:rFonts w:ascii="Foundry Form Sans" w:hAnsi="Foundry Form Sans" w:cs="Arial"/>
        </w:rPr>
        <w:t>KMatrix</w:t>
      </w:r>
      <w:r w:rsidR="0065366F" w:rsidRPr="00160FE0">
        <w:rPr>
          <w:rFonts w:ascii="Foundry Form Sans" w:hAnsi="Foundry Form Sans" w:cs="Arial"/>
        </w:rPr>
        <w:t xml:space="preserve"> </w:t>
      </w:r>
      <w:r w:rsidRPr="00160FE0">
        <w:rPr>
          <w:rFonts w:ascii="Foundry Form Sans" w:hAnsi="Foundry Form Sans" w:cs="Arial"/>
        </w:rPr>
        <w:t>Low Carbon and Environmental Goods and Services sector</w:t>
      </w:r>
      <w:r w:rsidR="0C804936" w:rsidRPr="00160FE0">
        <w:rPr>
          <w:rFonts w:ascii="Foundry Form Sans" w:hAnsi="Foundry Form Sans" w:cs="Arial"/>
        </w:rPr>
        <w:t xml:space="preserve"> (LCEGS)</w:t>
      </w:r>
      <w:r w:rsidR="0065366F" w:rsidRPr="00160FE0">
        <w:rPr>
          <w:rFonts w:ascii="Foundry Form Sans" w:hAnsi="Foundry Form Sans" w:cs="Arial"/>
        </w:rPr>
        <w:t xml:space="preserve"> and WPI Economics</w:t>
      </w:r>
      <w:r w:rsidR="006F0166">
        <w:rPr>
          <w:rFonts w:ascii="Foundry Form Sans" w:hAnsi="Foundry Form Sans" w:cs="Arial"/>
        </w:rPr>
        <w:t>.</w:t>
      </w:r>
      <w:r w:rsidR="7CCE02B1" w:rsidRPr="00160FE0">
        <w:rPr>
          <w:rFonts w:ascii="Foundry Form Sans" w:hAnsi="Foundry Form Sans" w:cs="Arial"/>
        </w:rPr>
        <w:t xml:space="preserve"> </w:t>
      </w:r>
      <w:r w:rsidR="0065366F" w:rsidRPr="00160FE0">
        <w:rPr>
          <w:rFonts w:ascii="Foundry Form Sans" w:hAnsi="Foundry Form Sans" w:cs="Arial"/>
        </w:rPr>
        <w:t>This should be presented at a London and sub-regional level for all years, in a dataset that can be broken down to a London borough level.</w:t>
      </w:r>
    </w:p>
    <w:p w14:paraId="00B7F14B" w14:textId="0D1FA988" w:rsidR="008E790F" w:rsidRDefault="008E790F" w:rsidP="008E790F">
      <w:pPr>
        <w:pStyle w:val="ListParagraph"/>
        <w:rPr>
          <w:rFonts w:ascii="Foundry Form Sans" w:hAnsi="Foundry Form Sans" w:cs="Arial"/>
          <w:szCs w:val="22"/>
        </w:rPr>
      </w:pPr>
    </w:p>
    <w:p w14:paraId="76553798" w14:textId="3027BCEC" w:rsidR="00C922B0" w:rsidRDefault="00B16C2C" w:rsidP="00C922B0">
      <w:pPr>
        <w:numPr>
          <w:ilvl w:val="0"/>
          <w:numId w:val="10"/>
        </w:numPr>
        <w:rPr>
          <w:rFonts w:ascii="Foundry Form Sans" w:hAnsi="Foundry Form Sans" w:cs="Arial"/>
          <w:szCs w:val="22"/>
        </w:rPr>
      </w:pPr>
      <w:r>
        <w:rPr>
          <w:rFonts w:ascii="Foundry Form Sans" w:hAnsi="Foundry Form Sans" w:cs="Arial"/>
          <w:szCs w:val="22"/>
        </w:rPr>
        <w:t xml:space="preserve">For current </w:t>
      </w:r>
      <w:r w:rsidR="009D78F7">
        <w:rPr>
          <w:rFonts w:ascii="Foundry Form Sans" w:hAnsi="Foundry Form Sans" w:cs="Arial"/>
          <w:szCs w:val="22"/>
        </w:rPr>
        <w:t>baseline</w:t>
      </w:r>
      <w:r>
        <w:rPr>
          <w:rFonts w:ascii="Foundry Form Sans" w:hAnsi="Foundry Form Sans" w:cs="Arial"/>
          <w:szCs w:val="22"/>
        </w:rPr>
        <w:t xml:space="preserve"> and future projection of the Green Economy in London to</w:t>
      </w:r>
      <w:r w:rsidR="00C922B0">
        <w:rPr>
          <w:rFonts w:ascii="Foundry Form Sans" w:hAnsi="Foundry Form Sans" w:cs="Arial"/>
          <w:szCs w:val="22"/>
        </w:rPr>
        <w:t xml:space="preserve"> have a borough level breakdown of the datasets to support</w:t>
      </w:r>
      <w:r w:rsidR="00542302">
        <w:rPr>
          <w:rFonts w:ascii="Foundry Form Sans" w:hAnsi="Foundry Form Sans" w:cs="Arial"/>
          <w:szCs w:val="22"/>
        </w:rPr>
        <w:t>:</w:t>
      </w:r>
    </w:p>
    <w:p w14:paraId="2D08CC25" w14:textId="77777777" w:rsidR="00C922B0" w:rsidRDefault="00C922B0" w:rsidP="00C922B0">
      <w:pPr>
        <w:pStyle w:val="ListParagraph"/>
        <w:rPr>
          <w:rFonts w:ascii="Foundry Form Sans" w:hAnsi="Foundry Form Sans" w:cs="Arial"/>
          <w:szCs w:val="22"/>
        </w:rPr>
      </w:pPr>
    </w:p>
    <w:p w14:paraId="057B6A2B" w14:textId="00C03725" w:rsidR="009D78F7" w:rsidRPr="009D78F7" w:rsidRDefault="009D78F7" w:rsidP="009D78F7">
      <w:pPr>
        <w:numPr>
          <w:ilvl w:val="1"/>
          <w:numId w:val="10"/>
        </w:numPr>
        <w:rPr>
          <w:rFonts w:ascii="Foundry Form Sans" w:hAnsi="Foundry Form Sans" w:cs="Arial"/>
          <w:szCs w:val="22"/>
        </w:rPr>
      </w:pPr>
      <w:r w:rsidRPr="009D78F7">
        <w:rPr>
          <w:rFonts w:ascii="Foundry Form Sans" w:hAnsi="Foundry Form Sans" w:cs="Arial"/>
          <w:szCs w:val="22"/>
        </w:rPr>
        <w:t xml:space="preserve">Giving boroughs access to </w:t>
      </w:r>
      <w:r w:rsidR="00DA5EC5" w:rsidRPr="009D78F7">
        <w:rPr>
          <w:rFonts w:ascii="Foundry Form Sans" w:hAnsi="Foundry Form Sans" w:cs="Arial"/>
          <w:szCs w:val="22"/>
        </w:rPr>
        <w:t>up-to-date</w:t>
      </w:r>
      <w:r w:rsidRPr="009D78F7">
        <w:rPr>
          <w:rFonts w:ascii="Foundry Form Sans" w:hAnsi="Foundry Form Sans" w:cs="Arial"/>
          <w:szCs w:val="22"/>
        </w:rPr>
        <w:t xml:space="preserve"> data on the green economy in their borough, with a comparison to their sub-region, London and the UK</w:t>
      </w:r>
    </w:p>
    <w:p w14:paraId="6AA4A36C" w14:textId="77777777" w:rsidR="009D78F7" w:rsidRPr="009D78F7" w:rsidRDefault="009D78F7" w:rsidP="009D78F7">
      <w:pPr>
        <w:numPr>
          <w:ilvl w:val="1"/>
          <w:numId w:val="10"/>
        </w:numPr>
        <w:rPr>
          <w:rFonts w:ascii="Foundry Form Sans" w:hAnsi="Foundry Form Sans" w:cs="Arial"/>
          <w:szCs w:val="22"/>
        </w:rPr>
      </w:pPr>
      <w:r w:rsidRPr="009D78F7">
        <w:rPr>
          <w:rFonts w:ascii="Foundry Form Sans" w:hAnsi="Foundry Form Sans" w:cs="Arial"/>
          <w:szCs w:val="22"/>
        </w:rPr>
        <w:t>Enabling boroughs to tailor interventions to support their green economy:</w:t>
      </w:r>
    </w:p>
    <w:p w14:paraId="491E6217" w14:textId="77777777" w:rsidR="009D78F7" w:rsidRPr="009D78F7" w:rsidRDefault="009D78F7" w:rsidP="009D78F7">
      <w:pPr>
        <w:numPr>
          <w:ilvl w:val="2"/>
          <w:numId w:val="10"/>
        </w:numPr>
        <w:rPr>
          <w:rFonts w:ascii="Foundry Form Sans" w:hAnsi="Foundry Form Sans" w:cs="Arial"/>
          <w:szCs w:val="22"/>
        </w:rPr>
      </w:pPr>
      <w:r w:rsidRPr="009D78F7">
        <w:rPr>
          <w:rFonts w:ascii="Foundry Form Sans" w:hAnsi="Foundry Form Sans" w:cs="Arial"/>
          <w:szCs w:val="22"/>
        </w:rPr>
        <w:t>Skills and employment support programmes for residents</w:t>
      </w:r>
    </w:p>
    <w:p w14:paraId="2DA5EFDD" w14:textId="77777777" w:rsidR="009D78F7" w:rsidRPr="009D78F7" w:rsidRDefault="009D78F7" w:rsidP="009D78F7">
      <w:pPr>
        <w:numPr>
          <w:ilvl w:val="2"/>
          <w:numId w:val="10"/>
        </w:numPr>
        <w:rPr>
          <w:rFonts w:ascii="Foundry Form Sans" w:hAnsi="Foundry Form Sans" w:cs="Arial"/>
          <w:szCs w:val="22"/>
        </w:rPr>
      </w:pPr>
      <w:r w:rsidRPr="009D78F7">
        <w:rPr>
          <w:rFonts w:ascii="Foundry Form Sans" w:hAnsi="Foundry Form Sans" w:cs="Arial"/>
          <w:szCs w:val="22"/>
        </w:rPr>
        <w:t>Convening partnerships, for example with colleges and businesses in the supply chain</w:t>
      </w:r>
    </w:p>
    <w:p w14:paraId="51EFAD27" w14:textId="273F5136" w:rsidR="009D78F7" w:rsidRPr="009D78F7" w:rsidRDefault="009D78F7" w:rsidP="009D78F7">
      <w:pPr>
        <w:numPr>
          <w:ilvl w:val="2"/>
          <w:numId w:val="10"/>
        </w:numPr>
        <w:rPr>
          <w:rFonts w:ascii="Foundry Form Sans" w:hAnsi="Foundry Form Sans" w:cs="Arial"/>
          <w:szCs w:val="22"/>
        </w:rPr>
      </w:pPr>
      <w:r w:rsidRPr="009D78F7">
        <w:rPr>
          <w:rFonts w:ascii="Foundry Form Sans" w:hAnsi="Foundry Form Sans" w:cs="Arial"/>
          <w:szCs w:val="22"/>
        </w:rPr>
        <w:t xml:space="preserve">Supporting infrastructure, such as </w:t>
      </w:r>
      <w:r w:rsidR="008761B9">
        <w:rPr>
          <w:rFonts w:ascii="Foundry Form Sans" w:hAnsi="Foundry Form Sans" w:cs="Arial"/>
          <w:szCs w:val="22"/>
        </w:rPr>
        <w:t>M</w:t>
      </w:r>
      <w:r w:rsidRPr="009D78F7">
        <w:rPr>
          <w:rFonts w:ascii="Foundry Form Sans" w:hAnsi="Foundry Form Sans" w:cs="Arial"/>
          <w:szCs w:val="22"/>
        </w:rPr>
        <w:t xml:space="preserve">eanwhile </w:t>
      </w:r>
      <w:r w:rsidR="008761B9">
        <w:rPr>
          <w:rFonts w:ascii="Foundry Form Sans" w:hAnsi="Foundry Form Sans" w:cs="Arial"/>
          <w:szCs w:val="22"/>
        </w:rPr>
        <w:t>S</w:t>
      </w:r>
      <w:r w:rsidRPr="009D78F7">
        <w:rPr>
          <w:rFonts w:ascii="Foundry Form Sans" w:hAnsi="Foundry Form Sans" w:cs="Arial"/>
          <w:szCs w:val="22"/>
        </w:rPr>
        <w:t>pace</w:t>
      </w:r>
    </w:p>
    <w:p w14:paraId="72D29006" w14:textId="4772FBF7" w:rsidR="009D78F7" w:rsidRPr="009D78F7" w:rsidRDefault="009D78F7" w:rsidP="009D78F7">
      <w:pPr>
        <w:numPr>
          <w:ilvl w:val="1"/>
          <w:numId w:val="10"/>
        </w:numPr>
        <w:rPr>
          <w:rFonts w:ascii="Foundry Form Sans" w:hAnsi="Foundry Form Sans" w:cs="Arial"/>
          <w:szCs w:val="22"/>
        </w:rPr>
      </w:pPr>
      <w:r w:rsidRPr="009D78F7">
        <w:rPr>
          <w:rFonts w:ascii="Foundry Form Sans" w:hAnsi="Foundry Form Sans" w:cs="Arial"/>
          <w:szCs w:val="22"/>
        </w:rPr>
        <w:t xml:space="preserve">Identifying opportunities to collaborate with other boroughs/ sub-regional partners around sector </w:t>
      </w:r>
      <w:r w:rsidR="00DA5EC5" w:rsidRPr="009D78F7">
        <w:rPr>
          <w:rFonts w:ascii="Foundry Form Sans" w:hAnsi="Foundry Form Sans" w:cs="Arial"/>
          <w:szCs w:val="22"/>
        </w:rPr>
        <w:t>support.</w:t>
      </w:r>
    </w:p>
    <w:p w14:paraId="0ABDC3AF" w14:textId="77777777" w:rsidR="00C922B0" w:rsidRPr="00C922B0" w:rsidRDefault="00C922B0" w:rsidP="009D78F7">
      <w:pPr>
        <w:ind w:left="792"/>
        <w:rPr>
          <w:rFonts w:ascii="Foundry Form Sans" w:hAnsi="Foundry Form Sans" w:cs="Arial"/>
          <w:szCs w:val="22"/>
        </w:rPr>
      </w:pPr>
    </w:p>
    <w:p w14:paraId="00B7F14E" w14:textId="43474CF7" w:rsidR="008A0D03" w:rsidRPr="00147EE4" w:rsidRDefault="00FD74A7" w:rsidP="00C46343">
      <w:pPr>
        <w:pStyle w:val="ListParagraph"/>
        <w:numPr>
          <w:ilvl w:val="0"/>
          <w:numId w:val="10"/>
        </w:numPr>
        <w:rPr>
          <w:rFonts w:ascii="Foundry Form Sans" w:hAnsi="Foundry Form Sans" w:cs="Arial"/>
          <w:szCs w:val="22"/>
        </w:rPr>
      </w:pPr>
      <w:r w:rsidRPr="00147EE4">
        <w:rPr>
          <w:rFonts w:ascii="Foundry Form Sans" w:hAnsi="Foundry Form Sans" w:cs="Arial"/>
        </w:rPr>
        <w:t xml:space="preserve">In addition to the </w:t>
      </w:r>
      <w:r w:rsidR="00455E83" w:rsidRPr="00147EE4">
        <w:rPr>
          <w:rFonts w:ascii="Foundry Form Sans" w:hAnsi="Foundry Form Sans" w:cs="Arial"/>
        </w:rPr>
        <w:t xml:space="preserve">LCEGS sectors and </w:t>
      </w:r>
      <w:r w:rsidRPr="00147EE4">
        <w:rPr>
          <w:rFonts w:ascii="Foundry Form Sans" w:hAnsi="Foundry Form Sans" w:cs="Arial"/>
        </w:rPr>
        <w:t>WPI 11 priority sectors</w:t>
      </w:r>
      <w:r w:rsidR="00271335">
        <w:rPr>
          <w:rFonts w:ascii="Foundry Form Sans" w:hAnsi="Foundry Form Sans" w:cs="Arial"/>
        </w:rPr>
        <w:t>,</w:t>
      </w:r>
      <w:r w:rsidRPr="00147EE4">
        <w:rPr>
          <w:rFonts w:ascii="Foundry Form Sans" w:hAnsi="Foundry Form Sans" w:cs="Arial"/>
        </w:rPr>
        <w:t xml:space="preserve"> the dataset</w:t>
      </w:r>
      <w:r w:rsidR="00CE4FEA" w:rsidRPr="00147EE4">
        <w:rPr>
          <w:rFonts w:ascii="Foundry Form Sans" w:hAnsi="Foundry Form Sans" w:cs="Arial"/>
        </w:rPr>
        <w:t xml:space="preserve"> </w:t>
      </w:r>
      <w:r w:rsidR="00271335">
        <w:rPr>
          <w:rFonts w:ascii="Foundry Form Sans" w:hAnsi="Foundry Form Sans" w:cs="Arial"/>
        </w:rPr>
        <w:t xml:space="preserve">should </w:t>
      </w:r>
      <w:r w:rsidR="00191475">
        <w:rPr>
          <w:rFonts w:ascii="Foundry Form Sans" w:hAnsi="Foundry Form Sans" w:cs="Arial"/>
        </w:rPr>
        <w:t>be expanded to include</w:t>
      </w:r>
      <w:r w:rsidR="00474A7F">
        <w:rPr>
          <w:rFonts w:ascii="Foundry Form Sans" w:hAnsi="Foundry Form Sans" w:cs="Arial"/>
        </w:rPr>
        <w:t xml:space="preserve"> additional</w:t>
      </w:r>
      <w:r w:rsidR="00191475">
        <w:rPr>
          <w:rFonts w:ascii="Foundry Form Sans" w:hAnsi="Foundry Form Sans" w:cs="Arial"/>
        </w:rPr>
        <w:t xml:space="preserve"> sectors from the</w:t>
      </w:r>
      <w:r w:rsidR="001F06DF">
        <w:rPr>
          <w:rFonts w:ascii="Foundry Form Sans" w:hAnsi="Foundry Form Sans" w:cs="Arial"/>
        </w:rPr>
        <w:t xml:space="preserve"> green economy</w:t>
      </w:r>
      <w:r w:rsidR="00A15D66">
        <w:rPr>
          <w:rFonts w:ascii="Foundry Form Sans" w:hAnsi="Foundry Form Sans" w:cs="Arial"/>
        </w:rPr>
        <w:t xml:space="preserve"> an</w:t>
      </w:r>
      <w:r w:rsidR="00474A7F">
        <w:rPr>
          <w:rFonts w:ascii="Foundry Form Sans" w:hAnsi="Foundry Form Sans" w:cs="Arial"/>
        </w:rPr>
        <w:t xml:space="preserve">d </w:t>
      </w:r>
      <w:r w:rsidR="00AC1DA7" w:rsidRPr="00147EE4">
        <w:rPr>
          <w:rFonts w:ascii="Foundry Form Sans" w:hAnsi="Foundry Form Sans" w:cs="Arial"/>
        </w:rPr>
        <w:t xml:space="preserve">Circular Economy </w:t>
      </w:r>
      <w:r w:rsidR="00A15D66">
        <w:rPr>
          <w:rFonts w:ascii="Foundry Form Sans" w:hAnsi="Foundry Form Sans" w:cs="Arial"/>
        </w:rPr>
        <w:t xml:space="preserve">not </w:t>
      </w:r>
      <w:r w:rsidR="00474A7F">
        <w:rPr>
          <w:rFonts w:ascii="Foundry Form Sans" w:hAnsi="Foundry Form Sans" w:cs="Arial"/>
        </w:rPr>
        <w:t>already captured</w:t>
      </w:r>
      <w:r w:rsidR="00A15D66">
        <w:rPr>
          <w:rFonts w:ascii="Foundry Form Sans" w:hAnsi="Foundry Form Sans" w:cs="Arial"/>
        </w:rPr>
        <w:t xml:space="preserve"> in the existing datasets </w:t>
      </w:r>
      <w:r w:rsidR="00474A7F">
        <w:rPr>
          <w:rFonts w:ascii="Foundry Form Sans" w:hAnsi="Foundry Form Sans" w:cs="Arial"/>
        </w:rPr>
        <w:t>t</w:t>
      </w:r>
      <w:r w:rsidR="00AD509C">
        <w:rPr>
          <w:rFonts w:ascii="Foundry Form Sans" w:hAnsi="Foundry Form Sans" w:cs="Arial"/>
        </w:rPr>
        <w:t xml:space="preserve">hat would enrich the </w:t>
      </w:r>
      <w:r w:rsidR="00AC1DA7" w:rsidRPr="00147EE4">
        <w:rPr>
          <w:rFonts w:ascii="Foundry Form Sans" w:hAnsi="Foundry Form Sans" w:cs="Arial"/>
        </w:rPr>
        <w:t xml:space="preserve">green jobs and skills analysis. </w:t>
      </w:r>
      <w:r w:rsidR="0080210A" w:rsidRPr="00147EE4">
        <w:rPr>
          <w:rFonts w:ascii="Foundry Form Sans" w:hAnsi="Foundry Form Sans" w:cs="Arial"/>
        </w:rPr>
        <w:t xml:space="preserve">The supplier can </w:t>
      </w:r>
      <w:r w:rsidR="00D626FC" w:rsidRPr="00147EE4">
        <w:rPr>
          <w:rFonts w:ascii="Foundry Form Sans" w:hAnsi="Foundry Form Sans" w:cs="Arial"/>
        </w:rPr>
        <w:t xml:space="preserve">propose additional sectors </w:t>
      </w:r>
      <w:r w:rsidR="003A5CE5" w:rsidRPr="00147EE4">
        <w:rPr>
          <w:rFonts w:ascii="Foundry Form Sans" w:hAnsi="Foundry Form Sans" w:cs="Arial"/>
        </w:rPr>
        <w:t xml:space="preserve">to be included. </w:t>
      </w:r>
    </w:p>
    <w:p w14:paraId="00B7F14F" w14:textId="77777777" w:rsidR="00115C81" w:rsidRPr="00115C81" w:rsidRDefault="00115C81" w:rsidP="00110FFF">
      <w:pPr>
        <w:pStyle w:val="ListParagraph"/>
        <w:ind w:left="360"/>
        <w:rPr>
          <w:szCs w:val="22"/>
        </w:rPr>
      </w:pPr>
    </w:p>
    <w:p w14:paraId="00B7F150" w14:textId="2160838A" w:rsidR="00AA1FAE" w:rsidRDefault="09EF190C" w:rsidP="19601E74">
      <w:pPr>
        <w:numPr>
          <w:ilvl w:val="0"/>
          <w:numId w:val="10"/>
        </w:numPr>
        <w:rPr>
          <w:rFonts w:ascii="Foundry Form Sans" w:hAnsi="Foundry Form Sans" w:cs="Arial"/>
        </w:rPr>
      </w:pPr>
      <w:r w:rsidRPr="19601E74">
        <w:rPr>
          <w:rFonts w:ascii="Foundry Form Sans" w:hAnsi="Foundry Form Sans" w:cs="Arial"/>
        </w:rPr>
        <w:t xml:space="preserve">To use the datasets to identify which sub-sectors offer the best opportunities for developing economic activity </w:t>
      </w:r>
      <w:r w:rsidR="222AA37D" w:rsidRPr="19601E74">
        <w:rPr>
          <w:rFonts w:ascii="Foundry Form Sans" w:hAnsi="Foundry Form Sans" w:cs="Arial"/>
        </w:rPr>
        <w:t xml:space="preserve">and jobs </w:t>
      </w:r>
      <w:r w:rsidRPr="19601E74">
        <w:rPr>
          <w:rFonts w:ascii="Foundry Form Sans" w:hAnsi="Foundry Form Sans" w:cs="Arial"/>
        </w:rPr>
        <w:t xml:space="preserve">in London </w:t>
      </w:r>
      <w:r w:rsidR="222AA37D" w:rsidRPr="19601E74">
        <w:rPr>
          <w:rFonts w:ascii="Foundry Form Sans" w:hAnsi="Foundry Form Sans" w:cs="Arial"/>
        </w:rPr>
        <w:t xml:space="preserve">as a </w:t>
      </w:r>
      <w:r w:rsidRPr="19601E74">
        <w:rPr>
          <w:rFonts w:ascii="Foundry Form Sans" w:hAnsi="Foundry Form Sans" w:cs="Arial"/>
        </w:rPr>
        <w:t xml:space="preserve">response to the environmental </w:t>
      </w:r>
      <w:r w:rsidR="222AA37D" w:rsidRPr="19601E74">
        <w:rPr>
          <w:rFonts w:ascii="Foundry Form Sans" w:hAnsi="Foundry Form Sans" w:cs="Arial"/>
        </w:rPr>
        <w:t xml:space="preserve">and economic </w:t>
      </w:r>
      <w:r w:rsidRPr="19601E74">
        <w:rPr>
          <w:rFonts w:ascii="Foundry Form Sans" w:hAnsi="Foundry Form Sans" w:cs="Arial"/>
        </w:rPr>
        <w:t>challenges facing London</w:t>
      </w:r>
      <w:r w:rsidR="222AA37D" w:rsidRPr="19601E74">
        <w:rPr>
          <w:rFonts w:ascii="Foundry Form Sans" w:hAnsi="Foundry Form Sans" w:cs="Arial"/>
        </w:rPr>
        <w:t xml:space="preserve"> in </w:t>
      </w:r>
      <w:r w:rsidR="51196487" w:rsidRPr="19601E74">
        <w:rPr>
          <w:rFonts w:ascii="Foundry Form Sans" w:hAnsi="Foundry Form Sans" w:cs="Arial"/>
        </w:rPr>
        <w:t xml:space="preserve">recovering </w:t>
      </w:r>
      <w:r w:rsidR="00E009B3">
        <w:rPr>
          <w:rFonts w:ascii="Foundry Form Sans" w:hAnsi="Foundry Form Sans" w:cs="Arial"/>
        </w:rPr>
        <w:t xml:space="preserve">from </w:t>
      </w:r>
      <w:r w:rsidR="51196487" w:rsidRPr="19601E74">
        <w:rPr>
          <w:rFonts w:ascii="Foundry Form Sans" w:hAnsi="Foundry Form Sans" w:cs="Arial"/>
        </w:rPr>
        <w:t>the pandemic</w:t>
      </w:r>
      <w:r w:rsidR="00E009B3">
        <w:rPr>
          <w:rFonts w:ascii="Foundry Form Sans" w:hAnsi="Foundry Form Sans" w:cs="Arial"/>
        </w:rPr>
        <w:t xml:space="preserve"> and driving the transition to a low carbon, circular economy</w:t>
      </w:r>
      <w:r w:rsidR="222AA37D" w:rsidRPr="19601E74">
        <w:rPr>
          <w:rFonts w:ascii="Foundry Form Sans" w:hAnsi="Foundry Form Sans" w:cs="Arial"/>
        </w:rPr>
        <w:t>.</w:t>
      </w:r>
    </w:p>
    <w:p w14:paraId="464E53D7" w14:textId="77777777" w:rsidR="00110FFF" w:rsidRDefault="00110FFF" w:rsidP="00110FFF">
      <w:pPr>
        <w:ind w:left="360"/>
        <w:rPr>
          <w:rFonts w:ascii="Foundry Form Sans" w:hAnsi="Foundry Form Sans" w:cs="Arial"/>
        </w:rPr>
      </w:pPr>
    </w:p>
    <w:p w14:paraId="2118EC85" w14:textId="12E1C664" w:rsidR="00AA1FAE" w:rsidRDefault="07809C17" w:rsidP="00115C81">
      <w:pPr>
        <w:numPr>
          <w:ilvl w:val="0"/>
          <w:numId w:val="10"/>
        </w:numPr>
        <w:rPr>
          <w:rFonts w:ascii="Foundry Form Sans" w:hAnsi="Foundry Form Sans" w:cs="Arial"/>
        </w:rPr>
      </w:pPr>
      <w:r w:rsidRPr="19601E74">
        <w:rPr>
          <w:rFonts w:ascii="Foundry Form Sans" w:hAnsi="Foundry Form Sans" w:cs="Arial"/>
        </w:rPr>
        <w:t xml:space="preserve">To </w:t>
      </w:r>
      <w:r w:rsidR="222AA37D" w:rsidRPr="19601E74">
        <w:rPr>
          <w:rFonts w:ascii="Foundry Form Sans" w:hAnsi="Foundry Form Sans" w:cs="Arial"/>
        </w:rPr>
        <w:t xml:space="preserve">provide estimates of </w:t>
      </w:r>
      <w:r w:rsidR="00E009B3">
        <w:rPr>
          <w:rFonts w:ascii="Foundry Form Sans" w:hAnsi="Foundry Form Sans" w:cs="Arial"/>
        </w:rPr>
        <w:t>other</w:t>
      </w:r>
      <w:r w:rsidR="222AA37D" w:rsidRPr="19601E74">
        <w:rPr>
          <w:rFonts w:ascii="Foundry Form Sans" w:hAnsi="Foundry Form Sans" w:cs="Arial"/>
        </w:rPr>
        <w:t xml:space="preserve"> sectors </w:t>
      </w:r>
      <w:r w:rsidR="00E009B3">
        <w:rPr>
          <w:rFonts w:ascii="Foundry Form Sans" w:hAnsi="Foundry Form Sans" w:cs="Arial"/>
        </w:rPr>
        <w:t xml:space="preserve">within London’s economy </w:t>
      </w:r>
      <w:r w:rsidR="00805CA3">
        <w:rPr>
          <w:rFonts w:ascii="Foundry Form Sans" w:hAnsi="Foundry Form Sans" w:cs="Arial"/>
        </w:rPr>
        <w:t xml:space="preserve">to </w:t>
      </w:r>
      <w:r w:rsidR="222AA37D" w:rsidRPr="19601E74">
        <w:rPr>
          <w:rFonts w:ascii="Foundry Form Sans" w:hAnsi="Foundry Form Sans" w:cs="Arial"/>
        </w:rPr>
        <w:t>provide some perspective as to the relative size of the ‘green economy</w:t>
      </w:r>
      <w:r w:rsidR="00DA5EC5" w:rsidRPr="19601E74">
        <w:rPr>
          <w:rFonts w:ascii="Foundry Form Sans" w:hAnsi="Foundry Form Sans" w:cs="Arial"/>
        </w:rPr>
        <w:t>’ compared</w:t>
      </w:r>
      <w:r w:rsidR="222AA37D" w:rsidRPr="19601E74">
        <w:rPr>
          <w:rFonts w:ascii="Foundry Form Sans" w:hAnsi="Foundry Form Sans" w:cs="Arial"/>
        </w:rPr>
        <w:t xml:space="preserve"> to these other sectors</w:t>
      </w:r>
      <w:r w:rsidR="00982C94">
        <w:rPr>
          <w:rFonts w:ascii="Foundry Form Sans" w:hAnsi="Foundry Form Sans" w:cs="Arial"/>
        </w:rPr>
        <w:t xml:space="preserve"> and its contribution </w:t>
      </w:r>
      <w:r w:rsidR="005B5DFD">
        <w:rPr>
          <w:rFonts w:ascii="Foundry Form Sans" w:hAnsi="Foundry Form Sans" w:cs="Arial"/>
        </w:rPr>
        <w:t>to</w:t>
      </w:r>
      <w:r w:rsidR="00982C94">
        <w:rPr>
          <w:rFonts w:ascii="Foundry Form Sans" w:hAnsi="Foundry Form Sans" w:cs="Arial"/>
        </w:rPr>
        <w:t xml:space="preserve"> the wider London economy</w:t>
      </w:r>
      <w:r w:rsidR="222AA37D" w:rsidRPr="19601E74">
        <w:rPr>
          <w:rFonts w:ascii="Foundry Form Sans" w:hAnsi="Foundry Form Sans" w:cs="Arial"/>
        </w:rPr>
        <w:t>.</w:t>
      </w:r>
    </w:p>
    <w:p w14:paraId="7B9C64F6" w14:textId="77777777" w:rsidR="00371FB3" w:rsidRDefault="00371FB3" w:rsidP="00147EE4">
      <w:pPr>
        <w:pStyle w:val="ListParagraph"/>
        <w:rPr>
          <w:rFonts w:ascii="Foundry Form Sans" w:hAnsi="Foundry Form Sans" w:cs="Arial"/>
        </w:rPr>
      </w:pPr>
    </w:p>
    <w:p w14:paraId="00B7F155" w14:textId="43A75C0C" w:rsidR="00AA1FAE" w:rsidRPr="00BC7A4B" w:rsidRDefault="00110FFF" w:rsidP="00BC7A4B">
      <w:pPr>
        <w:numPr>
          <w:ilvl w:val="0"/>
          <w:numId w:val="10"/>
        </w:numPr>
        <w:rPr>
          <w:rFonts w:ascii="Foundry Form Sans" w:hAnsi="Foundry Form Sans" w:cs="Arial"/>
        </w:rPr>
      </w:pPr>
      <w:r w:rsidRPr="00BC7A4B">
        <w:rPr>
          <w:rFonts w:ascii="Foundry Form Sans" w:hAnsi="Foundry Form Sans" w:cs="Arial"/>
        </w:rPr>
        <w:t>T</w:t>
      </w:r>
      <w:r w:rsidR="00103AE7" w:rsidRPr="00BC7A4B">
        <w:rPr>
          <w:rFonts w:ascii="Foundry Form Sans" w:hAnsi="Foundry Form Sans" w:cs="Arial"/>
        </w:rPr>
        <w:t xml:space="preserve">he methodology that is adopted to be clearly set out and </w:t>
      </w:r>
      <w:r w:rsidR="00CB59FC" w:rsidRPr="00BC7A4B">
        <w:rPr>
          <w:rFonts w:ascii="Foundry Form Sans" w:hAnsi="Foundry Form Sans" w:cs="Arial"/>
        </w:rPr>
        <w:t>in line with published Office of National Statistics standards for</w:t>
      </w:r>
      <w:r w:rsidR="00103AE7" w:rsidRPr="00BC7A4B">
        <w:rPr>
          <w:rFonts w:ascii="Foundry Form Sans" w:hAnsi="Foundry Form Sans" w:cs="Arial"/>
        </w:rPr>
        <w:t xml:space="preserve"> </w:t>
      </w:r>
      <w:hyperlink r:id="rId11" w:history="1">
        <w:r w:rsidR="00103AE7" w:rsidRPr="00BC7A4B">
          <w:rPr>
            <w:rStyle w:val="Hyperlink"/>
            <w:rFonts w:ascii="Foundry Form Sans" w:hAnsi="Foundry Form Sans" w:cs="Arial"/>
          </w:rPr>
          <w:t>Quality and Methodology Information</w:t>
        </w:r>
      </w:hyperlink>
      <w:r w:rsidR="00024CD2">
        <w:rPr>
          <w:rFonts w:ascii="Foundry Form Sans" w:hAnsi="Foundry Form Sans" w:cs="Arial"/>
        </w:rPr>
        <w:t>.</w:t>
      </w:r>
    </w:p>
    <w:p w14:paraId="00B7F156" w14:textId="77777777" w:rsidR="003C3156" w:rsidRDefault="003C3156" w:rsidP="00115C81">
      <w:pPr>
        <w:ind w:left="375"/>
        <w:rPr>
          <w:rFonts w:ascii="Foundry Form Sans" w:hAnsi="Foundry Form Sans" w:cs="Arial"/>
          <w:b/>
          <w:szCs w:val="22"/>
        </w:rPr>
      </w:pPr>
    </w:p>
    <w:p w14:paraId="00B7F157" w14:textId="77777777" w:rsidR="00942F10" w:rsidRDefault="00942F10" w:rsidP="00C71881">
      <w:pPr>
        <w:rPr>
          <w:rFonts w:ascii="Foundry Form Sans" w:hAnsi="Foundry Form Sans" w:cs="Arial"/>
          <w:b/>
          <w:szCs w:val="22"/>
        </w:rPr>
      </w:pPr>
    </w:p>
    <w:p w14:paraId="00B7F158" w14:textId="77777777" w:rsidR="00942F10" w:rsidRDefault="00E77516" w:rsidP="00926FCC">
      <w:pPr>
        <w:numPr>
          <w:ilvl w:val="0"/>
          <w:numId w:val="32"/>
        </w:numPr>
        <w:rPr>
          <w:rFonts w:ascii="Foundry Form Sans" w:hAnsi="Foundry Form Sans" w:cs="Arial"/>
          <w:b/>
          <w:szCs w:val="22"/>
        </w:rPr>
      </w:pPr>
      <w:r w:rsidRPr="00E77516">
        <w:rPr>
          <w:rFonts w:ascii="Foundry Form Sans" w:hAnsi="Foundry Form Sans" w:cs="Arial"/>
          <w:b/>
          <w:szCs w:val="22"/>
        </w:rPr>
        <w:t>Scope of Works</w:t>
      </w:r>
    </w:p>
    <w:p w14:paraId="00B7F159" w14:textId="77777777" w:rsidR="00E77516" w:rsidRDefault="00E77516" w:rsidP="00E77516">
      <w:pPr>
        <w:rPr>
          <w:rFonts w:ascii="Foundry Form Sans" w:hAnsi="Foundry Form Sans" w:cs="Arial"/>
          <w:b/>
          <w:szCs w:val="22"/>
        </w:rPr>
      </w:pPr>
    </w:p>
    <w:p w14:paraId="00B7F15A" w14:textId="75EFEF29" w:rsidR="00E77516" w:rsidRDefault="22270346" w:rsidP="19601E74">
      <w:pPr>
        <w:rPr>
          <w:rFonts w:ascii="Foundry Form Sans" w:hAnsi="Foundry Form Sans" w:cs="Arial"/>
          <w:b/>
          <w:bCs/>
        </w:rPr>
      </w:pPr>
      <w:r w:rsidRPr="19601E74">
        <w:rPr>
          <w:rFonts w:ascii="Foundry Form Sans" w:hAnsi="Foundry Form Sans" w:cs="Arial"/>
          <w:b/>
          <w:bCs/>
        </w:rPr>
        <w:lastRenderedPageBreak/>
        <w:t>4.1 Study Area and Methodology</w:t>
      </w:r>
    </w:p>
    <w:p w14:paraId="00B7F161" w14:textId="77777777" w:rsidR="00E77516" w:rsidRDefault="00E77516" w:rsidP="00E77516">
      <w:pPr>
        <w:rPr>
          <w:rFonts w:ascii="Foundry Form Sans" w:hAnsi="Foundry Form Sans" w:cs="Arial"/>
          <w:szCs w:val="22"/>
        </w:rPr>
      </w:pPr>
      <w:r>
        <w:rPr>
          <w:rFonts w:ascii="Foundry Form Sans" w:hAnsi="Foundry Form Sans" w:cs="Arial"/>
          <w:szCs w:val="22"/>
        </w:rPr>
        <w:t>The geographical area will be the London region as defined by the GLA, which is the 32 London boroughs plus the City of London.</w:t>
      </w:r>
      <w:r w:rsidR="008A0D03">
        <w:rPr>
          <w:rFonts w:ascii="Foundry Form Sans" w:hAnsi="Foundry Form Sans" w:cs="Arial"/>
          <w:szCs w:val="22"/>
        </w:rPr>
        <w:t xml:space="preserve"> </w:t>
      </w:r>
    </w:p>
    <w:p w14:paraId="00B7F162" w14:textId="77777777" w:rsidR="00E77516" w:rsidRDefault="00E77516" w:rsidP="19601E74">
      <w:pPr>
        <w:rPr>
          <w:rFonts w:ascii="Foundry Form Sans" w:hAnsi="Foundry Form Sans" w:cs="Arial"/>
        </w:rPr>
      </w:pPr>
    </w:p>
    <w:p w14:paraId="01829637" w14:textId="43140B20" w:rsidR="004A7131" w:rsidRDefault="4F2DD20C" w:rsidP="004A7131">
      <w:pPr>
        <w:rPr>
          <w:rFonts w:ascii="Foundry Form Sans" w:hAnsi="Foundry Form Sans" w:cs="Arial"/>
          <w:szCs w:val="22"/>
        </w:rPr>
      </w:pPr>
      <w:r w:rsidRPr="00147EE4">
        <w:rPr>
          <w:rFonts w:ascii="Foundry Form Sans" w:hAnsi="Foundry Form Sans" w:cs="Arial"/>
          <w:szCs w:val="22"/>
        </w:rPr>
        <w:t xml:space="preserve">Data </w:t>
      </w:r>
      <w:r w:rsidR="004A7131">
        <w:rPr>
          <w:rFonts w:ascii="Foundry Form Sans" w:hAnsi="Foundry Form Sans" w:cs="Arial"/>
          <w:szCs w:val="22"/>
        </w:rPr>
        <w:t xml:space="preserve">will be presented in three </w:t>
      </w:r>
      <w:r w:rsidR="00C24F99">
        <w:rPr>
          <w:rFonts w:ascii="Foundry Form Sans" w:hAnsi="Foundry Form Sans" w:cs="Arial"/>
          <w:szCs w:val="22"/>
        </w:rPr>
        <w:t>geographical</w:t>
      </w:r>
      <w:r w:rsidR="004A7131">
        <w:rPr>
          <w:rFonts w:ascii="Foundry Form Sans" w:hAnsi="Foundry Form Sans" w:cs="Arial"/>
          <w:szCs w:val="22"/>
        </w:rPr>
        <w:t xml:space="preserve"> </w:t>
      </w:r>
      <w:r w:rsidR="00D86BC8">
        <w:rPr>
          <w:rFonts w:ascii="Foundry Form Sans" w:hAnsi="Foundry Form Sans" w:cs="Arial"/>
          <w:szCs w:val="22"/>
        </w:rPr>
        <w:t>hierarchies.</w:t>
      </w:r>
      <w:r w:rsidR="004A7131">
        <w:rPr>
          <w:rFonts w:ascii="Foundry Form Sans" w:hAnsi="Foundry Form Sans" w:cs="Arial"/>
          <w:szCs w:val="22"/>
        </w:rPr>
        <w:t xml:space="preserve"> </w:t>
      </w:r>
    </w:p>
    <w:p w14:paraId="27E72BAA" w14:textId="77777777" w:rsidR="00077988" w:rsidRDefault="00077988" w:rsidP="004A7131">
      <w:pPr>
        <w:pStyle w:val="ListParagraph"/>
        <w:numPr>
          <w:ilvl w:val="0"/>
          <w:numId w:val="35"/>
        </w:numPr>
        <w:rPr>
          <w:rFonts w:ascii="Foundry Form Sans" w:hAnsi="Foundry Form Sans" w:cs="Arial"/>
          <w:szCs w:val="22"/>
        </w:rPr>
      </w:pPr>
      <w:r>
        <w:rPr>
          <w:rFonts w:ascii="Foundry Form Sans" w:hAnsi="Foundry Form Sans" w:cs="Arial"/>
          <w:szCs w:val="22"/>
        </w:rPr>
        <w:t>Pan London using the GLA defined London region of 32 boroughs plus the City of London</w:t>
      </w:r>
    </w:p>
    <w:p w14:paraId="2581DD33" w14:textId="3582A1EC" w:rsidR="4F2DD20C" w:rsidRDefault="00500CAB" w:rsidP="004A7131">
      <w:pPr>
        <w:pStyle w:val="ListParagraph"/>
        <w:numPr>
          <w:ilvl w:val="0"/>
          <w:numId w:val="35"/>
        </w:numPr>
        <w:rPr>
          <w:rFonts w:ascii="Foundry Form Sans" w:hAnsi="Foundry Form Sans" w:cs="Arial"/>
          <w:szCs w:val="22"/>
        </w:rPr>
      </w:pPr>
      <w:r>
        <w:rPr>
          <w:rFonts w:ascii="Foundry Form Sans" w:hAnsi="Foundry Form Sans" w:cs="Arial"/>
          <w:szCs w:val="22"/>
        </w:rPr>
        <w:t>S</w:t>
      </w:r>
      <w:r w:rsidR="4F2DD20C" w:rsidRPr="00147EE4">
        <w:rPr>
          <w:rFonts w:ascii="Foundry Form Sans" w:hAnsi="Foundry Form Sans" w:cs="Arial"/>
          <w:szCs w:val="22"/>
        </w:rPr>
        <w:t>ub-regional partnership – Central London Forward, West London Alliance, Local London and South London Partnership</w:t>
      </w:r>
    </w:p>
    <w:p w14:paraId="50259D0E" w14:textId="60C20410" w:rsidR="00077988" w:rsidRPr="00147EE4" w:rsidRDefault="00C24F99" w:rsidP="004A7131">
      <w:pPr>
        <w:pStyle w:val="ListParagraph"/>
        <w:numPr>
          <w:ilvl w:val="0"/>
          <w:numId w:val="35"/>
        </w:numPr>
        <w:rPr>
          <w:rFonts w:ascii="Foundry Form Sans" w:hAnsi="Foundry Form Sans" w:cs="Arial"/>
          <w:szCs w:val="22"/>
        </w:rPr>
      </w:pPr>
      <w:r>
        <w:rPr>
          <w:rFonts w:ascii="Foundry Form Sans" w:hAnsi="Foundry Form Sans" w:cs="Arial"/>
          <w:szCs w:val="22"/>
        </w:rPr>
        <w:t xml:space="preserve">Single borough level breakdown. </w:t>
      </w:r>
    </w:p>
    <w:p w14:paraId="2223F4F4" w14:textId="43F7ECD7" w:rsidR="19601E74" w:rsidRDefault="19601E74" w:rsidP="00147EE4">
      <w:pPr>
        <w:ind w:left="-20" w:right="-20"/>
      </w:pPr>
    </w:p>
    <w:p w14:paraId="00B7F163" w14:textId="28B12418" w:rsidR="00E77516" w:rsidRDefault="00E77516" w:rsidP="00E77516">
      <w:pPr>
        <w:rPr>
          <w:rFonts w:ascii="Foundry Form Sans" w:hAnsi="Foundry Form Sans" w:cs="Arial"/>
        </w:rPr>
      </w:pPr>
      <w:r w:rsidRPr="594A6DEA">
        <w:rPr>
          <w:rFonts w:ascii="Foundry Form Sans" w:hAnsi="Foundry Form Sans" w:cs="Arial"/>
        </w:rPr>
        <w:t xml:space="preserve">The methodology will </w:t>
      </w:r>
      <w:r w:rsidR="00B01EF2">
        <w:rPr>
          <w:rFonts w:ascii="Foundry Form Sans" w:hAnsi="Foundry Form Sans" w:cs="Arial"/>
        </w:rPr>
        <w:t xml:space="preserve">use </w:t>
      </w:r>
      <w:r w:rsidRPr="594A6DEA">
        <w:rPr>
          <w:rFonts w:ascii="Foundry Form Sans" w:hAnsi="Foundry Form Sans" w:cs="Arial"/>
        </w:rPr>
        <w:t>the same multi-variate approach taken for previous studies but informed by improvements to your methodology.</w:t>
      </w:r>
      <w:r w:rsidR="008A0D03" w:rsidRPr="594A6DEA">
        <w:rPr>
          <w:rFonts w:ascii="Foundry Form Sans" w:hAnsi="Foundry Form Sans" w:cs="Arial"/>
        </w:rPr>
        <w:t xml:space="preserve"> It will also have to incorporate the </w:t>
      </w:r>
      <w:hyperlink r:id="rId12" w:history="1">
        <w:r w:rsidR="008A0D03" w:rsidRPr="009977B3">
          <w:rPr>
            <w:rStyle w:val="Hyperlink"/>
            <w:rFonts w:ascii="Foundry Form Sans" w:hAnsi="Foundry Form Sans" w:cs="Arial"/>
          </w:rPr>
          <w:t>WPI methodology</w:t>
        </w:r>
      </w:hyperlink>
      <w:r w:rsidR="0086070A" w:rsidRPr="009977B3">
        <w:rPr>
          <w:rFonts w:ascii="Foundry Form Sans" w:hAnsi="Foundry Form Sans" w:cs="Arial"/>
        </w:rPr>
        <w:t>,</w:t>
      </w:r>
      <w:r w:rsidR="0086070A" w:rsidRPr="594A6DEA">
        <w:rPr>
          <w:rFonts w:ascii="Foundry Form Sans" w:hAnsi="Foundry Form Sans" w:cs="Arial"/>
        </w:rPr>
        <w:t xml:space="preserve"> </w:t>
      </w:r>
      <w:r w:rsidR="00080DE6" w:rsidRPr="594A6DEA">
        <w:rPr>
          <w:rFonts w:ascii="Foundry Form Sans" w:hAnsi="Foundry Form Sans" w:cs="Arial"/>
        </w:rPr>
        <w:t xml:space="preserve">including aspects such as long-term forecasts that are better tailored to London’s priorities, and </w:t>
      </w:r>
      <w:r w:rsidR="00B85684">
        <w:rPr>
          <w:rFonts w:ascii="Foundry Form Sans" w:hAnsi="Foundry Form Sans" w:cs="Arial"/>
        </w:rPr>
        <w:t xml:space="preserve">any relevant </w:t>
      </w:r>
      <w:r w:rsidR="00080DE6" w:rsidRPr="594A6DEA">
        <w:rPr>
          <w:rFonts w:ascii="Foundry Form Sans" w:hAnsi="Foundry Form Sans" w:cs="Arial"/>
        </w:rPr>
        <w:t xml:space="preserve">additional sectors </w:t>
      </w:r>
      <w:r w:rsidR="00FA4988" w:rsidRPr="594A6DEA">
        <w:rPr>
          <w:rFonts w:ascii="Foundry Form Sans" w:hAnsi="Foundry Form Sans" w:cs="Arial"/>
        </w:rPr>
        <w:t>not originally included in LCEGS</w:t>
      </w:r>
      <w:r w:rsidR="000215BF">
        <w:rPr>
          <w:rFonts w:ascii="Foundry Form Sans" w:hAnsi="Foundry Form Sans" w:cs="Arial"/>
        </w:rPr>
        <w:t>.</w:t>
      </w:r>
    </w:p>
    <w:p w14:paraId="00B7F166" w14:textId="5F98289A" w:rsidR="008E790F" w:rsidRDefault="008E790F" w:rsidP="00E77516">
      <w:pPr>
        <w:rPr>
          <w:rFonts w:ascii="Foundry Form Sans" w:hAnsi="Foundry Form Sans" w:cs="Arial"/>
          <w:szCs w:val="22"/>
        </w:rPr>
      </w:pPr>
    </w:p>
    <w:p w14:paraId="00B7F167" w14:textId="77777777" w:rsidR="008E790F" w:rsidRDefault="008E790F" w:rsidP="00E77516">
      <w:pPr>
        <w:rPr>
          <w:rFonts w:ascii="Foundry Form Sans" w:hAnsi="Foundry Form Sans" w:cs="Arial"/>
          <w:szCs w:val="22"/>
        </w:rPr>
      </w:pPr>
      <w:r>
        <w:rPr>
          <w:rFonts w:ascii="Foundry Form Sans" w:hAnsi="Foundry Form Sans" w:cs="Arial"/>
          <w:szCs w:val="22"/>
        </w:rPr>
        <w:t xml:space="preserve">WPI methodology indicates </w:t>
      </w:r>
      <w:r w:rsidR="00AD294B">
        <w:rPr>
          <w:rFonts w:ascii="Foundry Form Sans" w:hAnsi="Foundry Form Sans" w:cs="Arial"/>
          <w:szCs w:val="22"/>
        </w:rPr>
        <w:t xml:space="preserve">priority sectors: </w:t>
      </w:r>
    </w:p>
    <w:p w14:paraId="00B7F168" w14:textId="77777777" w:rsidR="00AD294B" w:rsidRDefault="00AD294B" w:rsidP="00E77516">
      <w:pPr>
        <w:rPr>
          <w:rFonts w:ascii="Foundry Form Sans" w:hAnsi="Foundry Form Sans" w:cs="Arial"/>
          <w:szCs w:val="22"/>
        </w:rPr>
      </w:pPr>
    </w:p>
    <w:p w14:paraId="00B7F169" w14:textId="77777777" w:rsidR="00AD294B" w:rsidRPr="00AD294B" w:rsidRDefault="00AD294B" w:rsidP="00AD294B">
      <w:pPr>
        <w:numPr>
          <w:ilvl w:val="0"/>
          <w:numId w:val="34"/>
        </w:numPr>
        <w:rPr>
          <w:rFonts w:ascii="Foundry Form Sans" w:hAnsi="Foundry Form Sans" w:cs="Arial"/>
          <w:szCs w:val="22"/>
        </w:rPr>
      </w:pPr>
      <w:r w:rsidRPr="00AD294B">
        <w:rPr>
          <w:rFonts w:ascii="Foundry Form Sans" w:hAnsi="Foundry Form Sans" w:cs="Arial"/>
          <w:szCs w:val="22"/>
        </w:rPr>
        <w:t>Homes and buildings: Including retrofit, building new energy-efficient homes, heat pumps, smart devices and controls, heat networks and hydrogen boilers.</w:t>
      </w:r>
    </w:p>
    <w:p w14:paraId="00B7F16A" w14:textId="77777777" w:rsidR="00AD294B" w:rsidRPr="00AD294B" w:rsidRDefault="00AD294B" w:rsidP="00AD294B">
      <w:pPr>
        <w:numPr>
          <w:ilvl w:val="0"/>
          <w:numId w:val="34"/>
        </w:numPr>
        <w:rPr>
          <w:rFonts w:ascii="Foundry Form Sans" w:hAnsi="Foundry Form Sans" w:cs="Arial"/>
          <w:szCs w:val="22"/>
        </w:rPr>
      </w:pPr>
      <w:r w:rsidRPr="00AD294B">
        <w:rPr>
          <w:rFonts w:ascii="Foundry Form Sans" w:hAnsi="Foundry Form Sans" w:cs="Arial"/>
          <w:szCs w:val="22"/>
        </w:rPr>
        <w:t>Low carbon transport: Including low or zero emission vehicles, aviation and maritime, rail, public transport and walking or cycling.</w:t>
      </w:r>
    </w:p>
    <w:p w14:paraId="00B7F16B" w14:textId="77777777" w:rsidR="00AD294B" w:rsidRPr="00AD294B" w:rsidRDefault="00AD294B" w:rsidP="00AD294B">
      <w:pPr>
        <w:numPr>
          <w:ilvl w:val="0"/>
          <w:numId w:val="34"/>
        </w:numPr>
        <w:rPr>
          <w:rFonts w:ascii="Foundry Form Sans" w:hAnsi="Foundry Form Sans" w:cs="Arial"/>
          <w:szCs w:val="22"/>
        </w:rPr>
      </w:pPr>
      <w:r w:rsidRPr="00AD294B">
        <w:rPr>
          <w:rFonts w:ascii="Foundry Form Sans" w:hAnsi="Foundry Form Sans" w:cs="Arial"/>
          <w:szCs w:val="22"/>
        </w:rPr>
        <w:t>Power: Including renewables (such as wind, solar and hydropower), nuclear power, grid infrastructure, energy storage and smart systems technology.</w:t>
      </w:r>
    </w:p>
    <w:p w14:paraId="00B7F16C" w14:textId="77777777" w:rsidR="00AD294B" w:rsidRPr="00AD294B" w:rsidRDefault="00AD294B" w:rsidP="00AD294B">
      <w:pPr>
        <w:numPr>
          <w:ilvl w:val="0"/>
          <w:numId w:val="34"/>
        </w:numPr>
        <w:rPr>
          <w:rFonts w:ascii="Foundry Form Sans" w:hAnsi="Foundry Form Sans" w:cs="Arial"/>
          <w:szCs w:val="22"/>
        </w:rPr>
      </w:pPr>
      <w:r w:rsidRPr="00AD294B">
        <w:rPr>
          <w:rFonts w:ascii="Foundry Form Sans" w:hAnsi="Foundry Form Sans" w:cs="Arial"/>
          <w:szCs w:val="22"/>
        </w:rPr>
        <w:t>Industrial decarbonisation, hydrogen and carbon capture and storage: Including hydrogen production and industrial use, carbon capture, utilisation &amp; storage (CCUS) and industrial decarbonisation.</w:t>
      </w:r>
    </w:p>
    <w:p w14:paraId="00B7F16D" w14:textId="77777777" w:rsidR="00AD294B" w:rsidRPr="00AD294B" w:rsidRDefault="00AD294B" w:rsidP="00AD294B">
      <w:pPr>
        <w:numPr>
          <w:ilvl w:val="0"/>
          <w:numId w:val="34"/>
        </w:numPr>
        <w:rPr>
          <w:rFonts w:ascii="Foundry Form Sans" w:hAnsi="Foundry Form Sans" w:cs="Arial"/>
          <w:szCs w:val="22"/>
        </w:rPr>
      </w:pPr>
      <w:r w:rsidRPr="00AD294B">
        <w:rPr>
          <w:rFonts w:ascii="Foundry Form Sans" w:hAnsi="Foundry Form Sans" w:cs="Arial"/>
          <w:szCs w:val="22"/>
        </w:rPr>
        <w:t>Green Finance: The concentration of financial activity in Central London means that in our context Green Finance could be a key area to identify separately.</w:t>
      </w:r>
    </w:p>
    <w:p w14:paraId="00B7F16E" w14:textId="77777777" w:rsidR="00AD294B" w:rsidRPr="00AD294B" w:rsidRDefault="00AD294B" w:rsidP="00AD294B">
      <w:pPr>
        <w:numPr>
          <w:ilvl w:val="0"/>
          <w:numId w:val="34"/>
        </w:numPr>
        <w:rPr>
          <w:rFonts w:ascii="Foundry Form Sans" w:hAnsi="Foundry Form Sans" w:cs="Arial"/>
          <w:szCs w:val="22"/>
        </w:rPr>
      </w:pPr>
      <w:r w:rsidRPr="00AD294B">
        <w:rPr>
          <w:rFonts w:ascii="Foundry Form Sans" w:hAnsi="Foundry Form Sans" w:cs="Arial"/>
          <w:szCs w:val="22"/>
        </w:rPr>
        <w:t>Climate change research &amp; development: Including private sector, academic and public research.</w:t>
      </w:r>
    </w:p>
    <w:p w14:paraId="00B7F16F" w14:textId="77777777" w:rsidR="00AD294B" w:rsidRPr="00AD294B" w:rsidRDefault="00AD294B" w:rsidP="00AD294B">
      <w:pPr>
        <w:numPr>
          <w:ilvl w:val="0"/>
          <w:numId w:val="34"/>
        </w:numPr>
        <w:rPr>
          <w:rFonts w:ascii="Foundry Form Sans" w:hAnsi="Foundry Form Sans" w:cs="Arial"/>
          <w:szCs w:val="22"/>
        </w:rPr>
      </w:pPr>
      <w:r w:rsidRPr="00AD294B">
        <w:rPr>
          <w:rFonts w:ascii="Foundry Form Sans" w:hAnsi="Foundry Form Sans" w:cs="Arial"/>
          <w:szCs w:val="22"/>
        </w:rPr>
        <w:t>Climate change strategy, policy, monitoring and planning: Including public, private and NGO sector strategy and policy, outreach to citizens, environmental monitoring and use of planning system to achieve net zero.</w:t>
      </w:r>
    </w:p>
    <w:p w14:paraId="00B7F170" w14:textId="77777777" w:rsidR="00AD294B" w:rsidRPr="00AD294B" w:rsidRDefault="00AD294B" w:rsidP="00AD294B">
      <w:pPr>
        <w:numPr>
          <w:ilvl w:val="0"/>
          <w:numId w:val="34"/>
        </w:numPr>
        <w:rPr>
          <w:rFonts w:ascii="Foundry Form Sans" w:hAnsi="Foundry Form Sans" w:cs="Arial"/>
          <w:szCs w:val="22"/>
        </w:rPr>
      </w:pPr>
      <w:r w:rsidRPr="00AD294B">
        <w:rPr>
          <w:rFonts w:ascii="Foundry Form Sans" w:hAnsi="Foundry Form Sans" w:cs="Arial"/>
          <w:szCs w:val="22"/>
        </w:rPr>
        <w:t>Climate adaption: Including flood defences, retrofitting of buildings to be resilient to extreme weather/climate events, nature-based solutions to reduce climate impacts and civil and mechanical engineering for infrastructure adaptation.</w:t>
      </w:r>
    </w:p>
    <w:p w14:paraId="00B7F171" w14:textId="77777777" w:rsidR="00AD294B" w:rsidRPr="00AD294B" w:rsidRDefault="00AD294B" w:rsidP="00AD294B">
      <w:pPr>
        <w:numPr>
          <w:ilvl w:val="0"/>
          <w:numId w:val="34"/>
        </w:numPr>
        <w:rPr>
          <w:rFonts w:ascii="Foundry Form Sans" w:hAnsi="Foundry Form Sans" w:cs="Arial"/>
          <w:szCs w:val="22"/>
        </w:rPr>
      </w:pPr>
      <w:r w:rsidRPr="00AD294B">
        <w:rPr>
          <w:rFonts w:ascii="Foundry Form Sans" w:hAnsi="Foundry Form Sans" w:cs="Arial"/>
          <w:szCs w:val="22"/>
        </w:rPr>
        <w:t>Reducing localised pollution: Including air pollution, water pollution and noise; London has ambitious goals across all three of these areas.</w:t>
      </w:r>
    </w:p>
    <w:p w14:paraId="00B7F172" w14:textId="77777777" w:rsidR="00AD294B" w:rsidRPr="00AD294B" w:rsidRDefault="00AD294B" w:rsidP="00AD294B">
      <w:pPr>
        <w:numPr>
          <w:ilvl w:val="0"/>
          <w:numId w:val="34"/>
        </w:numPr>
        <w:rPr>
          <w:rFonts w:ascii="Foundry Form Sans" w:hAnsi="Foundry Form Sans" w:cs="Arial"/>
          <w:szCs w:val="22"/>
        </w:rPr>
      </w:pPr>
      <w:r w:rsidRPr="00AD294B">
        <w:rPr>
          <w:rFonts w:ascii="Foundry Form Sans" w:hAnsi="Foundry Form Sans" w:cs="Arial"/>
          <w:szCs w:val="22"/>
        </w:rPr>
        <w:t>Reduce, reuse, recycle: Including waste management and circular economy.</w:t>
      </w:r>
    </w:p>
    <w:p w14:paraId="00B7F174" w14:textId="3E48C59C" w:rsidR="00AD294B" w:rsidRPr="007061D0" w:rsidRDefault="00AD294B" w:rsidP="008C5430">
      <w:pPr>
        <w:numPr>
          <w:ilvl w:val="0"/>
          <w:numId w:val="34"/>
        </w:numPr>
        <w:rPr>
          <w:rFonts w:ascii="Foundry Form Sans" w:hAnsi="Foundry Form Sans" w:cs="Arial"/>
          <w:szCs w:val="22"/>
        </w:rPr>
      </w:pPr>
      <w:r w:rsidRPr="007061D0">
        <w:rPr>
          <w:rFonts w:ascii="Foundry Form Sans" w:hAnsi="Foundry Form Sans" w:cs="Arial"/>
          <w:szCs w:val="22"/>
        </w:rPr>
        <w:t xml:space="preserve">Green infrastructure: Within a London context this will focus on urban green infrastructure, and include activity aimed at increasing biodiversity directly or through offsetting. </w:t>
      </w:r>
    </w:p>
    <w:p w14:paraId="00B7F17B" w14:textId="618BCAA8" w:rsidR="00AD294B" w:rsidRDefault="00AD294B" w:rsidP="00AD294B">
      <w:pPr>
        <w:rPr>
          <w:rFonts w:ascii="Foundry Form Sans" w:hAnsi="Foundry Form Sans" w:cs="Arial"/>
          <w:szCs w:val="22"/>
        </w:rPr>
      </w:pPr>
    </w:p>
    <w:p w14:paraId="00B7F17E" w14:textId="77777777" w:rsidR="00E77516" w:rsidRDefault="00E77516" w:rsidP="00E77516">
      <w:pPr>
        <w:rPr>
          <w:rFonts w:ascii="Foundry Form Sans" w:hAnsi="Foundry Form Sans" w:cs="Arial"/>
          <w:b/>
          <w:szCs w:val="22"/>
        </w:rPr>
      </w:pPr>
      <w:r>
        <w:rPr>
          <w:rFonts w:ascii="Foundry Form Sans" w:hAnsi="Foundry Form Sans" w:cs="Arial"/>
          <w:b/>
          <w:szCs w:val="22"/>
        </w:rPr>
        <w:t>4.2 Study Work Packages</w:t>
      </w:r>
    </w:p>
    <w:p w14:paraId="00B7F17F" w14:textId="77777777" w:rsidR="00E77516" w:rsidRDefault="00E77516" w:rsidP="00E77516">
      <w:pPr>
        <w:rPr>
          <w:rFonts w:ascii="Foundry Form Sans" w:hAnsi="Foundry Form Sans" w:cs="Arial"/>
          <w:b/>
          <w:szCs w:val="22"/>
        </w:rPr>
      </w:pPr>
    </w:p>
    <w:p w14:paraId="00B7F180" w14:textId="1405D68F" w:rsidR="00E77516" w:rsidRDefault="00E77516" w:rsidP="00E77516">
      <w:pPr>
        <w:rPr>
          <w:rFonts w:ascii="Foundry Form Sans" w:hAnsi="Foundry Form Sans" w:cs="Arial"/>
          <w:szCs w:val="22"/>
        </w:rPr>
      </w:pPr>
      <w:r>
        <w:rPr>
          <w:rFonts w:ascii="Foundry Form Sans" w:hAnsi="Foundry Form Sans" w:cs="Arial"/>
          <w:szCs w:val="22"/>
        </w:rPr>
        <w:t>The bidder will be required, but not be limited, to undertake the following</w:t>
      </w:r>
      <w:r w:rsidR="00125A1F">
        <w:rPr>
          <w:rFonts w:ascii="Foundry Form Sans" w:hAnsi="Foundry Form Sans" w:cs="Arial"/>
          <w:szCs w:val="22"/>
        </w:rPr>
        <w:t xml:space="preserve"> and provide a final report for each of the Work Packages that can stand alone or be combined into one overall report if required</w:t>
      </w:r>
      <w:r>
        <w:rPr>
          <w:rFonts w:ascii="Foundry Form Sans" w:hAnsi="Foundry Form Sans" w:cs="Arial"/>
          <w:szCs w:val="22"/>
        </w:rPr>
        <w:t>:</w:t>
      </w:r>
    </w:p>
    <w:p w14:paraId="4827BFAA" w14:textId="77777777" w:rsidR="001374F9" w:rsidRDefault="001374F9" w:rsidP="00E77516">
      <w:pPr>
        <w:rPr>
          <w:rFonts w:ascii="Foundry Form Sans" w:hAnsi="Foundry Form Sans" w:cs="Arial"/>
          <w:szCs w:val="22"/>
        </w:rPr>
      </w:pPr>
    </w:p>
    <w:p w14:paraId="14DD9149" w14:textId="3FA0CFCD" w:rsidR="001374F9" w:rsidRPr="00147EE4" w:rsidRDefault="001374F9" w:rsidP="00E77516">
      <w:pPr>
        <w:rPr>
          <w:rFonts w:ascii="Foundry Form Sans" w:hAnsi="Foundry Form Sans" w:cs="Arial"/>
          <w:b/>
          <w:color w:val="000000"/>
        </w:rPr>
      </w:pPr>
      <w:r w:rsidRPr="00147EE4">
        <w:rPr>
          <w:rFonts w:ascii="Foundry Form Sans" w:hAnsi="Foundry Form Sans" w:cs="Arial"/>
          <w:b/>
          <w:color w:val="000000"/>
        </w:rPr>
        <w:lastRenderedPageBreak/>
        <w:t xml:space="preserve">Work Package 1- Develop a methodology for </w:t>
      </w:r>
      <w:r w:rsidR="009411A8">
        <w:rPr>
          <w:rFonts w:ascii="Foundry Form Sans" w:hAnsi="Foundry Form Sans" w:cs="Arial"/>
          <w:b/>
          <w:color w:val="000000"/>
        </w:rPr>
        <w:t xml:space="preserve">baselining and projecting growth of the green </w:t>
      </w:r>
      <w:r w:rsidR="00DA5EC5">
        <w:rPr>
          <w:rFonts w:ascii="Foundry Form Sans" w:hAnsi="Foundry Form Sans" w:cs="Arial"/>
          <w:b/>
          <w:color w:val="000000"/>
        </w:rPr>
        <w:t>economy.</w:t>
      </w:r>
    </w:p>
    <w:p w14:paraId="6580611B" w14:textId="7F81E22D" w:rsidR="000037EA" w:rsidRPr="006D34B7" w:rsidRDefault="00903765" w:rsidP="00E77516">
      <w:pPr>
        <w:rPr>
          <w:rFonts w:ascii="Foundry Form Sans" w:hAnsi="Foundry Form Sans" w:cs="Arial"/>
          <w:bCs/>
          <w:color w:val="000000"/>
        </w:rPr>
      </w:pPr>
      <w:r w:rsidRPr="00147EE4">
        <w:rPr>
          <w:rFonts w:ascii="Foundry Form Sans" w:hAnsi="Foundry Form Sans" w:cs="Arial"/>
          <w:b/>
          <w:color w:val="000000"/>
        </w:rPr>
        <w:t>Deliverable 1a:</w:t>
      </w:r>
      <w:r w:rsidRPr="00147EE4">
        <w:rPr>
          <w:rFonts w:ascii="Foundry Form Sans" w:hAnsi="Foundry Form Sans" w:cs="Arial"/>
          <w:bCs/>
          <w:color w:val="000000"/>
        </w:rPr>
        <w:t xml:space="preserve"> </w:t>
      </w:r>
      <w:r w:rsidR="003164D6" w:rsidRPr="00147EE4">
        <w:rPr>
          <w:rFonts w:ascii="Foundry Form Sans" w:hAnsi="Foundry Form Sans" w:cs="Arial"/>
          <w:bCs/>
          <w:color w:val="000000"/>
        </w:rPr>
        <w:t xml:space="preserve">The technical </w:t>
      </w:r>
      <w:r w:rsidR="00DF0C5B" w:rsidRPr="00147EE4">
        <w:rPr>
          <w:rFonts w:ascii="Foundry Form Sans" w:hAnsi="Foundry Form Sans" w:cs="Arial"/>
          <w:bCs/>
          <w:color w:val="000000"/>
        </w:rPr>
        <w:t xml:space="preserve">assessment supported by a technical note </w:t>
      </w:r>
      <w:r w:rsidR="003164D6" w:rsidRPr="00147EE4">
        <w:rPr>
          <w:rFonts w:ascii="Foundry Form Sans" w:hAnsi="Foundry Form Sans" w:cs="Arial"/>
          <w:bCs/>
          <w:color w:val="000000"/>
        </w:rPr>
        <w:t xml:space="preserve">should </w:t>
      </w:r>
      <w:r w:rsidR="002A2AC6" w:rsidRPr="00147EE4">
        <w:rPr>
          <w:rFonts w:ascii="Foundry Form Sans" w:hAnsi="Foundry Form Sans" w:cs="Arial"/>
          <w:bCs/>
          <w:color w:val="000000"/>
        </w:rPr>
        <w:t>clearly</w:t>
      </w:r>
      <w:r w:rsidR="003164D6" w:rsidRPr="00147EE4">
        <w:rPr>
          <w:rFonts w:ascii="Foundry Form Sans" w:hAnsi="Foundry Form Sans" w:cs="Arial"/>
          <w:bCs/>
          <w:color w:val="000000"/>
        </w:rPr>
        <w:t xml:space="preserve"> set out any </w:t>
      </w:r>
      <w:r w:rsidR="00E149EC" w:rsidRPr="00147EE4">
        <w:rPr>
          <w:rFonts w:ascii="Foundry Form Sans" w:hAnsi="Foundry Form Sans" w:cs="Arial"/>
          <w:bCs/>
          <w:color w:val="000000"/>
        </w:rPr>
        <w:t xml:space="preserve">issues and </w:t>
      </w:r>
      <w:r w:rsidR="002A2AC6" w:rsidRPr="00147EE4">
        <w:rPr>
          <w:rFonts w:ascii="Foundry Form Sans" w:hAnsi="Foundry Form Sans" w:cs="Arial"/>
          <w:bCs/>
          <w:color w:val="000000"/>
        </w:rPr>
        <w:t>constraints</w:t>
      </w:r>
      <w:r w:rsidR="003164D6" w:rsidRPr="00147EE4">
        <w:rPr>
          <w:rFonts w:ascii="Foundry Form Sans" w:hAnsi="Foundry Form Sans" w:cs="Arial"/>
          <w:bCs/>
          <w:color w:val="000000"/>
        </w:rPr>
        <w:t xml:space="preserve"> to</w:t>
      </w:r>
      <w:r w:rsidR="009411A8">
        <w:rPr>
          <w:rFonts w:ascii="Foundry Form Sans" w:hAnsi="Foundry Form Sans" w:cs="Arial"/>
          <w:bCs/>
          <w:color w:val="000000"/>
        </w:rPr>
        <w:t xml:space="preserve"> the new methodology or the</w:t>
      </w:r>
      <w:r w:rsidR="003164D6" w:rsidRPr="00147EE4">
        <w:rPr>
          <w:rFonts w:ascii="Foundry Form Sans" w:hAnsi="Foundry Form Sans" w:cs="Arial"/>
          <w:bCs/>
          <w:color w:val="000000"/>
        </w:rPr>
        <w:t xml:space="preserve"> </w:t>
      </w:r>
      <w:r w:rsidR="00BD4379" w:rsidRPr="00147EE4">
        <w:rPr>
          <w:rFonts w:ascii="Foundry Form Sans" w:hAnsi="Foundry Form Sans" w:cs="Arial"/>
          <w:bCs/>
          <w:color w:val="000000"/>
        </w:rPr>
        <w:t xml:space="preserve">integration </w:t>
      </w:r>
      <w:r w:rsidR="002A2AC6" w:rsidRPr="00147EE4">
        <w:rPr>
          <w:rFonts w:ascii="Foundry Form Sans" w:hAnsi="Foundry Form Sans" w:cs="Arial"/>
          <w:bCs/>
          <w:color w:val="000000"/>
        </w:rPr>
        <w:t>of</w:t>
      </w:r>
      <w:r w:rsidR="00BD4379" w:rsidRPr="00147EE4">
        <w:rPr>
          <w:rFonts w:ascii="Foundry Form Sans" w:hAnsi="Foundry Form Sans" w:cs="Arial"/>
          <w:bCs/>
          <w:color w:val="000000"/>
        </w:rPr>
        <w:t xml:space="preserve"> the</w:t>
      </w:r>
      <w:r w:rsidR="009411A8">
        <w:rPr>
          <w:rFonts w:ascii="Foundry Form Sans" w:hAnsi="Foundry Form Sans" w:cs="Arial"/>
          <w:bCs/>
          <w:color w:val="000000"/>
        </w:rPr>
        <w:t xml:space="preserve"> kMatrix and WPI Economics</w:t>
      </w:r>
      <w:r w:rsidR="00BD4379" w:rsidRPr="00147EE4">
        <w:rPr>
          <w:rFonts w:ascii="Foundry Form Sans" w:hAnsi="Foundry Form Sans" w:cs="Arial"/>
          <w:bCs/>
          <w:color w:val="000000"/>
        </w:rPr>
        <w:t xml:space="preserve"> datasets</w:t>
      </w:r>
      <w:r w:rsidR="00BA5874" w:rsidRPr="00147EE4">
        <w:rPr>
          <w:rFonts w:ascii="Foundry Form Sans" w:hAnsi="Foundry Form Sans" w:cs="Arial"/>
          <w:bCs/>
          <w:color w:val="000000"/>
        </w:rPr>
        <w:t xml:space="preserve">. The </w:t>
      </w:r>
      <w:r w:rsidR="009B42DE" w:rsidRPr="00147EE4">
        <w:rPr>
          <w:rFonts w:ascii="Foundry Form Sans" w:hAnsi="Foundry Form Sans" w:cs="Arial"/>
          <w:bCs/>
          <w:color w:val="000000"/>
        </w:rPr>
        <w:t xml:space="preserve">technical assessment should be in </w:t>
      </w:r>
      <w:r w:rsidR="00242A17" w:rsidRPr="00147EE4">
        <w:rPr>
          <w:rFonts w:ascii="Foundry Form Sans" w:hAnsi="Foundry Form Sans" w:cs="Arial"/>
          <w:bCs/>
          <w:color w:val="000000"/>
        </w:rPr>
        <w:t>sufficient</w:t>
      </w:r>
      <w:r w:rsidR="009B42DE" w:rsidRPr="00147EE4">
        <w:rPr>
          <w:rFonts w:ascii="Foundry Form Sans" w:hAnsi="Foundry Form Sans" w:cs="Arial"/>
          <w:bCs/>
          <w:color w:val="000000"/>
        </w:rPr>
        <w:t xml:space="preserve"> detail to support an</w:t>
      </w:r>
      <w:r w:rsidR="00CD6E51" w:rsidRPr="00147EE4">
        <w:rPr>
          <w:rFonts w:ascii="Foundry Form Sans" w:hAnsi="Foundry Form Sans" w:cs="Arial"/>
          <w:bCs/>
          <w:color w:val="000000"/>
        </w:rPr>
        <w:t xml:space="preserve"> informed decision on suitability</w:t>
      </w:r>
      <w:r w:rsidR="008E7581" w:rsidRPr="00147EE4">
        <w:rPr>
          <w:rFonts w:ascii="Foundry Form Sans" w:hAnsi="Foundry Form Sans" w:cs="Arial"/>
          <w:bCs/>
          <w:color w:val="000000"/>
        </w:rPr>
        <w:t xml:space="preserve"> </w:t>
      </w:r>
      <w:r w:rsidR="009B42DE" w:rsidRPr="00147EE4">
        <w:rPr>
          <w:rFonts w:ascii="Foundry Form Sans" w:hAnsi="Foundry Form Sans" w:cs="Arial"/>
          <w:bCs/>
          <w:color w:val="000000"/>
        </w:rPr>
        <w:t>of</w:t>
      </w:r>
      <w:r w:rsidR="008E7581" w:rsidRPr="00147EE4">
        <w:rPr>
          <w:rFonts w:ascii="Foundry Form Sans" w:hAnsi="Foundry Form Sans" w:cs="Arial"/>
          <w:bCs/>
          <w:color w:val="000000"/>
        </w:rPr>
        <w:t xml:space="preserve"> this </w:t>
      </w:r>
      <w:r w:rsidR="002A2AC6" w:rsidRPr="00147EE4">
        <w:rPr>
          <w:rFonts w:ascii="Foundry Form Sans" w:hAnsi="Foundry Form Sans" w:cs="Arial"/>
          <w:bCs/>
          <w:color w:val="000000"/>
        </w:rPr>
        <w:t>methodology</w:t>
      </w:r>
      <w:r w:rsidR="008E7581" w:rsidRPr="00147EE4">
        <w:rPr>
          <w:rFonts w:ascii="Foundry Form Sans" w:hAnsi="Foundry Form Sans" w:cs="Arial"/>
          <w:bCs/>
          <w:color w:val="000000"/>
        </w:rPr>
        <w:t xml:space="preserve"> </w:t>
      </w:r>
      <w:r w:rsidR="009B42DE" w:rsidRPr="00147EE4">
        <w:rPr>
          <w:rFonts w:ascii="Foundry Form Sans" w:hAnsi="Foundry Form Sans" w:cs="Arial"/>
          <w:bCs/>
          <w:color w:val="000000"/>
        </w:rPr>
        <w:t xml:space="preserve">which will </w:t>
      </w:r>
      <w:r w:rsidR="003E04C4" w:rsidRPr="00147EE4">
        <w:rPr>
          <w:rFonts w:ascii="Foundry Form Sans" w:hAnsi="Foundry Form Sans" w:cs="Arial"/>
          <w:bCs/>
          <w:color w:val="000000"/>
        </w:rPr>
        <w:t xml:space="preserve">form </w:t>
      </w:r>
      <w:r w:rsidR="0063461C" w:rsidRPr="00147EE4">
        <w:rPr>
          <w:rFonts w:ascii="Foundry Form Sans" w:hAnsi="Foundry Form Sans" w:cs="Arial"/>
          <w:bCs/>
          <w:color w:val="000000"/>
        </w:rPr>
        <w:t>the basis</w:t>
      </w:r>
      <w:r w:rsidR="008E7581" w:rsidRPr="00147EE4">
        <w:rPr>
          <w:rFonts w:ascii="Foundry Form Sans" w:hAnsi="Foundry Form Sans" w:cs="Arial"/>
          <w:bCs/>
          <w:color w:val="000000"/>
        </w:rPr>
        <w:t xml:space="preserve"> for delivery of Work Packages 2-4</w:t>
      </w:r>
      <w:r w:rsidR="00CD6E51" w:rsidRPr="00147EE4">
        <w:rPr>
          <w:rFonts w:ascii="Foundry Form Sans" w:hAnsi="Foundry Form Sans" w:cs="Arial"/>
          <w:bCs/>
          <w:color w:val="000000"/>
        </w:rPr>
        <w:t xml:space="preserve">. </w:t>
      </w:r>
      <w:r w:rsidR="00EA4F73" w:rsidRPr="00147EE4">
        <w:rPr>
          <w:rFonts w:ascii="Foundry Form Sans" w:hAnsi="Foundry Form Sans" w:cs="Arial"/>
          <w:bCs/>
          <w:color w:val="000000"/>
        </w:rPr>
        <w:t xml:space="preserve">The </w:t>
      </w:r>
      <w:r w:rsidR="0063461C" w:rsidRPr="00147EE4">
        <w:rPr>
          <w:rFonts w:ascii="Foundry Form Sans" w:hAnsi="Foundry Form Sans" w:cs="Arial"/>
          <w:bCs/>
          <w:color w:val="000000"/>
        </w:rPr>
        <w:t>methodology must</w:t>
      </w:r>
      <w:r w:rsidR="00EA4F73" w:rsidRPr="00147EE4">
        <w:rPr>
          <w:rFonts w:ascii="Foundry Form Sans" w:hAnsi="Foundry Form Sans" w:cs="Arial"/>
          <w:bCs/>
          <w:color w:val="000000"/>
        </w:rPr>
        <w:t xml:space="preserve"> at minimum</w:t>
      </w:r>
      <w:r w:rsidR="003817A5" w:rsidRPr="00147EE4">
        <w:rPr>
          <w:rFonts w:ascii="Foundry Form Sans" w:hAnsi="Foundry Form Sans" w:cs="Arial"/>
          <w:bCs/>
          <w:color w:val="000000"/>
        </w:rPr>
        <w:t xml:space="preserve"> allow for a dataset which</w:t>
      </w:r>
      <w:r w:rsidR="00EA4F73" w:rsidRPr="00147EE4">
        <w:rPr>
          <w:rFonts w:ascii="Foundry Form Sans" w:hAnsi="Foundry Form Sans" w:cs="Arial"/>
          <w:bCs/>
          <w:color w:val="000000"/>
        </w:rPr>
        <w:t xml:space="preserve"> </w:t>
      </w:r>
      <w:r w:rsidR="00242A17" w:rsidRPr="00147EE4">
        <w:rPr>
          <w:rFonts w:ascii="Foundry Form Sans" w:hAnsi="Foundry Form Sans" w:cs="Arial"/>
          <w:bCs/>
          <w:color w:val="000000"/>
        </w:rPr>
        <w:t>meet</w:t>
      </w:r>
      <w:r w:rsidR="003817A5" w:rsidRPr="00147EE4">
        <w:rPr>
          <w:rFonts w:ascii="Foundry Form Sans" w:hAnsi="Foundry Form Sans" w:cs="Arial"/>
          <w:bCs/>
          <w:color w:val="000000"/>
        </w:rPr>
        <w:t>s</w:t>
      </w:r>
      <w:r w:rsidR="00242A17" w:rsidRPr="00147EE4">
        <w:rPr>
          <w:rFonts w:ascii="Foundry Form Sans" w:hAnsi="Foundry Form Sans" w:cs="Arial"/>
          <w:bCs/>
          <w:color w:val="000000"/>
        </w:rPr>
        <w:t xml:space="preserve"> the requirements set out in Section 3. </w:t>
      </w:r>
      <w:r w:rsidR="00445AFC" w:rsidRPr="00147EE4">
        <w:rPr>
          <w:rFonts w:ascii="Foundry Form Sans" w:hAnsi="Foundry Form Sans" w:cs="Arial"/>
          <w:bCs/>
          <w:color w:val="000000"/>
        </w:rPr>
        <w:t>Acceptance of</w:t>
      </w:r>
      <w:r w:rsidR="00F51E14" w:rsidRPr="00147EE4">
        <w:rPr>
          <w:rFonts w:ascii="Foundry Form Sans" w:hAnsi="Foundry Form Sans" w:cs="Arial"/>
          <w:bCs/>
          <w:color w:val="000000"/>
        </w:rPr>
        <w:t xml:space="preserve"> the methodology and outputs from</w:t>
      </w:r>
      <w:r w:rsidR="00445AFC" w:rsidRPr="00147EE4">
        <w:rPr>
          <w:rFonts w:ascii="Foundry Form Sans" w:hAnsi="Foundry Form Sans" w:cs="Arial"/>
          <w:bCs/>
          <w:color w:val="000000"/>
        </w:rPr>
        <w:t xml:space="preserve"> Work Package 1a </w:t>
      </w:r>
      <w:r w:rsidR="00F51E14" w:rsidRPr="00147EE4">
        <w:rPr>
          <w:rFonts w:ascii="Foundry Form Sans" w:hAnsi="Foundry Form Sans" w:cs="Arial"/>
          <w:bCs/>
          <w:color w:val="000000"/>
        </w:rPr>
        <w:t>is</w:t>
      </w:r>
      <w:r w:rsidR="00445AFC" w:rsidRPr="00147EE4">
        <w:rPr>
          <w:rFonts w:ascii="Foundry Form Sans" w:hAnsi="Foundry Form Sans" w:cs="Arial"/>
          <w:bCs/>
          <w:color w:val="000000"/>
        </w:rPr>
        <w:t xml:space="preserve"> re</w:t>
      </w:r>
      <w:r w:rsidR="00F51E14" w:rsidRPr="00147EE4">
        <w:rPr>
          <w:rFonts w:ascii="Foundry Form Sans" w:hAnsi="Foundry Form Sans" w:cs="Arial"/>
          <w:bCs/>
          <w:color w:val="000000"/>
        </w:rPr>
        <w:t>quired before delivery of the subsequent work packages.</w:t>
      </w:r>
      <w:r w:rsidR="00F51E14">
        <w:rPr>
          <w:rFonts w:ascii="Foundry Form Sans" w:hAnsi="Foundry Form Sans" w:cs="Arial"/>
          <w:bCs/>
          <w:color w:val="000000"/>
        </w:rPr>
        <w:t xml:space="preserve">  </w:t>
      </w:r>
    </w:p>
    <w:p w14:paraId="00B7F181" w14:textId="77777777" w:rsidR="00E77516" w:rsidRDefault="00E77516" w:rsidP="00E77516">
      <w:pPr>
        <w:rPr>
          <w:rFonts w:ascii="Foundry Form Sans" w:hAnsi="Foundry Form Sans" w:cs="Arial"/>
          <w:szCs w:val="22"/>
        </w:rPr>
      </w:pPr>
    </w:p>
    <w:p w14:paraId="00B7F182" w14:textId="0DCD7956" w:rsidR="00E77516" w:rsidRDefault="00125A1F" w:rsidP="00E77516">
      <w:pPr>
        <w:rPr>
          <w:rFonts w:ascii="Foundry Form Sans" w:hAnsi="Foundry Form Sans" w:cs="Arial"/>
          <w:b/>
          <w:color w:val="000000"/>
        </w:rPr>
      </w:pPr>
      <w:r>
        <w:rPr>
          <w:rFonts w:ascii="Foundry Form Sans" w:hAnsi="Foundry Form Sans" w:cs="Arial"/>
          <w:b/>
          <w:color w:val="000000"/>
        </w:rPr>
        <w:t xml:space="preserve">Work </w:t>
      </w:r>
      <w:r w:rsidR="00E77516">
        <w:rPr>
          <w:rFonts w:ascii="Foundry Form Sans" w:hAnsi="Foundry Form Sans" w:cs="Arial"/>
          <w:b/>
          <w:color w:val="000000"/>
        </w:rPr>
        <w:t xml:space="preserve">Package </w:t>
      </w:r>
      <w:r w:rsidR="001374F9">
        <w:rPr>
          <w:rFonts w:ascii="Foundry Form Sans" w:hAnsi="Foundry Form Sans" w:cs="Arial"/>
          <w:b/>
          <w:color w:val="000000"/>
        </w:rPr>
        <w:t>2</w:t>
      </w:r>
      <w:r w:rsidR="00E77516">
        <w:rPr>
          <w:rFonts w:ascii="Foundry Form Sans" w:hAnsi="Foundry Form Sans" w:cs="Arial"/>
          <w:b/>
          <w:color w:val="000000"/>
        </w:rPr>
        <w:t xml:space="preserve"> - Sector Analysis for the </w:t>
      </w:r>
      <w:r w:rsidR="00AE6231">
        <w:rPr>
          <w:rFonts w:ascii="Foundry Form Sans" w:hAnsi="Foundry Form Sans" w:cs="Arial"/>
          <w:b/>
          <w:color w:val="000000"/>
        </w:rPr>
        <w:t>Green Economy</w:t>
      </w:r>
      <w:r w:rsidR="009411A8">
        <w:rPr>
          <w:rFonts w:ascii="Foundry Form Sans" w:hAnsi="Foundry Form Sans" w:cs="Arial"/>
          <w:b/>
          <w:color w:val="000000"/>
        </w:rPr>
        <w:t xml:space="preserve">, </w:t>
      </w:r>
      <w:r w:rsidR="00DA5EC5">
        <w:rPr>
          <w:rFonts w:ascii="Foundry Form Sans" w:hAnsi="Foundry Form Sans" w:cs="Arial"/>
          <w:b/>
          <w:color w:val="000000"/>
        </w:rPr>
        <w:t>e.g.,</w:t>
      </w:r>
      <w:r w:rsidR="009411A8">
        <w:rPr>
          <w:rFonts w:ascii="Foundry Form Sans" w:hAnsi="Foundry Form Sans" w:cs="Arial"/>
          <w:b/>
          <w:color w:val="000000"/>
        </w:rPr>
        <w:t xml:space="preserve"> by</w:t>
      </w:r>
      <w:r w:rsidR="00AE6231">
        <w:rPr>
          <w:rFonts w:ascii="Foundry Form Sans" w:hAnsi="Foundry Form Sans" w:cs="Arial"/>
          <w:b/>
          <w:color w:val="000000"/>
        </w:rPr>
        <w:t xml:space="preserve"> integrating the kMatrix LCEGs and WPI Economics</w:t>
      </w:r>
      <w:r w:rsidR="009411A8">
        <w:rPr>
          <w:rFonts w:ascii="Foundry Form Sans" w:hAnsi="Foundry Form Sans" w:cs="Arial"/>
          <w:b/>
          <w:color w:val="000000"/>
        </w:rPr>
        <w:t xml:space="preserve"> approaches,</w:t>
      </w:r>
      <w:r w:rsidR="00AE6231">
        <w:rPr>
          <w:rFonts w:ascii="Foundry Form Sans" w:hAnsi="Foundry Form Sans" w:cs="Arial"/>
          <w:b/>
          <w:color w:val="000000"/>
        </w:rPr>
        <w:t xml:space="preserve"> </w:t>
      </w:r>
      <w:r w:rsidR="00467D1A">
        <w:rPr>
          <w:rFonts w:ascii="Foundry Form Sans" w:hAnsi="Foundry Form Sans" w:cs="Arial"/>
          <w:b/>
          <w:color w:val="000000"/>
        </w:rPr>
        <w:t xml:space="preserve">for </w:t>
      </w:r>
      <w:r w:rsidR="00E77516">
        <w:rPr>
          <w:rFonts w:ascii="Foundry Form Sans" w:hAnsi="Foundry Form Sans" w:cs="Arial"/>
          <w:b/>
          <w:color w:val="000000"/>
        </w:rPr>
        <w:t>the London Region and the 33 London Boroughs</w:t>
      </w:r>
    </w:p>
    <w:p w14:paraId="00B7F183" w14:textId="77777777" w:rsidR="00E77516" w:rsidRDefault="00E77516" w:rsidP="00E77516">
      <w:pPr>
        <w:rPr>
          <w:rFonts w:ascii="Foundry Form Sans" w:hAnsi="Foundry Form Sans" w:cs="Arial"/>
          <w:color w:val="000000"/>
        </w:rPr>
      </w:pPr>
    </w:p>
    <w:p w14:paraId="00B7F185" w14:textId="06830B4F" w:rsidR="00E77516" w:rsidRDefault="00E77516" w:rsidP="00E77516">
      <w:pPr>
        <w:rPr>
          <w:rFonts w:ascii="Foundry Form Sans" w:hAnsi="Foundry Form Sans" w:cs="Arial"/>
        </w:rPr>
      </w:pPr>
      <w:r>
        <w:rPr>
          <w:rFonts w:ascii="Foundry Form Sans" w:hAnsi="Foundry Form Sans" w:cs="Arial"/>
        </w:rPr>
        <w:t>To provide London regional data, broken down to</w:t>
      </w:r>
      <w:r w:rsidR="00660E3C">
        <w:rPr>
          <w:rFonts w:ascii="Foundry Form Sans" w:hAnsi="Foundry Form Sans" w:cs="Arial"/>
        </w:rPr>
        <w:t xml:space="preserve"> S</w:t>
      </w:r>
      <w:r w:rsidR="00397737">
        <w:rPr>
          <w:rFonts w:ascii="Foundry Form Sans" w:hAnsi="Foundry Form Sans" w:cs="Arial"/>
        </w:rPr>
        <w:t>ub-</w:t>
      </w:r>
      <w:r w:rsidR="00660E3C">
        <w:rPr>
          <w:rFonts w:ascii="Foundry Form Sans" w:hAnsi="Foundry Form Sans" w:cs="Arial"/>
        </w:rPr>
        <w:t>R</w:t>
      </w:r>
      <w:r w:rsidR="00397737">
        <w:rPr>
          <w:rFonts w:ascii="Foundry Form Sans" w:hAnsi="Foundry Form Sans" w:cs="Arial"/>
        </w:rPr>
        <w:t xml:space="preserve">egional </w:t>
      </w:r>
      <w:r w:rsidR="00660E3C">
        <w:rPr>
          <w:rFonts w:ascii="Foundry Form Sans" w:hAnsi="Foundry Form Sans" w:cs="Arial"/>
        </w:rPr>
        <w:t>P</w:t>
      </w:r>
      <w:r w:rsidR="00397737">
        <w:rPr>
          <w:rFonts w:ascii="Foundry Form Sans" w:hAnsi="Foundry Form Sans" w:cs="Arial"/>
        </w:rPr>
        <w:t>artnership</w:t>
      </w:r>
      <w:r w:rsidR="00660E3C">
        <w:rPr>
          <w:rFonts w:ascii="Foundry Form Sans" w:hAnsi="Foundry Form Sans" w:cs="Arial"/>
        </w:rPr>
        <w:t xml:space="preserve"> </w:t>
      </w:r>
      <w:r w:rsidR="001D1B83">
        <w:rPr>
          <w:rFonts w:ascii="Foundry Form Sans" w:hAnsi="Foundry Form Sans" w:cs="Arial"/>
        </w:rPr>
        <w:t xml:space="preserve">(SRP) </w:t>
      </w:r>
      <w:r w:rsidR="00660E3C">
        <w:rPr>
          <w:rFonts w:ascii="Foundry Form Sans" w:hAnsi="Foundry Form Sans" w:cs="Arial"/>
        </w:rPr>
        <w:t xml:space="preserve">and </w:t>
      </w:r>
      <w:r w:rsidR="001D1B83">
        <w:rPr>
          <w:rFonts w:ascii="Foundry Form Sans" w:hAnsi="Foundry Form Sans" w:cs="Arial"/>
        </w:rPr>
        <w:t xml:space="preserve">individual </w:t>
      </w:r>
      <w:r>
        <w:rPr>
          <w:rFonts w:ascii="Foundry Form Sans" w:hAnsi="Foundry Form Sans" w:cs="Arial"/>
        </w:rPr>
        <w:t>London Borough</w:t>
      </w:r>
      <w:r w:rsidR="001D1B83">
        <w:rPr>
          <w:rFonts w:ascii="Foundry Form Sans" w:hAnsi="Foundry Form Sans" w:cs="Arial"/>
        </w:rPr>
        <w:t xml:space="preserve"> level</w:t>
      </w:r>
      <w:r w:rsidR="00763CF2">
        <w:rPr>
          <w:rFonts w:ascii="Foundry Form Sans" w:hAnsi="Foundry Form Sans" w:cs="Arial"/>
        </w:rPr>
        <w:t>.</w:t>
      </w:r>
    </w:p>
    <w:p w14:paraId="00B7F187" w14:textId="4CF517AF" w:rsidR="00E77516" w:rsidRDefault="00E77516" w:rsidP="00E77516">
      <w:pPr>
        <w:rPr>
          <w:rFonts w:ascii="Foundry Form Sans" w:hAnsi="Foundry Form Sans" w:cs="Arial"/>
        </w:rPr>
      </w:pPr>
    </w:p>
    <w:p w14:paraId="00B7F188" w14:textId="4DA45D81" w:rsidR="00E77516" w:rsidRDefault="00E77516" w:rsidP="00E77516">
      <w:pPr>
        <w:rPr>
          <w:rFonts w:ascii="Foundry Form Sans" w:hAnsi="Foundry Form Sans" w:cs="Arial"/>
        </w:rPr>
      </w:pPr>
      <w:r>
        <w:rPr>
          <w:rFonts w:ascii="Foundry Form Sans" w:hAnsi="Foundry Form Sans" w:cs="Arial"/>
        </w:rPr>
        <w:t xml:space="preserve">The following data should at least be included for the </w:t>
      </w:r>
      <w:r w:rsidR="00E13B20">
        <w:rPr>
          <w:rFonts w:ascii="Foundry Form Sans" w:hAnsi="Foundry Form Sans" w:cs="Arial"/>
        </w:rPr>
        <w:t xml:space="preserve">expanded dataset </w:t>
      </w:r>
      <w:r>
        <w:rPr>
          <w:rFonts w:ascii="Foundry Form Sans" w:hAnsi="Foundry Form Sans" w:cs="Arial"/>
        </w:rPr>
        <w:t xml:space="preserve">at both the </w:t>
      </w:r>
      <w:r w:rsidR="006362E8">
        <w:rPr>
          <w:rFonts w:ascii="Foundry Form Sans" w:hAnsi="Foundry Form Sans" w:cs="Arial"/>
        </w:rPr>
        <w:t>regional,</w:t>
      </w:r>
      <w:r w:rsidR="00F73D9F">
        <w:rPr>
          <w:rFonts w:ascii="Foundry Form Sans" w:hAnsi="Foundry Form Sans" w:cs="Arial"/>
        </w:rPr>
        <w:t xml:space="preserve"> SRP </w:t>
      </w:r>
      <w:r>
        <w:rPr>
          <w:rFonts w:ascii="Foundry Form Sans" w:hAnsi="Foundry Form Sans" w:cs="Arial"/>
        </w:rPr>
        <w:t>and London Borough</w:t>
      </w:r>
      <w:r w:rsidR="006362E8">
        <w:rPr>
          <w:rFonts w:ascii="Foundry Form Sans" w:hAnsi="Foundry Form Sans" w:cs="Arial"/>
        </w:rPr>
        <w:t xml:space="preserve"> level</w:t>
      </w:r>
      <w:r>
        <w:rPr>
          <w:rFonts w:ascii="Foundry Form Sans" w:hAnsi="Foundry Form Sans" w:cs="Arial"/>
        </w:rPr>
        <w:t>:</w:t>
      </w:r>
    </w:p>
    <w:p w14:paraId="00B7F189" w14:textId="77777777" w:rsidR="00E77516" w:rsidRDefault="00E77516" w:rsidP="00E77516">
      <w:pPr>
        <w:numPr>
          <w:ilvl w:val="0"/>
          <w:numId w:val="28"/>
        </w:numPr>
        <w:rPr>
          <w:rFonts w:ascii="Foundry Form Sans" w:hAnsi="Foundry Form Sans" w:cs="Arial"/>
        </w:rPr>
      </w:pPr>
      <w:r>
        <w:rPr>
          <w:rFonts w:ascii="Foundry Form Sans" w:hAnsi="Foundry Form Sans" w:cs="Arial"/>
        </w:rPr>
        <w:t>Market Values (Sales Turnover) - current</w:t>
      </w:r>
    </w:p>
    <w:p w14:paraId="00B7F18A" w14:textId="77777777" w:rsidR="00E77516" w:rsidRDefault="00E77516" w:rsidP="00E77516">
      <w:pPr>
        <w:numPr>
          <w:ilvl w:val="0"/>
          <w:numId w:val="28"/>
        </w:numPr>
        <w:rPr>
          <w:rFonts w:ascii="Foundry Form Sans" w:hAnsi="Foundry Form Sans" w:cs="Arial"/>
        </w:rPr>
      </w:pPr>
      <w:r>
        <w:rPr>
          <w:rFonts w:ascii="Foundry Form Sans" w:hAnsi="Foundry Form Sans" w:cs="Arial"/>
        </w:rPr>
        <w:t>Company Numbers</w:t>
      </w:r>
    </w:p>
    <w:p w14:paraId="00B7F18B" w14:textId="77777777" w:rsidR="00E77516" w:rsidRDefault="00E77516" w:rsidP="00E77516">
      <w:pPr>
        <w:numPr>
          <w:ilvl w:val="0"/>
          <w:numId w:val="28"/>
        </w:numPr>
        <w:rPr>
          <w:rFonts w:ascii="Foundry Form Sans" w:hAnsi="Foundry Form Sans" w:cs="Arial"/>
        </w:rPr>
      </w:pPr>
      <w:r>
        <w:rPr>
          <w:rFonts w:ascii="Foundry Form Sans" w:hAnsi="Foundry Form Sans" w:cs="Arial"/>
        </w:rPr>
        <w:t>Employment Numbers</w:t>
      </w:r>
    </w:p>
    <w:p w14:paraId="00B7F18C" w14:textId="207471E6" w:rsidR="00E77516" w:rsidRDefault="00E77516" w:rsidP="00E77516">
      <w:pPr>
        <w:numPr>
          <w:ilvl w:val="0"/>
          <w:numId w:val="28"/>
        </w:numPr>
        <w:rPr>
          <w:rFonts w:ascii="Foundry Form Sans" w:hAnsi="Foundry Form Sans" w:cs="Arial"/>
        </w:rPr>
      </w:pPr>
      <w:r>
        <w:rPr>
          <w:rFonts w:ascii="Foundry Form Sans" w:hAnsi="Foundry Form Sans" w:cs="Arial"/>
        </w:rPr>
        <w:t xml:space="preserve">Growth Rates – Historical and </w:t>
      </w:r>
      <w:r w:rsidR="00DA5EC5">
        <w:rPr>
          <w:rFonts w:ascii="Foundry Form Sans" w:hAnsi="Foundry Form Sans" w:cs="Arial"/>
        </w:rPr>
        <w:t>forecast.</w:t>
      </w:r>
    </w:p>
    <w:p w14:paraId="00B7F18D" w14:textId="72DF4DDA" w:rsidR="00E77516" w:rsidRDefault="00E77516" w:rsidP="00E77516">
      <w:pPr>
        <w:numPr>
          <w:ilvl w:val="0"/>
          <w:numId w:val="28"/>
        </w:numPr>
        <w:rPr>
          <w:rFonts w:ascii="Foundry Form Sans" w:hAnsi="Foundry Form Sans" w:cs="Arial"/>
        </w:rPr>
      </w:pPr>
      <w:r>
        <w:rPr>
          <w:rFonts w:ascii="Foundry Form Sans" w:hAnsi="Foundry Form Sans" w:cs="Arial"/>
        </w:rPr>
        <w:t xml:space="preserve">Activity Code, such as manufacturing, supply etc. and SIC </w:t>
      </w:r>
      <w:r w:rsidR="00DA5EC5">
        <w:rPr>
          <w:rFonts w:ascii="Foundry Form Sans" w:hAnsi="Foundry Form Sans" w:cs="Arial"/>
        </w:rPr>
        <w:t>code.</w:t>
      </w:r>
    </w:p>
    <w:p w14:paraId="38329B10" w14:textId="11CA29F1" w:rsidR="00751F76" w:rsidRDefault="00751F76" w:rsidP="00E77516">
      <w:pPr>
        <w:numPr>
          <w:ilvl w:val="0"/>
          <w:numId w:val="28"/>
        </w:numPr>
        <w:rPr>
          <w:rFonts w:ascii="Foundry Form Sans" w:hAnsi="Foundry Form Sans" w:cs="Arial"/>
        </w:rPr>
      </w:pPr>
      <w:r>
        <w:rPr>
          <w:rFonts w:ascii="Foundry Form Sans" w:hAnsi="Foundry Form Sans" w:cs="Arial"/>
        </w:rPr>
        <w:t xml:space="preserve">Sector breakdown </w:t>
      </w:r>
    </w:p>
    <w:p w14:paraId="00B7F18E" w14:textId="77777777" w:rsidR="00E77516" w:rsidRDefault="00E77516" w:rsidP="00E77516">
      <w:pPr>
        <w:numPr>
          <w:ilvl w:val="0"/>
          <w:numId w:val="28"/>
        </w:numPr>
        <w:rPr>
          <w:rFonts w:ascii="Foundry Form Sans" w:hAnsi="Foundry Form Sans" w:cs="Arial"/>
        </w:rPr>
      </w:pPr>
      <w:r>
        <w:rPr>
          <w:rFonts w:ascii="Foundry Form Sans" w:hAnsi="Foundry Form Sans" w:cs="Arial"/>
        </w:rPr>
        <w:t>Specialist or supply chain businesses</w:t>
      </w:r>
    </w:p>
    <w:p w14:paraId="00B7F18F" w14:textId="77777777" w:rsidR="007D7736" w:rsidRDefault="007D7736" w:rsidP="00E77516">
      <w:pPr>
        <w:numPr>
          <w:ilvl w:val="0"/>
          <w:numId w:val="28"/>
        </w:numPr>
        <w:rPr>
          <w:rFonts w:ascii="Foundry Form Sans" w:hAnsi="Foundry Form Sans" w:cs="Arial"/>
        </w:rPr>
      </w:pPr>
      <w:r>
        <w:rPr>
          <w:rFonts w:ascii="Foundry Form Sans" w:hAnsi="Foundry Form Sans" w:cs="Arial"/>
        </w:rPr>
        <w:t>Core and non-core activity</w:t>
      </w:r>
    </w:p>
    <w:p w14:paraId="00B7F190" w14:textId="6C558C18" w:rsidR="00E77516" w:rsidRDefault="00B613DD" w:rsidP="00E77516">
      <w:pPr>
        <w:numPr>
          <w:ilvl w:val="0"/>
          <w:numId w:val="28"/>
        </w:numPr>
        <w:rPr>
          <w:rFonts w:ascii="Foundry Form Sans" w:hAnsi="Foundry Form Sans" w:cs="Arial"/>
        </w:rPr>
      </w:pPr>
      <w:r>
        <w:rPr>
          <w:rFonts w:ascii="Foundry Form Sans" w:hAnsi="Foundry Form Sans" w:cs="Arial"/>
        </w:rPr>
        <w:t>GVA or c</w:t>
      </w:r>
      <w:r w:rsidR="00E77516">
        <w:rPr>
          <w:rFonts w:ascii="Foundry Form Sans" w:hAnsi="Foundry Form Sans" w:cs="Arial"/>
        </w:rPr>
        <w:t xml:space="preserve">onversion </w:t>
      </w:r>
      <w:r>
        <w:rPr>
          <w:rFonts w:ascii="Foundry Form Sans" w:hAnsi="Foundry Form Sans" w:cs="Arial"/>
        </w:rPr>
        <w:t xml:space="preserve">of </w:t>
      </w:r>
      <w:r w:rsidR="00487FE8">
        <w:rPr>
          <w:rFonts w:ascii="Foundry Form Sans" w:hAnsi="Foundry Form Sans" w:cs="Arial"/>
        </w:rPr>
        <w:t xml:space="preserve">sales </w:t>
      </w:r>
      <w:r w:rsidR="00E77516">
        <w:rPr>
          <w:rFonts w:ascii="Foundry Form Sans" w:hAnsi="Foundry Form Sans" w:cs="Arial"/>
        </w:rPr>
        <w:t>to equivalent GVA</w:t>
      </w:r>
    </w:p>
    <w:p w14:paraId="00B7F191" w14:textId="77777777" w:rsidR="00E77516" w:rsidRDefault="00E77516" w:rsidP="00E77516">
      <w:pPr>
        <w:rPr>
          <w:rFonts w:ascii="Foundry Form Sans" w:hAnsi="Foundry Form Sans" w:cs="Arial"/>
          <w:highlight w:val="cyan"/>
        </w:rPr>
      </w:pPr>
    </w:p>
    <w:p w14:paraId="00B7F193" w14:textId="3A4DBF6A" w:rsidR="00E77516" w:rsidRDefault="00E77516" w:rsidP="00E77516">
      <w:pPr>
        <w:rPr>
          <w:rFonts w:ascii="Foundry Form Sans" w:hAnsi="Foundry Form Sans" w:cs="Arial"/>
        </w:rPr>
      </w:pPr>
      <w:r>
        <w:rPr>
          <w:rFonts w:ascii="Foundry Form Sans" w:hAnsi="Foundry Form Sans" w:cs="Arial"/>
          <w:b/>
        </w:rPr>
        <w:t xml:space="preserve">Deliverable </w:t>
      </w:r>
      <w:r w:rsidR="00903765">
        <w:rPr>
          <w:rFonts w:ascii="Foundry Form Sans" w:hAnsi="Foundry Form Sans" w:cs="Arial"/>
          <w:b/>
        </w:rPr>
        <w:t>2</w:t>
      </w:r>
      <w:r>
        <w:rPr>
          <w:rFonts w:ascii="Foundry Form Sans" w:hAnsi="Foundry Form Sans" w:cs="Arial"/>
          <w:b/>
        </w:rPr>
        <w:t>a</w:t>
      </w:r>
      <w:r>
        <w:rPr>
          <w:rFonts w:ascii="Foundry Form Sans" w:hAnsi="Foundry Form Sans" w:cs="Arial"/>
        </w:rPr>
        <w:t xml:space="preserve">: Full data sets to be provided in excel spreadsheet format and in </w:t>
      </w:r>
      <w:r w:rsidR="002649BB">
        <w:rPr>
          <w:rFonts w:ascii="Foundry Form Sans" w:hAnsi="Foundry Form Sans" w:cs="Arial"/>
        </w:rPr>
        <w:t xml:space="preserve">another analytical </w:t>
      </w:r>
      <w:r w:rsidR="00B176C3">
        <w:rPr>
          <w:rFonts w:ascii="Foundry Form Sans" w:hAnsi="Foundry Form Sans" w:cs="Arial"/>
        </w:rPr>
        <w:t>format (</w:t>
      </w:r>
      <w:r w:rsidR="00DA5EC5">
        <w:rPr>
          <w:rFonts w:ascii="Foundry Form Sans" w:hAnsi="Foundry Form Sans" w:cs="Arial"/>
        </w:rPr>
        <w:t>e.g.,</w:t>
      </w:r>
      <w:r w:rsidR="00B176C3">
        <w:rPr>
          <w:rFonts w:ascii="Foundry Form Sans" w:hAnsi="Foundry Form Sans" w:cs="Arial"/>
        </w:rPr>
        <w:t xml:space="preserve"> for Power BI, Tableau, </w:t>
      </w:r>
      <w:r w:rsidR="00386E56">
        <w:rPr>
          <w:rFonts w:ascii="Foundry Form Sans" w:hAnsi="Foundry Form Sans" w:cs="Arial"/>
        </w:rPr>
        <w:t>Stata, R or Python)</w:t>
      </w:r>
      <w:r>
        <w:rPr>
          <w:rFonts w:ascii="Foundry Form Sans" w:hAnsi="Foundry Form Sans" w:cs="Arial"/>
        </w:rPr>
        <w:t xml:space="preserve"> for London as a whole and allowing data to be retrieved at a London borough and </w:t>
      </w:r>
      <w:r w:rsidR="00E16C21">
        <w:rPr>
          <w:rFonts w:ascii="Foundry Form Sans" w:hAnsi="Foundry Form Sans" w:cs="Arial"/>
        </w:rPr>
        <w:t>SRP</w:t>
      </w:r>
      <w:r>
        <w:rPr>
          <w:rFonts w:ascii="Foundry Form Sans" w:hAnsi="Foundry Form Sans" w:cs="Arial"/>
        </w:rPr>
        <w:t xml:space="preserve"> level. It should allow the data to be interrogated down to Level 5.</w:t>
      </w:r>
      <w:r w:rsidR="003D6B89">
        <w:rPr>
          <w:rFonts w:ascii="Foundry Form Sans" w:hAnsi="Foundry Form Sans" w:cs="Arial"/>
        </w:rPr>
        <w:t xml:space="preserve"> This will be undertaken for the </w:t>
      </w:r>
      <w:r w:rsidR="003D6B89" w:rsidRPr="00132CAA">
        <w:rPr>
          <w:rFonts w:ascii="Foundry Form Sans" w:hAnsi="Foundry Form Sans" w:cs="Arial"/>
        </w:rPr>
        <w:t>year 20</w:t>
      </w:r>
      <w:r w:rsidR="00132CAA" w:rsidRPr="00132CAA">
        <w:rPr>
          <w:rFonts w:ascii="Foundry Form Sans" w:hAnsi="Foundry Form Sans" w:cs="Arial"/>
        </w:rPr>
        <w:t>2</w:t>
      </w:r>
      <w:r w:rsidR="001E6891">
        <w:rPr>
          <w:rFonts w:ascii="Foundry Form Sans" w:hAnsi="Foundry Form Sans" w:cs="Arial"/>
        </w:rPr>
        <w:t>3</w:t>
      </w:r>
      <w:r w:rsidR="003D6B89" w:rsidRPr="00132CAA">
        <w:rPr>
          <w:rFonts w:ascii="Foundry Form Sans" w:hAnsi="Foundry Form Sans" w:cs="Arial"/>
        </w:rPr>
        <w:t>/</w:t>
      </w:r>
      <w:r w:rsidR="00132CAA" w:rsidRPr="00132CAA">
        <w:rPr>
          <w:rFonts w:ascii="Foundry Form Sans" w:hAnsi="Foundry Form Sans" w:cs="Arial"/>
        </w:rPr>
        <w:t>2</w:t>
      </w:r>
      <w:r w:rsidR="001E6891">
        <w:rPr>
          <w:rFonts w:ascii="Foundry Form Sans" w:hAnsi="Foundry Form Sans" w:cs="Arial"/>
        </w:rPr>
        <w:t>4</w:t>
      </w:r>
      <w:r w:rsidR="00132CAA" w:rsidRPr="00132CAA">
        <w:rPr>
          <w:rFonts w:ascii="Foundry Form Sans" w:hAnsi="Foundry Form Sans" w:cs="Arial"/>
        </w:rPr>
        <w:t xml:space="preserve"> in </w:t>
      </w:r>
      <w:r w:rsidR="001E6891">
        <w:rPr>
          <w:rFonts w:ascii="Foundry Form Sans" w:hAnsi="Foundry Form Sans" w:cs="Arial"/>
        </w:rPr>
        <w:t>October 2024</w:t>
      </w:r>
      <w:r w:rsidR="00132CAA" w:rsidRPr="00425109">
        <w:rPr>
          <w:rFonts w:ascii="Foundry Form Sans" w:hAnsi="Foundry Form Sans" w:cs="Arial"/>
        </w:rPr>
        <w:t>,</w:t>
      </w:r>
      <w:r w:rsidR="005F17C4" w:rsidRPr="00425109">
        <w:rPr>
          <w:rFonts w:ascii="Foundry Form Sans" w:hAnsi="Foundry Form Sans" w:cs="Arial"/>
        </w:rPr>
        <w:t xml:space="preserve"> </w:t>
      </w:r>
      <w:r w:rsidR="003D6B89" w:rsidRPr="00425109">
        <w:rPr>
          <w:rFonts w:ascii="Foundry Form Sans" w:hAnsi="Foundry Form Sans" w:cs="Arial"/>
        </w:rPr>
        <w:t>for the year 202</w:t>
      </w:r>
      <w:r w:rsidR="001E6891">
        <w:rPr>
          <w:rFonts w:ascii="Foundry Form Sans" w:hAnsi="Foundry Form Sans" w:cs="Arial"/>
        </w:rPr>
        <w:t>4</w:t>
      </w:r>
      <w:r w:rsidR="003D6B89" w:rsidRPr="00425109">
        <w:rPr>
          <w:rFonts w:ascii="Foundry Form Sans" w:hAnsi="Foundry Form Sans" w:cs="Arial"/>
        </w:rPr>
        <w:t>/2</w:t>
      </w:r>
      <w:r w:rsidR="001E6891">
        <w:rPr>
          <w:rFonts w:ascii="Foundry Form Sans" w:hAnsi="Foundry Form Sans" w:cs="Arial"/>
        </w:rPr>
        <w:t>5</w:t>
      </w:r>
      <w:r w:rsidR="00132CAA" w:rsidRPr="00425109">
        <w:rPr>
          <w:rFonts w:ascii="Foundry Form Sans" w:hAnsi="Foundry Form Sans" w:cs="Arial"/>
        </w:rPr>
        <w:t xml:space="preserve"> </w:t>
      </w:r>
      <w:r w:rsidR="001E6891">
        <w:rPr>
          <w:rFonts w:ascii="Foundry Form Sans" w:hAnsi="Foundry Form Sans" w:cs="Arial"/>
        </w:rPr>
        <w:t xml:space="preserve">in October 2025, </w:t>
      </w:r>
      <w:r w:rsidR="00132CAA" w:rsidRPr="00425109">
        <w:rPr>
          <w:rFonts w:ascii="Foundry Form Sans" w:hAnsi="Foundry Form Sans" w:cs="Arial"/>
        </w:rPr>
        <w:t xml:space="preserve">and </w:t>
      </w:r>
      <w:r w:rsidR="001E6891">
        <w:rPr>
          <w:rFonts w:ascii="Foundry Form Sans" w:hAnsi="Foundry Form Sans" w:cs="Arial"/>
        </w:rPr>
        <w:t xml:space="preserve">for the year </w:t>
      </w:r>
      <w:r w:rsidR="00132CAA" w:rsidRPr="00425109">
        <w:rPr>
          <w:rFonts w:ascii="Foundry Form Sans" w:hAnsi="Foundry Form Sans" w:cs="Arial"/>
        </w:rPr>
        <w:t>202</w:t>
      </w:r>
      <w:r w:rsidR="001E6891">
        <w:rPr>
          <w:rFonts w:ascii="Foundry Form Sans" w:hAnsi="Foundry Form Sans" w:cs="Arial"/>
        </w:rPr>
        <w:t>5</w:t>
      </w:r>
      <w:r w:rsidR="00132CAA" w:rsidRPr="00425109">
        <w:rPr>
          <w:rFonts w:ascii="Foundry Form Sans" w:hAnsi="Foundry Form Sans" w:cs="Arial"/>
        </w:rPr>
        <w:t>/2</w:t>
      </w:r>
      <w:r w:rsidR="001E6891">
        <w:rPr>
          <w:rFonts w:ascii="Foundry Form Sans" w:hAnsi="Foundry Form Sans" w:cs="Arial"/>
        </w:rPr>
        <w:t>6</w:t>
      </w:r>
      <w:r w:rsidR="003D6B89" w:rsidRPr="00425109">
        <w:rPr>
          <w:rFonts w:ascii="Foundry Form Sans" w:hAnsi="Foundry Form Sans" w:cs="Arial"/>
        </w:rPr>
        <w:t xml:space="preserve"> </w:t>
      </w:r>
      <w:r w:rsidR="002D6D44">
        <w:rPr>
          <w:rFonts w:ascii="Foundry Form Sans" w:hAnsi="Foundry Form Sans" w:cs="Arial"/>
        </w:rPr>
        <w:t>by</w:t>
      </w:r>
      <w:r w:rsidR="003D6B89" w:rsidRPr="00425109">
        <w:rPr>
          <w:rFonts w:ascii="Foundry Form Sans" w:hAnsi="Foundry Form Sans" w:cs="Arial"/>
        </w:rPr>
        <w:t xml:space="preserve"> </w:t>
      </w:r>
      <w:r w:rsidR="000651BD">
        <w:rPr>
          <w:rFonts w:ascii="Foundry Form Sans" w:hAnsi="Foundry Form Sans" w:cs="Arial"/>
        </w:rPr>
        <w:t>Octo</w:t>
      </w:r>
      <w:r w:rsidR="00C853A3">
        <w:rPr>
          <w:rFonts w:ascii="Foundry Form Sans" w:hAnsi="Foundry Form Sans" w:cs="Arial"/>
        </w:rPr>
        <w:t>ber</w:t>
      </w:r>
      <w:r w:rsidR="003D6B89" w:rsidRPr="00425109">
        <w:rPr>
          <w:rFonts w:ascii="Foundry Form Sans" w:hAnsi="Foundry Form Sans" w:cs="Arial"/>
        </w:rPr>
        <w:t xml:space="preserve"> 202</w:t>
      </w:r>
      <w:r w:rsidR="001E6891">
        <w:rPr>
          <w:rFonts w:ascii="Foundry Form Sans" w:hAnsi="Foundry Form Sans" w:cs="Arial"/>
        </w:rPr>
        <w:t>6, d</w:t>
      </w:r>
      <w:r w:rsidR="000651BD">
        <w:rPr>
          <w:rFonts w:ascii="Foundry Form Sans" w:hAnsi="Foundry Form Sans" w:cs="Arial"/>
        </w:rPr>
        <w:t xml:space="preserve">epending on the </w:t>
      </w:r>
      <w:r w:rsidR="00EA314B">
        <w:rPr>
          <w:rFonts w:ascii="Foundry Form Sans" w:hAnsi="Foundry Form Sans" w:cs="Arial"/>
        </w:rPr>
        <w:t xml:space="preserve">length of time it takes for </w:t>
      </w:r>
      <w:r w:rsidR="003D6B89">
        <w:rPr>
          <w:rFonts w:ascii="Foundry Form Sans" w:hAnsi="Foundry Form Sans" w:cs="Arial"/>
        </w:rPr>
        <w:t xml:space="preserve">the </w:t>
      </w:r>
      <w:r w:rsidR="005F27DB">
        <w:rPr>
          <w:rFonts w:ascii="Foundry Form Sans" w:hAnsi="Foundry Form Sans" w:cs="Arial"/>
        </w:rPr>
        <w:t xml:space="preserve">complete </w:t>
      </w:r>
      <w:r w:rsidR="003D6B89">
        <w:rPr>
          <w:rFonts w:ascii="Foundry Form Sans" w:hAnsi="Foundry Form Sans" w:cs="Arial"/>
        </w:rPr>
        <w:t xml:space="preserve">datasets </w:t>
      </w:r>
      <w:r w:rsidR="001D6ED3">
        <w:rPr>
          <w:rFonts w:ascii="Foundry Form Sans" w:hAnsi="Foundry Form Sans" w:cs="Arial"/>
        </w:rPr>
        <w:t xml:space="preserve">to </w:t>
      </w:r>
      <w:r w:rsidR="003D6B89">
        <w:rPr>
          <w:rFonts w:ascii="Foundry Form Sans" w:hAnsi="Foundry Form Sans" w:cs="Arial"/>
        </w:rPr>
        <w:t>become available.</w:t>
      </w:r>
    </w:p>
    <w:p w14:paraId="00B7F194" w14:textId="77777777" w:rsidR="00132CAA" w:rsidRDefault="00132CAA" w:rsidP="00E77516">
      <w:pPr>
        <w:rPr>
          <w:rFonts w:ascii="Foundry Form Sans" w:hAnsi="Foundry Form Sans" w:cs="Arial"/>
        </w:rPr>
      </w:pPr>
    </w:p>
    <w:p w14:paraId="00B7F195" w14:textId="145B1035" w:rsidR="00E77516" w:rsidRDefault="00E77516" w:rsidP="00E77516">
      <w:pPr>
        <w:rPr>
          <w:rFonts w:ascii="Foundry Form Sans" w:hAnsi="Foundry Form Sans" w:cs="Arial"/>
        </w:rPr>
      </w:pPr>
      <w:r>
        <w:rPr>
          <w:rFonts w:ascii="Foundry Form Sans" w:hAnsi="Foundry Form Sans" w:cs="Arial"/>
          <w:b/>
        </w:rPr>
        <w:t xml:space="preserve">Deliverable </w:t>
      </w:r>
      <w:r w:rsidR="00903765">
        <w:rPr>
          <w:rFonts w:ascii="Foundry Form Sans" w:hAnsi="Foundry Form Sans" w:cs="Arial"/>
          <w:b/>
        </w:rPr>
        <w:t>2</w:t>
      </w:r>
      <w:r>
        <w:rPr>
          <w:rFonts w:ascii="Foundry Form Sans" w:hAnsi="Foundry Form Sans" w:cs="Arial"/>
          <w:b/>
        </w:rPr>
        <w:t>b:</w:t>
      </w:r>
      <w:r>
        <w:rPr>
          <w:rFonts w:ascii="Foundry Form Sans" w:hAnsi="Foundry Form Sans" w:cs="Arial"/>
        </w:rPr>
        <w:t xml:space="preserve"> Growth forecast to be provided to level 5 with the best sub-sectoral opportunities in London highlighted. This should also be provided for each of the 33 London boroughs.</w:t>
      </w:r>
    </w:p>
    <w:p w14:paraId="00B7F196" w14:textId="77777777" w:rsidR="00E77516" w:rsidRDefault="00E77516" w:rsidP="00E77516">
      <w:pPr>
        <w:rPr>
          <w:rFonts w:ascii="Foundry Form Sans" w:hAnsi="Foundry Form Sans" w:cs="Arial"/>
        </w:rPr>
      </w:pPr>
    </w:p>
    <w:p w14:paraId="00B7F197" w14:textId="550BDD22" w:rsidR="0063221A" w:rsidRDefault="00E77516" w:rsidP="00E77516">
      <w:pPr>
        <w:jc w:val="both"/>
        <w:rPr>
          <w:rFonts w:ascii="Foundry Form Sans" w:hAnsi="Foundry Form Sans" w:cs="Arial"/>
        </w:rPr>
      </w:pPr>
      <w:r>
        <w:rPr>
          <w:rFonts w:ascii="Foundry Form Sans" w:hAnsi="Foundry Form Sans" w:cs="Arial"/>
          <w:b/>
        </w:rPr>
        <w:t xml:space="preserve">Deliverable </w:t>
      </w:r>
      <w:r w:rsidR="00903765">
        <w:rPr>
          <w:rFonts w:ascii="Foundry Form Sans" w:hAnsi="Foundry Form Sans" w:cs="Arial"/>
          <w:b/>
        </w:rPr>
        <w:t>2</w:t>
      </w:r>
      <w:r>
        <w:rPr>
          <w:rFonts w:ascii="Foundry Form Sans" w:hAnsi="Foundry Form Sans" w:cs="Arial"/>
          <w:b/>
        </w:rPr>
        <w:t>c</w:t>
      </w:r>
      <w:r>
        <w:rPr>
          <w:rFonts w:ascii="Foundry Form Sans" w:hAnsi="Foundry Form Sans" w:cs="Arial"/>
        </w:rPr>
        <w:t xml:space="preserve">: A full comparative analysis of the </w:t>
      </w:r>
      <w:r w:rsidRPr="6D22C65C">
        <w:rPr>
          <w:rFonts w:ascii="Foundry Form Sans" w:hAnsi="Foundry Form Sans" w:cs="Arial"/>
        </w:rPr>
        <w:t xml:space="preserve">sub-sectors </w:t>
      </w:r>
      <w:r w:rsidR="008F30B3" w:rsidRPr="6D22C65C">
        <w:rPr>
          <w:rFonts w:ascii="Foundry Form Sans" w:hAnsi="Foundry Form Sans" w:cs="Arial"/>
        </w:rPr>
        <w:t xml:space="preserve">and associated supply chains </w:t>
      </w:r>
      <w:r>
        <w:rPr>
          <w:rFonts w:ascii="Foundry Form Sans" w:hAnsi="Foundry Form Sans" w:cs="Arial"/>
        </w:rPr>
        <w:t xml:space="preserve">should be conducted highlighting their strengths and weaknesses through </w:t>
      </w:r>
      <w:r w:rsidR="00386E56">
        <w:rPr>
          <w:rFonts w:ascii="Foundry Form Sans" w:hAnsi="Foundry Form Sans" w:cs="Arial"/>
        </w:rPr>
        <w:t xml:space="preserve">an </w:t>
      </w:r>
      <w:r>
        <w:rPr>
          <w:rFonts w:ascii="Foundry Form Sans" w:hAnsi="Foundry Form Sans" w:cs="Arial"/>
        </w:rPr>
        <w:t>analytical model</w:t>
      </w:r>
      <w:r w:rsidR="00807213">
        <w:rPr>
          <w:rFonts w:ascii="Foundry Form Sans" w:hAnsi="Foundry Form Sans" w:cs="Arial"/>
        </w:rPr>
        <w:t xml:space="preserve"> accessible to </w:t>
      </w:r>
      <w:r w:rsidR="009651BC">
        <w:rPr>
          <w:rFonts w:ascii="Foundry Form Sans" w:hAnsi="Foundry Form Sans" w:cs="Arial"/>
        </w:rPr>
        <w:t>teams in GLA and London Boroughs</w:t>
      </w:r>
      <w:r w:rsidR="005E03C0">
        <w:rPr>
          <w:rFonts w:ascii="Foundry Form Sans" w:hAnsi="Foundry Form Sans" w:cs="Arial"/>
        </w:rPr>
        <w:t xml:space="preserve"> and the results presented in a report format that is consistent with previous reports</w:t>
      </w:r>
      <w:r w:rsidR="00E13B20">
        <w:rPr>
          <w:rFonts w:ascii="Foundry Form Sans" w:hAnsi="Foundry Form Sans" w:cs="Arial"/>
        </w:rPr>
        <w:t>,</w:t>
      </w:r>
      <w:r w:rsidR="00090798">
        <w:rPr>
          <w:rFonts w:ascii="Foundry Form Sans" w:hAnsi="Foundry Form Sans" w:cs="Arial"/>
        </w:rPr>
        <w:t xml:space="preserve"> </w:t>
      </w:r>
      <w:r w:rsidR="00E13B20">
        <w:rPr>
          <w:rFonts w:ascii="Foundry Form Sans" w:hAnsi="Foundry Form Sans" w:cs="Arial"/>
        </w:rPr>
        <w:t>including WPI</w:t>
      </w:r>
      <w:r w:rsidR="008A1EF8">
        <w:rPr>
          <w:rFonts w:ascii="Foundry Form Sans" w:hAnsi="Foundry Form Sans" w:cs="Arial"/>
        </w:rPr>
        <w:t>/IES report</w:t>
      </w:r>
      <w:r>
        <w:rPr>
          <w:rFonts w:ascii="Foundry Form Sans" w:hAnsi="Foundry Form Sans" w:cs="Arial"/>
        </w:rPr>
        <w:t>.</w:t>
      </w:r>
    </w:p>
    <w:p w14:paraId="00B7F198" w14:textId="77777777" w:rsidR="0063221A" w:rsidRDefault="0063221A" w:rsidP="00E77516">
      <w:pPr>
        <w:jc w:val="both"/>
        <w:rPr>
          <w:rFonts w:ascii="Foundry Form Sans" w:hAnsi="Foundry Form Sans" w:cs="Arial"/>
        </w:rPr>
      </w:pPr>
    </w:p>
    <w:p w14:paraId="00B7F199" w14:textId="4F6EEFE3" w:rsidR="00631123" w:rsidRDefault="0063221A" w:rsidP="00631123">
      <w:pPr>
        <w:rPr>
          <w:rFonts w:ascii="Foundry Form Sans" w:hAnsi="Foundry Form Sans" w:cs="Arial"/>
        </w:rPr>
      </w:pPr>
      <w:r w:rsidRPr="00B16394">
        <w:rPr>
          <w:rFonts w:ascii="Foundry Form Sans" w:hAnsi="Foundry Form Sans" w:cs="Arial"/>
          <w:b/>
        </w:rPr>
        <w:t>Deliverable</w:t>
      </w:r>
      <w:r w:rsidR="00903765">
        <w:rPr>
          <w:rFonts w:ascii="Foundry Form Sans" w:hAnsi="Foundry Form Sans" w:cs="Arial"/>
          <w:b/>
        </w:rPr>
        <w:t xml:space="preserve"> 2</w:t>
      </w:r>
      <w:r w:rsidRPr="00B16394">
        <w:rPr>
          <w:rFonts w:ascii="Foundry Form Sans" w:hAnsi="Foundry Form Sans" w:cs="Arial"/>
          <w:b/>
        </w:rPr>
        <w:t>d</w:t>
      </w:r>
      <w:r>
        <w:rPr>
          <w:rFonts w:ascii="Foundry Form Sans" w:hAnsi="Foundry Form Sans" w:cs="Arial"/>
        </w:rPr>
        <w:t xml:space="preserve">: </w:t>
      </w:r>
      <w:r w:rsidR="00E77516">
        <w:rPr>
          <w:rFonts w:ascii="Foundry Form Sans" w:hAnsi="Foundry Form Sans" w:cs="Arial"/>
        </w:rPr>
        <w:t xml:space="preserve">This will </w:t>
      </w:r>
      <w:r w:rsidR="00543244">
        <w:rPr>
          <w:rFonts w:ascii="Foundry Form Sans" w:hAnsi="Foundry Form Sans" w:cs="Arial"/>
        </w:rPr>
        <w:t xml:space="preserve">build on the analysis and report </w:t>
      </w:r>
      <w:r w:rsidR="00B726F2">
        <w:rPr>
          <w:rFonts w:ascii="Foundry Form Sans" w:hAnsi="Foundry Form Sans" w:cs="Arial"/>
        </w:rPr>
        <w:t xml:space="preserve">produced </w:t>
      </w:r>
      <w:r w:rsidR="00543244">
        <w:rPr>
          <w:rFonts w:ascii="Foundry Form Sans" w:hAnsi="Foundry Form Sans" w:cs="Arial"/>
        </w:rPr>
        <w:t>in Deliverable 1c</w:t>
      </w:r>
      <w:r w:rsidR="00AD3298">
        <w:rPr>
          <w:rFonts w:ascii="Foundry Form Sans" w:hAnsi="Foundry Form Sans" w:cs="Arial"/>
        </w:rPr>
        <w:t>. A</w:t>
      </w:r>
      <w:r w:rsidR="00E77516">
        <w:rPr>
          <w:rFonts w:ascii="Foundry Form Sans" w:hAnsi="Foundry Form Sans" w:cs="Arial"/>
        </w:rPr>
        <w:t xml:space="preserve">long with </w:t>
      </w:r>
      <w:r w:rsidR="00631123">
        <w:rPr>
          <w:rFonts w:ascii="Foundry Form Sans" w:hAnsi="Foundry Form Sans" w:cs="Arial"/>
        </w:rPr>
        <w:t xml:space="preserve">the </w:t>
      </w:r>
      <w:r w:rsidR="00E77516">
        <w:rPr>
          <w:rFonts w:ascii="Foundry Form Sans" w:hAnsi="Foundry Form Sans" w:cs="Arial"/>
        </w:rPr>
        <w:t xml:space="preserve">other packages of work </w:t>
      </w:r>
      <w:r w:rsidR="00631123">
        <w:rPr>
          <w:rFonts w:ascii="Foundry Form Sans" w:hAnsi="Foundry Form Sans" w:cs="Arial"/>
        </w:rPr>
        <w:t xml:space="preserve">and use of other relevant methodologies </w:t>
      </w:r>
      <w:r w:rsidR="00AD3298">
        <w:rPr>
          <w:rFonts w:ascii="Foundry Form Sans" w:hAnsi="Foundry Form Sans" w:cs="Arial"/>
        </w:rPr>
        <w:t xml:space="preserve">it </w:t>
      </w:r>
      <w:r w:rsidR="00E77516">
        <w:rPr>
          <w:rFonts w:ascii="Foundry Form Sans" w:hAnsi="Foundry Form Sans" w:cs="Arial"/>
        </w:rPr>
        <w:t xml:space="preserve">should lead to a suggested list of potential business </w:t>
      </w:r>
      <w:r w:rsidR="008F30B3">
        <w:rPr>
          <w:rFonts w:ascii="Foundry Form Sans" w:hAnsi="Foundry Form Sans" w:cs="Arial"/>
        </w:rPr>
        <w:t xml:space="preserve">and supply chain </w:t>
      </w:r>
      <w:r w:rsidR="00E77516">
        <w:rPr>
          <w:rFonts w:ascii="Foundry Form Sans" w:hAnsi="Foundry Form Sans" w:cs="Arial"/>
        </w:rPr>
        <w:t xml:space="preserve">support and </w:t>
      </w:r>
      <w:r w:rsidR="00E77516">
        <w:rPr>
          <w:rFonts w:ascii="Foundry Form Sans" w:hAnsi="Foundry Form Sans" w:cs="Arial"/>
        </w:rPr>
        <w:lastRenderedPageBreak/>
        <w:t>development programmes</w:t>
      </w:r>
      <w:r w:rsidR="00A00687">
        <w:rPr>
          <w:rFonts w:ascii="Foundry Form Sans" w:hAnsi="Foundry Form Sans" w:cs="Arial"/>
        </w:rPr>
        <w:t xml:space="preserve">, including </w:t>
      </w:r>
      <w:r w:rsidR="003B4D6C">
        <w:rPr>
          <w:rFonts w:ascii="Foundry Form Sans" w:hAnsi="Foundry Form Sans" w:cs="Arial"/>
        </w:rPr>
        <w:t>key activities and outcomes,</w:t>
      </w:r>
      <w:r w:rsidR="00E77516">
        <w:rPr>
          <w:rFonts w:ascii="Foundry Form Sans" w:hAnsi="Foundry Form Sans" w:cs="Arial"/>
        </w:rPr>
        <w:t xml:space="preserve"> that could be developed in London to support growth in </w:t>
      </w:r>
      <w:r w:rsidR="00C91377">
        <w:rPr>
          <w:rFonts w:ascii="Foundry Form Sans" w:hAnsi="Foundry Form Sans" w:cs="Arial"/>
        </w:rPr>
        <w:t>the Green</w:t>
      </w:r>
      <w:r w:rsidR="00777334">
        <w:rPr>
          <w:rFonts w:ascii="Foundry Form Sans" w:hAnsi="Foundry Form Sans" w:cs="Arial"/>
        </w:rPr>
        <w:t xml:space="preserve"> Economy</w:t>
      </w:r>
      <w:r w:rsidR="001E6891">
        <w:rPr>
          <w:rFonts w:ascii="Foundry Form Sans" w:hAnsi="Foundry Form Sans" w:cs="Arial"/>
        </w:rPr>
        <w:t>.</w:t>
      </w:r>
    </w:p>
    <w:p w14:paraId="00B7F19A" w14:textId="77777777" w:rsidR="00631123" w:rsidRDefault="00631123" w:rsidP="00631123">
      <w:pPr>
        <w:rPr>
          <w:rFonts w:ascii="Foundry Form Sans" w:hAnsi="Foundry Form Sans" w:cs="Arial"/>
        </w:rPr>
      </w:pPr>
    </w:p>
    <w:p w14:paraId="00B7F19B" w14:textId="49290C70" w:rsidR="00E77516" w:rsidRDefault="00631123" w:rsidP="00B16394">
      <w:pPr>
        <w:rPr>
          <w:rFonts w:ascii="Foundry Form Sans" w:hAnsi="Foundry Form Sans" w:cs="Arial"/>
        </w:rPr>
      </w:pPr>
      <w:r w:rsidRPr="6D22C65C">
        <w:rPr>
          <w:rFonts w:ascii="Foundry Form Sans" w:hAnsi="Foundry Form Sans" w:cs="Arial"/>
          <w:color w:val="000000" w:themeColor="text1"/>
        </w:rPr>
        <w:t xml:space="preserve">It will identify specific sectoral strengths and opportunities for sectoral growth in London </w:t>
      </w:r>
      <w:r w:rsidR="00AB450E">
        <w:rPr>
          <w:rFonts w:ascii="Foundry Form Sans" w:hAnsi="Foundry Form Sans" w:cs="Arial"/>
          <w:color w:val="000000" w:themeColor="text1"/>
        </w:rPr>
        <w:t xml:space="preserve">to support </w:t>
      </w:r>
      <w:r w:rsidR="00A35C0B">
        <w:rPr>
          <w:rFonts w:ascii="Foundry Form Sans" w:hAnsi="Foundry Form Sans" w:cs="Arial"/>
          <w:color w:val="000000" w:themeColor="text1"/>
        </w:rPr>
        <w:t>a</w:t>
      </w:r>
      <w:r w:rsidRPr="6D22C65C">
        <w:rPr>
          <w:rFonts w:ascii="Foundry Form Sans" w:hAnsi="Foundry Form Sans" w:cs="Arial"/>
          <w:color w:val="000000" w:themeColor="text1"/>
        </w:rPr>
        <w:t xml:space="preserve"> </w:t>
      </w:r>
      <w:r w:rsidR="002D2E20">
        <w:rPr>
          <w:rFonts w:ascii="Foundry Form Sans" w:hAnsi="Foundry Form Sans" w:cs="Arial"/>
          <w:color w:val="000000" w:themeColor="text1"/>
        </w:rPr>
        <w:t>just transition</w:t>
      </w:r>
      <w:r w:rsidRPr="6D22C65C">
        <w:rPr>
          <w:rFonts w:ascii="Foundry Form Sans" w:hAnsi="Foundry Form Sans" w:cs="Arial"/>
          <w:color w:val="000000" w:themeColor="text1"/>
        </w:rPr>
        <w:t xml:space="preserve"> and reflect both existing and emerging London and global market opportunities. Recommendations should be made for how these strengths can be capitalised o</w:t>
      </w:r>
      <w:r w:rsidR="004F531B" w:rsidRPr="6D22C65C">
        <w:rPr>
          <w:rFonts w:ascii="Foundry Form Sans" w:hAnsi="Foundry Form Sans" w:cs="Arial"/>
          <w:color w:val="000000" w:themeColor="text1"/>
        </w:rPr>
        <w:t>n</w:t>
      </w:r>
      <w:r w:rsidRPr="6D22C65C">
        <w:rPr>
          <w:rFonts w:ascii="Foundry Form Sans" w:hAnsi="Foundry Form Sans" w:cs="Arial"/>
          <w:color w:val="000000" w:themeColor="text1"/>
        </w:rPr>
        <w:t xml:space="preserve">. </w:t>
      </w:r>
      <w:r w:rsidR="00543244">
        <w:rPr>
          <w:rFonts w:ascii="Foundry Form Sans" w:hAnsi="Foundry Form Sans" w:cs="Arial"/>
        </w:rPr>
        <w:t xml:space="preserve">This will </w:t>
      </w:r>
      <w:r>
        <w:rPr>
          <w:rFonts w:ascii="Foundry Form Sans" w:hAnsi="Foundry Form Sans" w:cs="Arial"/>
        </w:rPr>
        <w:t xml:space="preserve">require two </w:t>
      </w:r>
      <w:r w:rsidR="00543244">
        <w:rPr>
          <w:rFonts w:ascii="Foundry Form Sans" w:hAnsi="Foundry Form Sans" w:cs="Arial"/>
        </w:rPr>
        <w:t>meeting</w:t>
      </w:r>
      <w:r>
        <w:rPr>
          <w:rFonts w:ascii="Foundry Form Sans" w:hAnsi="Foundry Form Sans" w:cs="Arial"/>
        </w:rPr>
        <w:t>s</w:t>
      </w:r>
      <w:r w:rsidR="00543244">
        <w:rPr>
          <w:rFonts w:ascii="Foundry Form Sans" w:hAnsi="Foundry Form Sans" w:cs="Arial"/>
        </w:rPr>
        <w:t xml:space="preserve"> to discuss the findings, </w:t>
      </w:r>
      <w:r w:rsidR="00DA5EC5">
        <w:rPr>
          <w:rFonts w:ascii="Foundry Form Sans" w:hAnsi="Foundry Form Sans" w:cs="Arial"/>
        </w:rPr>
        <w:t>opportunities,</w:t>
      </w:r>
      <w:r w:rsidR="00543244">
        <w:rPr>
          <w:rFonts w:ascii="Foundry Form Sans" w:hAnsi="Foundry Form Sans" w:cs="Arial"/>
        </w:rPr>
        <w:t xml:space="preserve"> and proposed support mechanisms.</w:t>
      </w:r>
    </w:p>
    <w:p w14:paraId="1C36EFC3" w14:textId="77777777" w:rsidR="001574D4" w:rsidRDefault="001574D4" w:rsidP="00B16394">
      <w:pPr>
        <w:rPr>
          <w:rFonts w:ascii="Foundry Form Sans" w:hAnsi="Foundry Form Sans" w:cs="Arial"/>
        </w:rPr>
      </w:pPr>
    </w:p>
    <w:p w14:paraId="00B7F1A6" w14:textId="3A09C832" w:rsidR="00975A8B" w:rsidRDefault="001574D4" w:rsidP="00E77516">
      <w:pPr>
        <w:rPr>
          <w:rFonts w:ascii="Foundry Form Sans" w:hAnsi="Foundry Form Sans" w:cs="Arial"/>
        </w:rPr>
      </w:pPr>
      <w:r w:rsidRPr="001574D4">
        <w:rPr>
          <w:rFonts w:ascii="Foundry Form Sans" w:hAnsi="Foundry Form Sans" w:cs="Arial"/>
          <w:b/>
          <w:bCs/>
        </w:rPr>
        <w:t xml:space="preserve">Deliverable </w:t>
      </w:r>
      <w:r w:rsidR="00903765">
        <w:rPr>
          <w:rFonts w:ascii="Foundry Form Sans" w:hAnsi="Foundry Form Sans" w:cs="Arial"/>
          <w:b/>
          <w:bCs/>
        </w:rPr>
        <w:t>2</w:t>
      </w:r>
      <w:r w:rsidRPr="001574D4">
        <w:rPr>
          <w:rFonts w:ascii="Foundry Form Sans" w:hAnsi="Foundry Form Sans" w:cs="Arial"/>
          <w:b/>
          <w:bCs/>
        </w:rPr>
        <w:t>e</w:t>
      </w:r>
      <w:r>
        <w:rPr>
          <w:rFonts w:ascii="Foundry Form Sans" w:hAnsi="Foundry Form Sans" w:cs="Arial"/>
        </w:rPr>
        <w:t xml:space="preserve">: </w:t>
      </w:r>
      <w:r w:rsidRPr="001574D4">
        <w:rPr>
          <w:rFonts w:ascii="Foundry Form Sans" w:hAnsi="Foundry Form Sans" w:cs="Arial"/>
        </w:rPr>
        <w:t>To identify any new sub-sectors that have emerged or been developed</w:t>
      </w:r>
      <w:r>
        <w:rPr>
          <w:rFonts w:ascii="Foundry Form Sans" w:hAnsi="Foundry Form Sans" w:cs="Arial"/>
        </w:rPr>
        <w:t xml:space="preserve"> </w:t>
      </w:r>
      <w:r w:rsidRPr="001574D4">
        <w:rPr>
          <w:rFonts w:ascii="Foundry Form Sans" w:hAnsi="Foundry Form Sans" w:cs="Arial"/>
        </w:rPr>
        <w:t xml:space="preserve">that could contribute to a new wider </w:t>
      </w:r>
      <w:r w:rsidR="00847DE3">
        <w:rPr>
          <w:rFonts w:ascii="Foundry Form Sans" w:hAnsi="Foundry Form Sans" w:cs="Arial"/>
        </w:rPr>
        <w:t>Green Economy</w:t>
      </w:r>
      <w:r w:rsidR="00C6586E">
        <w:rPr>
          <w:rFonts w:ascii="Foundry Form Sans" w:hAnsi="Foundry Form Sans" w:cs="Arial"/>
        </w:rPr>
        <w:t xml:space="preserve"> and Circular Economy</w:t>
      </w:r>
      <w:r w:rsidRPr="001574D4">
        <w:rPr>
          <w:rFonts w:ascii="Foundry Form Sans" w:hAnsi="Foundry Form Sans" w:cs="Arial"/>
        </w:rPr>
        <w:t xml:space="preserve"> sector definition.</w:t>
      </w:r>
    </w:p>
    <w:p w14:paraId="00B7F1AB" w14:textId="77777777" w:rsidR="00E77516" w:rsidRPr="00301400" w:rsidRDefault="00E77516" w:rsidP="00E77516"/>
    <w:p w14:paraId="00B7F1AC" w14:textId="5C4BA37A" w:rsidR="00E77516" w:rsidRPr="00DA6D84" w:rsidRDefault="00125A1F" w:rsidP="00E77516">
      <w:pPr>
        <w:pStyle w:val="Heading7"/>
      </w:pPr>
      <w:r>
        <w:t xml:space="preserve">Work </w:t>
      </w:r>
      <w:r w:rsidR="00E77516" w:rsidRPr="00DA6D84">
        <w:t xml:space="preserve">Package </w:t>
      </w:r>
      <w:r w:rsidR="00F57FA8">
        <w:t>3</w:t>
      </w:r>
      <w:r w:rsidR="00E77516" w:rsidRPr="00DA6D84">
        <w:t xml:space="preserve"> – Benchmarking against the rest of the UK</w:t>
      </w:r>
      <w:r w:rsidR="00A12BB4">
        <w:t xml:space="preserve"> and identifying supply chain opportunities across the </w:t>
      </w:r>
      <w:r w:rsidR="00DA5EC5">
        <w:t>UK.</w:t>
      </w:r>
    </w:p>
    <w:p w14:paraId="00B7F1AD" w14:textId="77777777" w:rsidR="00E77516" w:rsidRPr="00DA6D84" w:rsidRDefault="00E77516" w:rsidP="00E77516">
      <w:pPr>
        <w:rPr>
          <w:rFonts w:ascii="Foundry Form Sans" w:hAnsi="Foundry Form Sans" w:cs="Arial"/>
        </w:rPr>
      </w:pPr>
    </w:p>
    <w:p w14:paraId="00B7F1AE" w14:textId="42A5C019" w:rsidR="00E77516" w:rsidRDefault="00E77516" w:rsidP="00E77516">
      <w:pPr>
        <w:rPr>
          <w:rFonts w:ascii="Foundry Form Sans" w:hAnsi="Foundry Form Sans" w:cs="Arial"/>
        </w:rPr>
      </w:pPr>
      <w:r w:rsidRPr="00DA6D84">
        <w:rPr>
          <w:rFonts w:ascii="Foundry Form Sans" w:hAnsi="Foundry Form Sans" w:cs="Arial"/>
          <w:b/>
        </w:rPr>
        <w:t>Deliverable</w:t>
      </w:r>
      <w:r>
        <w:rPr>
          <w:rFonts w:ascii="Foundry Form Sans" w:hAnsi="Foundry Form Sans" w:cs="Arial"/>
          <w:b/>
        </w:rPr>
        <w:t xml:space="preserve"> </w:t>
      </w:r>
      <w:r w:rsidR="00903765">
        <w:rPr>
          <w:rFonts w:ascii="Foundry Form Sans" w:hAnsi="Foundry Form Sans" w:cs="Arial"/>
          <w:b/>
        </w:rPr>
        <w:t>3</w:t>
      </w:r>
      <w:r w:rsidRPr="00DA6D84">
        <w:rPr>
          <w:rFonts w:ascii="Foundry Form Sans" w:hAnsi="Foundry Form Sans" w:cs="Arial"/>
          <w:b/>
        </w:rPr>
        <w:t>:</w:t>
      </w:r>
      <w:r w:rsidRPr="00DA6D84">
        <w:rPr>
          <w:rFonts w:ascii="Foundry Form Sans" w:hAnsi="Foundry Form Sans" w:cs="Arial"/>
        </w:rPr>
        <w:t xml:space="preserve"> To provide data in excel and </w:t>
      </w:r>
      <w:r w:rsidR="00370199">
        <w:rPr>
          <w:rFonts w:ascii="Foundry Form Sans" w:hAnsi="Foundry Form Sans" w:cs="Arial"/>
        </w:rPr>
        <w:t>other accessible analytical</w:t>
      </w:r>
      <w:r w:rsidRPr="00DA6D84">
        <w:rPr>
          <w:rFonts w:ascii="Foundry Form Sans" w:hAnsi="Foundry Form Sans" w:cs="Arial"/>
        </w:rPr>
        <w:t xml:space="preserve"> </w:t>
      </w:r>
      <w:r w:rsidR="001309AA">
        <w:rPr>
          <w:rFonts w:ascii="Foundry Form Sans" w:hAnsi="Foundry Form Sans" w:cs="Arial"/>
        </w:rPr>
        <w:t>formats</w:t>
      </w:r>
      <w:r w:rsidR="00370199">
        <w:rPr>
          <w:rFonts w:ascii="Foundry Form Sans" w:hAnsi="Foundry Form Sans" w:cs="Arial"/>
        </w:rPr>
        <w:t xml:space="preserve"> (</w:t>
      </w:r>
      <w:r w:rsidR="00DA5EC5">
        <w:rPr>
          <w:rFonts w:ascii="Foundry Form Sans" w:hAnsi="Foundry Form Sans" w:cs="Arial"/>
        </w:rPr>
        <w:t>e.g.,</w:t>
      </w:r>
      <w:r w:rsidR="00370199">
        <w:rPr>
          <w:rFonts w:ascii="Foundry Form Sans" w:hAnsi="Foundry Form Sans" w:cs="Arial"/>
        </w:rPr>
        <w:t xml:space="preserve"> for Power BI, Tableau, Stata, R or Python)</w:t>
      </w:r>
      <w:r w:rsidR="001309AA">
        <w:rPr>
          <w:rFonts w:ascii="Foundry Form Sans" w:hAnsi="Foundry Form Sans" w:cs="Arial"/>
        </w:rPr>
        <w:t xml:space="preserve"> </w:t>
      </w:r>
      <w:r w:rsidRPr="00DA6D84">
        <w:rPr>
          <w:rFonts w:ascii="Foundry Form Sans" w:hAnsi="Foundry Form Sans" w:cs="Arial"/>
        </w:rPr>
        <w:t>so that full benchmarking of London to level 5 can be performed against the rest of the UK and its regions</w:t>
      </w:r>
      <w:r w:rsidR="00A12BB4">
        <w:rPr>
          <w:rFonts w:ascii="Foundry Form Sans" w:hAnsi="Foundry Form Sans" w:cs="Arial"/>
        </w:rPr>
        <w:t xml:space="preserve">. This should help to </w:t>
      </w:r>
      <w:r w:rsidRPr="00DA6D84">
        <w:rPr>
          <w:rFonts w:ascii="Foundry Form Sans" w:hAnsi="Foundry Form Sans" w:cs="Arial"/>
        </w:rPr>
        <w:t>highlight reg</w:t>
      </w:r>
      <w:r>
        <w:rPr>
          <w:rFonts w:ascii="Foundry Form Sans" w:hAnsi="Foundry Form Sans" w:cs="Arial"/>
        </w:rPr>
        <w:t xml:space="preserve">ional strengths, weaknesses, </w:t>
      </w:r>
      <w:r w:rsidRPr="00DA6D84">
        <w:rPr>
          <w:rFonts w:ascii="Foundry Form Sans" w:hAnsi="Foundry Form Sans" w:cs="Arial"/>
        </w:rPr>
        <w:t>areas of comparat</w:t>
      </w:r>
      <w:r>
        <w:rPr>
          <w:rFonts w:ascii="Foundry Form Sans" w:hAnsi="Foundry Form Sans" w:cs="Arial"/>
        </w:rPr>
        <w:t xml:space="preserve">ive advantage and provide </w:t>
      </w:r>
      <w:r w:rsidR="00A12BB4">
        <w:rPr>
          <w:rFonts w:ascii="Foundry Form Sans" w:hAnsi="Foundry Form Sans" w:cs="Arial"/>
        </w:rPr>
        <w:t>clear insights into the make-up of sector supply chain across the UK. It should</w:t>
      </w:r>
      <w:r>
        <w:rPr>
          <w:rFonts w:ascii="Foundry Form Sans" w:hAnsi="Foundry Form Sans" w:cs="Arial"/>
        </w:rPr>
        <w:t xml:space="preserve"> identify</w:t>
      </w:r>
      <w:r w:rsidR="00125A1F">
        <w:rPr>
          <w:rFonts w:ascii="Foundry Form Sans" w:hAnsi="Foundry Form Sans" w:cs="Arial"/>
        </w:rPr>
        <w:t xml:space="preserve"> and develop</w:t>
      </w:r>
      <w:r>
        <w:rPr>
          <w:rFonts w:ascii="Foundry Form Sans" w:hAnsi="Foundry Form Sans" w:cs="Arial"/>
        </w:rPr>
        <w:t xml:space="preserve"> inter-</w:t>
      </w:r>
      <w:r w:rsidR="00125A1F">
        <w:rPr>
          <w:rFonts w:ascii="Foundry Form Sans" w:hAnsi="Foundry Form Sans" w:cs="Arial"/>
        </w:rPr>
        <w:t>city and inter-</w:t>
      </w:r>
      <w:r>
        <w:rPr>
          <w:rFonts w:ascii="Foundry Form Sans" w:hAnsi="Foundry Form Sans" w:cs="Arial"/>
        </w:rPr>
        <w:t xml:space="preserve">regional supply chain </w:t>
      </w:r>
      <w:r w:rsidR="00DA5EC5">
        <w:rPr>
          <w:rFonts w:ascii="Foundry Form Sans" w:hAnsi="Foundry Form Sans" w:cs="Arial"/>
        </w:rPr>
        <w:t>opportunities and</w:t>
      </w:r>
      <w:r w:rsidR="00510939">
        <w:rPr>
          <w:rFonts w:ascii="Foundry Form Sans" w:hAnsi="Foundry Form Sans" w:cs="Arial"/>
        </w:rPr>
        <w:t xml:space="preserve"> consider inter-regional trade</w:t>
      </w:r>
      <w:r w:rsidR="00A12BB4">
        <w:rPr>
          <w:rFonts w:ascii="Foundry Form Sans" w:hAnsi="Foundry Form Sans" w:cs="Arial"/>
        </w:rPr>
        <w:t xml:space="preserve"> </w:t>
      </w:r>
      <w:r w:rsidR="001309AA">
        <w:rPr>
          <w:rFonts w:ascii="Foundry Form Sans" w:hAnsi="Foundry Form Sans" w:cs="Arial"/>
        </w:rPr>
        <w:t>within important sub-sectors</w:t>
      </w:r>
      <w:r w:rsidR="00A12BB4">
        <w:rPr>
          <w:rFonts w:ascii="Foundry Form Sans" w:hAnsi="Foundry Form Sans" w:cs="Arial"/>
        </w:rPr>
        <w:t xml:space="preserve"> in London to highlight how activity in London supports economic activity across the UK</w:t>
      </w:r>
      <w:r>
        <w:rPr>
          <w:rFonts w:ascii="Foundry Form Sans" w:hAnsi="Foundry Form Sans" w:cs="Arial"/>
        </w:rPr>
        <w:t>.</w:t>
      </w:r>
      <w:r w:rsidR="0075633B">
        <w:rPr>
          <w:rFonts w:ascii="Foundry Form Sans" w:hAnsi="Foundry Form Sans" w:cs="Arial"/>
        </w:rPr>
        <w:t xml:space="preserve"> The deliverable should also include case studies to show value that London provides to other regions. </w:t>
      </w:r>
    </w:p>
    <w:p w14:paraId="00B7F1AF" w14:textId="77777777" w:rsidR="00E77516" w:rsidRDefault="00E77516" w:rsidP="00E77516">
      <w:pPr>
        <w:rPr>
          <w:rFonts w:ascii="Foundry Form Sans" w:hAnsi="Foundry Form Sans" w:cs="Arial"/>
          <w:b/>
          <w:szCs w:val="22"/>
        </w:rPr>
      </w:pPr>
    </w:p>
    <w:p w14:paraId="00B7F1B0" w14:textId="7C9433BB" w:rsidR="009E5276" w:rsidRDefault="009E5276" w:rsidP="00E77516">
      <w:pPr>
        <w:rPr>
          <w:rFonts w:ascii="Foundry Form Sans" w:hAnsi="Foundry Form Sans" w:cs="Arial"/>
          <w:b/>
          <w:szCs w:val="22"/>
        </w:rPr>
      </w:pPr>
      <w:r>
        <w:rPr>
          <w:rFonts w:ascii="Foundry Form Sans" w:hAnsi="Foundry Form Sans" w:cs="Arial"/>
          <w:b/>
          <w:szCs w:val="22"/>
        </w:rPr>
        <w:t xml:space="preserve">Work Package </w:t>
      </w:r>
      <w:r w:rsidR="00440935">
        <w:rPr>
          <w:rFonts w:ascii="Foundry Form Sans" w:hAnsi="Foundry Form Sans" w:cs="Arial"/>
          <w:b/>
          <w:szCs w:val="22"/>
        </w:rPr>
        <w:t>4</w:t>
      </w:r>
      <w:r>
        <w:rPr>
          <w:rFonts w:ascii="Foundry Form Sans" w:hAnsi="Foundry Form Sans" w:cs="Arial"/>
          <w:b/>
          <w:szCs w:val="22"/>
        </w:rPr>
        <w:t xml:space="preserve"> – Compilation of Reports</w:t>
      </w:r>
    </w:p>
    <w:p w14:paraId="00B7F1B1" w14:textId="77777777" w:rsidR="009E5276" w:rsidRDefault="009E5276" w:rsidP="00E77516">
      <w:pPr>
        <w:rPr>
          <w:rFonts w:ascii="Foundry Form Sans" w:hAnsi="Foundry Form Sans" w:cs="Arial"/>
          <w:b/>
          <w:szCs w:val="22"/>
        </w:rPr>
      </w:pPr>
    </w:p>
    <w:p w14:paraId="00B7F1B2" w14:textId="62327B9A" w:rsidR="009E5276" w:rsidRDefault="009E5276" w:rsidP="00E77516">
      <w:pPr>
        <w:rPr>
          <w:rFonts w:ascii="Foundry Form Sans" w:hAnsi="Foundry Form Sans" w:cs="Arial"/>
          <w:b/>
          <w:szCs w:val="22"/>
        </w:rPr>
      </w:pPr>
      <w:r>
        <w:rPr>
          <w:rFonts w:ascii="Foundry Form Sans" w:hAnsi="Foundry Form Sans" w:cs="Arial"/>
          <w:b/>
          <w:szCs w:val="22"/>
        </w:rPr>
        <w:t xml:space="preserve">Deliverable </w:t>
      </w:r>
      <w:r w:rsidR="00903765">
        <w:rPr>
          <w:rFonts w:ascii="Foundry Form Sans" w:hAnsi="Foundry Form Sans" w:cs="Arial"/>
          <w:b/>
          <w:szCs w:val="22"/>
        </w:rPr>
        <w:t>4</w:t>
      </w:r>
      <w:r w:rsidR="004E2580">
        <w:rPr>
          <w:rFonts w:ascii="Foundry Form Sans" w:hAnsi="Foundry Form Sans" w:cs="Arial"/>
          <w:b/>
          <w:szCs w:val="22"/>
        </w:rPr>
        <w:t>:</w:t>
      </w:r>
      <w:r w:rsidRPr="00B16394">
        <w:rPr>
          <w:rFonts w:ascii="Foundry Form Sans" w:hAnsi="Foundry Form Sans" w:cs="Arial"/>
          <w:szCs w:val="22"/>
        </w:rPr>
        <w:t xml:space="preserve"> Compilation and completion of reports presenting the methodologies and findings for each of the Work Packages</w:t>
      </w:r>
      <w:r w:rsidR="002D03D6" w:rsidRPr="002D03D6">
        <w:rPr>
          <w:rFonts w:ascii="Foundry Form Sans" w:hAnsi="Foundry Form Sans" w:cs="Arial"/>
          <w:szCs w:val="22"/>
        </w:rPr>
        <w:t>, to include up to t</w:t>
      </w:r>
      <w:r w:rsidR="007546E9">
        <w:rPr>
          <w:rFonts w:ascii="Foundry Form Sans" w:hAnsi="Foundry Form Sans" w:cs="Arial"/>
          <w:szCs w:val="22"/>
        </w:rPr>
        <w:t>h</w:t>
      </w:r>
      <w:r w:rsidR="002F08C7">
        <w:rPr>
          <w:rFonts w:ascii="Foundry Form Sans" w:hAnsi="Foundry Form Sans" w:cs="Arial"/>
          <w:szCs w:val="22"/>
        </w:rPr>
        <w:t>r</w:t>
      </w:r>
      <w:r w:rsidR="007546E9">
        <w:rPr>
          <w:rFonts w:ascii="Foundry Form Sans" w:hAnsi="Foundry Form Sans" w:cs="Arial"/>
          <w:szCs w:val="22"/>
        </w:rPr>
        <w:t>ee</w:t>
      </w:r>
      <w:r w:rsidR="002D03D6" w:rsidRPr="002D03D6">
        <w:rPr>
          <w:rFonts w:ascii="Foundry Form Sans" w:hAnsi="Foundry Form Sans" w:cs="Arial"/>
          <w:szCs w:val="22"/>
        </w:rPr>
        <w:t xml:space="preserve"> presentations</w:t>
      </w:r>
      <w:r w:rsidR="004E2580" w:rsidRPr="00B16394">
        <w:rPr>
          <w:rFonts w:ascii="Foundry Form Sans" w:hAnsi="Foundry Form Sans" w:cs="Arial"/>
          <w:szCs w:val="22"/>
        </w:rPr>
        <w:t>.</w:t>
      </w:r>
    </w:p>
    <w:p w14:paraId="00B7F1B3" w14:textId="77777777" w:rsidR="003C3156" w:rsidRDefault="003C3156" w:rsidP="00E77516">
      <w:pPr>
        <w:rPr>
          <w:rFonts w:ascii="Foundry Form Sans" w:hAnsi="Foundry Form Sans" w:cs="Arial"/>
          <w:b/>
          <w:szCs w:val="22"/>
        </w:rPr>
      </w:pPr>
    </w:p>
    <w:p w14:paraId="00B7F1B4" w14:textId="77777777" w:rsidR="00C71881" w:rsidRDefault="00C71881" w:rsidP="00E77516">
      <w:pPr>
        <w:rPr>
          <w:rFonts w:ascii="Foundry Form Sans" w:hAnsi="Foundry Form Sans" w:cs="Arial"/>
          <w:b/>
          <w:szCs w:val="22"/>
        </w:rPr>
      </w:pPr>
    </w:p>
    <w:p w14:paraId="00B7F1B5" w14:textId="6640C263" w:rsidR="007A7363" w:rsidRDefault="008E7D59" w:rsidP="00E77516">
      <w:pPr>
        <w:rPr>
          <w:rFonts w:ascii="Foundry Form Sans" w:hAnsi="Foundry Form Sans" w:cs="Arial"/>
          <w:b/>
          <w:szCs w:val="22"/>
        </w:rPr>
      </w:pPr>
      <w:r>
        <w:rPr>
          <w:rFonts w:ascii="Foundry Form Sans" w:hAnsi="Foundry Form Sans" w:cs="Arial"/>
          <w:b/>
          <w:szCs w:val="22"/>
        </w:rPr>
        <w:t xml:space="preserve">Table summarising </w:t>
      </w:r>
      <w:r w:rsidR="007A7363">
        <w:rPr>
          <w:rFonts w:ascii="Foundry Form Sans" w:hAnsi="Foundry Form Sans" w:cs="Arial"/>
          <w:b/>
          <w:szCs w:val="22"/>
        </w:rPr>
        <w:t>deliverables and timelines for completion</w:t>
      </w:r>
      <w:r w:rsidR="00624472">
        <w:rPr>
          <w:rFonts w:ascii="Foundry Form Sans" w:hAnsi="Foundry Form Sans" w:cs="Arial"/>
          <w:b/>
          <w:szCs w:val="22"/>
        </w:rPr>
        <w:t xml:space="preserve"> (to be </w:t>
      </w:r>
      <w:r w:rsidR="00922BED">
        <w:rPr>
          <w:rFonts w:ascii="Foundry Form Sans" w:hAnsi="Foundry Form Sans" w:cs="Arial"/>
          <w:b/>
          <w:szCs w:val="22"/>
        </w:rPr>
        <w:t xml:space="preserve">discussed and </w:t>
      </w:r>
      <w:r w:rsidR="00624472">
        <w:rPr>
          <w:rFonts w:ascii="Foundry Form Sans" w:hAnsi="Foundry Form Sans" w:cs="Arial"/>
          <w:b/>
          <w:szCs w:val="22"/>
        </w:rPr>
        <w:t>agreed with the provider)</w:t>
      </w:r>
      <w:r w:rsidR="007A7363">
        <w:rPr>
          <w:rFonts w:ascii="Foundry Form Sans" w:hAnsi="Foundry Form Sans" w:cs="Arial"/>
          <w:b/>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4871"/>
        <w:gridCol w:w="2702"/>
      </w:tblGrid>
      <w:tr w:rsidR="007A7363" w:rsidRPr="00060ABB" w14:paraId="00B7F1B9" w14:textId="77777777" w:rsidTr="00C83C86">
        <w:tc>
          <w:tcPr>
            <w:tcW w:w="723" w:type="dxa"/>
            <w:shd w:val="clear" w:color="auto" w:fill="auto"/>
          </w:tcPr>
          <w:p w14:paraId="00B7F1B6" w14:textId="77777777" w:rsidR="007A7363" w:rsidRPr="00060ABB" w:rsidRDefault="007A7363" w:rsidP="00E77516">
            <w:pPr>
              <w:rPr>
                <w:rFonts w:ascii="Foundry Form Sans" w:hAnsi="Foundry Form Sans" w:cs="Arial"/>
                <w:b/>
                <w:szCs w:val="22"/>
              </w:rPr>
            </w:pPr>
            <w:bookmarkStart w:id="6" w:name="_Hlk526518277"/>
          </w:p>
        </w:tc>
        <w:tc>
          <w:tcPr>
            <w:tcW w:w="4871" w:type="dxa"/>
            <w:shd w:val="clear" w:color="auto" w:fill="auto"/>
          </w:tcPr>
          <w:p w14:paraId="00B7F1B7" w14:textId="77777777" w:rsidR="007A7363" w:rsidRPr="00060ABB" w:rsidRDefault="007A7363" w:rsidP="00E77516">
            <w:pPr>
              <w:rPr>
                <w:rFonts w:ascii="Foundry Form Sans" w:hAnsi="Foundry Form Sans" w:cs="Arial"/>
                <w:b/>
                <w:szCs w:val="22"/>
              </w:rPr>
            </w:pPr>
            <w:r w:rsidRPr="00060ABB">
              <w:rPr>
                <w:rFonts w:ascii="Foundry Form Sans" w:hAnsi="Foundry Form Sans" w:cs="Arial"/>
                <w:b/>
                <w:szCs w:val="22"/>
              </w:rPr>
              <w:t>Deliverable</w:t>
            </w:r>
          </w:p>
        </w:tc>
        <w:tc>
          <w:tcPr>
            <w:tcW w:w="2702" w:type="dxa"/>
            <w:shd w:val="clear" w:color="auto" w:fill="auto"/>
          </w:tcPr>
          <w:p w14:paraId="00B7F1B8" w14:textId="59CAC5FB" w:rsidR="007A7363" w:rsidRPr="00060ABB" w:rsidRDefault="00DA5EC5" w:rsidP="00E77516">
            <w:pPr>
              <w:rPr>
                <w:rFonts w:ascii="Foundry Form Sans" w:hAnsi="Foundry Form Sans" w:cs="Arial"/>
                <w:b/>
                <w:szCs w:val="22"/>
              </w:rPr>
            </w:pPr>
            <w:r w:rsidRPr="00060ABB">
              <w:rPr>
                <w:rFonts w:ascii="Foundry Form Sans" w:hAnsi="Foundry Form Sans" w:cs="Arial"/>
                <w:b/>
                <w:szCs w:val="22"/>
              </w:rPr>
              <w:t>Timeline</w:t>
            </w:r>
            <w:r w:rsidR="007A7363" w:rsidRPr="00060ABB">
              <w:rPr>
                <w:rFonts w:ascii="Foundry Form Sans" w:hAnsi="Foundry Form Sans" w:cs="Arial"/>
                <w:b/>
                <w:szCs w:val="22"/>
              </w:rPr>
              <w:t xml:space="preserve"> / Due Date</w:t>
            </w:r>
          </w:p>
        </w:tc>
      </w:tr>
      <w:tr w:rsidR="0048745D" w:rsidRPr="00060ABB" w14:paraId="4941557D" w14:textId="77777777" w:rsidTr="00C83C86">
        <w:tc>
          <w:tcPr>
            <w:tcW w:w="723" w:type="dxa"/>
            <w:shd w:val="clear" w:color="auto" w:fill="auto"/>
          </w:tcPr>
          <w:p w14:paraId="18B71164" w14:textId="412B40BB" w:rsidR="0048745D" w:rsidRPr="00060ABB" w:rsidRDefault="0048745D" w:rsidP="00E77516">
            <w:pPr>
              <w:rPr>
                <w:rFonts w:ascii="Foundry Form Sans" w:hAnsi="Foundry Form Sans" w:cs="Arial"/>
                <w:b/>
                <w:szCs w:val="22"/>
              </w:rPr>
            </w:pPr>
            <w:r>
              <w:rPr>
                <w:rFonts w:ascii="Foundry Form Sans" w:hAnsi="Foundry Form Sans" w:cs="Arial"/>
                <w:b/>
                <w:szCs w:val="22"/>
              </w:rPr>
              <w:t>1</w:t>
            </w:r>
          </w:p>
        </w:tc>
        <w:tc>
          <w:tcPr>
            <w:tcW w:w="4871" w:type="dxa"/>
            <w:shd w:val="clear" w:color="auto" w:fill="auto"/>
          </w:tcPr>
          <w:p w14:paraId="4222F382" w14:textId="3D8A8652" w:rsidR="0048745D" w:rsidRPr="00B16394" w:rsidRDefault="00191BB4" w:rsidP="00E77516">
            <w:pPr>
              <w:rPr>
                <w:rFonts w:ascii="Foundry Form Sans" w:hAnsi="Foundry Form Sans" w:cs="Arial"/>
                <w:szCs w:val="22"/>
              </w:rPr>
            </w:pPr>
            <w:r>
              <w:rPr>
                <w:rFonts w:ascii="Foundry Form Sans" w:hAnsi="Foundry Form Sans" w:cs="Arial"/>
                <w:szCs w:val="22"/>
              </w:rPr>
              <w:t xml:space="preserve">Methodology </w:t>
            </w:r>
            <w:r w:rsidR="00DA5EC5">
              <w:rPr>
                <w:rFonts w:ascii="Foundry Form Sans" w:hAnsi="Foundry Form Sans" w:cs="Arial"/>
                <w:szCs w:val="22"/>
              </w:rPr>
              <w:t>notes</w:t>
            </w:r>
          </w:p>
        </w:tc>
        <w:tc>
          <w:tcPr>
            <w:tcW w:w="2702" w:type="dxa"/>
            <w:shd w:val="clear" w:color="auto" w:fill="auto"/>
          </w:tcPr>
          <w:p w14:paraId="51E49552" w14:textId="4A378B3D" w:rsidR="0048745D" w:rsidRPr="003127F5" w:rsidRDefault="003105BB" w:rsidP="00E77516">
            <w:pPr>
              <w:rPr>
                <w:rFonts w:ascii="Foundry Form Sans" w:hAnsi="Foundry Form Sans" w:cs="Arial"/>
                <w:szCs w:val="22"/>
              </w:rPr>
            </w:pPr>
            <w:r>
              <w:rPr>
                <w:rFonts w:ascii="Foundry Form Sans" w:hAnsi="Foundry Form Sans" w:cs="Arial"/>
                <w:szCs w:val="22"/>
              </w:rPr>
              <w:t xml:space="preserve">w/c </w:t>
            </w:r>
            <w:r w:rsidR="0026664B">
              <w:rPr>
                <w:rFonts w:ascii="Foundry Form Sans" w:hAnsi="Foundry Form Sans" w:cs="Arial"/>
                <w:szCs w:val="22"/>
              </w:rPr>
              <w:t>22</w:t>
            </w:r>
            <w:r w:rsidR="0026664B" w:rsidRPr="009B5D82">
              <w:rPr>
                <w:rFonts w:ascii="Foundry Form Sans" w:hAnsi="Foundry Form Sans" w:cs="Arial"/>
                <w:szCs w:val="22"/>
                <w:vertAlign w:val="superscript"/>
              </w:rPr>
              <w:t>nd</w:t>
            </w:r>
            <w:r w:rsidR="009B5D82">
              <w:rPr>
                <w:rFonts w:ascii="Foundry Form Sans" w:hAnsi="Foundry Form Sans" w:cs="Arial"/>
                <w:szCs w:val="22"/>
              </w:rPr>
              <w:t xml:space="preserve"> </w:t>
            </w:r>
            <w:r w:rsidR="007669C4">
              <w:rPr>
                <w:rFonts w:ascii="Foundry Form Sans" w:hAnsi="Foundry Form Sans" w:cs="Arial"/>
                <w:szCs w:val="22"/>
              </w:rPr>
              <w:t>July</w:t>
            </w:r>
            <w:r w:rsidR="00C00676">
              <w:rPr>
                <w:rFonts w:ascii="Foundry Form Sans" w:hAnsi="Foundry Form Sans" w:cs="Arial"/>
                <w:szCs w:val="22"/>
              </w:rPr>
              <w:t xml:space="preserve"> 2024</w:t>
            </w:r>
          </w:p>
        </w:tc>
      </w:tr>
      <w:tr w:rsidR="00343363" w:rsidRPr="00060ABB" w14:paraId="7589D55F" w14:textId="77777777" w:rsidTr="00C83C86">
        <w:tc>
          <w:tcPr>
            <w:tcW w:w="723" w:type="dxa"/>
            <w:shd w:val="clear" w:color="auto" w:fill="auto"/>
          </w:tcPr>
          <w:p w14:paraId="0E812331" w14:textId="68A67EC8" w:rsidR="00343363" w:rsidRDefault="00343363" w:rsidP="00343363">
            <w:pPr>
              <w:rPr>
                <w:rFonts w:ascii="Foundry Form Sans" w:hAnsi="Foundry Form Sans" w:cs="Arial"/>
                <w:b/>
                <w:szCs w:val="22"/>
              </w:rPr>
            </w:pPr>
            <w:r>
              <w:rPr>
                <w:rFonts w:ascii="Foundry Form Sans" w:hAnsi="Foundry Form Sans" w:cs="Arial"/>
                <w:b/>
                <w:szCs w:val="22"/>
              </w:rPr>
              <w:t>2e</w:t>
            </w:r>
          </w:p>
        </w:tc>
        <w:tc>
          <w:tcPr>
            <w:tcW w:w="4871" w:type="dxa"/>
            <w:shd w:val="clear" w:color="auto" w:fill="auto"/>
          </w:tcPr>
          <w:p w14:paraId="0B2FCAAC" w14:textId="565AA7A1" w:rsidR="00343363" w:rsidRDefault="00343363" w:rsidP="00343363">
            <w:pPr>
              <w:rPr>
                <w:rFonts w:ascii="Foundry Form Sans" w:hAnsi="Foundry Form Sans" w:cs="Arial"/>
                <w:szCs w:val="22"/>
              </w:rPr>
            </w:pPr>
            <w:r>
              <w:rPr>
                <w:rFonts w:ascii="Foundry Form Sans" w:hAnsi="Foundry Form Sans" w:cs="Arial"/>
                <w:szCs w:val="22"/>
              </w:rPr>
              <w:t>Identification of any potential additional sectors</w:t>
            </w:r>
          </w:p>
        </w:tc>
        <w:tc>
          <w:tcPr>
            <w:tcW w:w="2702" w:type="dxa"/>
            <w:shd w:val="clear" w:color="auto" w:fill="auto"/>
          </w:tcPr>
          <w:p w14:paraId="437EE0FB" w14:textId="6EDDB7AF" w:rsidR="00343363" w:rsidRDefault="00343363" w:rsidP="00343363">
            <w:pPr>
              <w:rPr>
                <w:rFonts w:ascii="Foundry Form Sans" w:hAnsi="Foundry Form Sans" w:cs="Arial"/>
                <w:szCs w:val="22"/>
              </w:rPr>
            </w:pPr>
            <w:r>
              <w:rPr>
                <w:rFonts w:ascii="Foundry Form Sans" w:hAnsi="Foundry Form Sans" w:cs="Arial"/>
                <w:szCs w:val="22"/>
              </w:rPr>
              <w:t>w/c 22</w:t>
            </w:r>
            <w:r w:rsidRPr="00906678">
              <w:rPr>
                <w:rFonts w:ascii="Foundry Form Sans" w:hAnsi="Foundry Form Sans" w:cs="Arial"/>
                <w:szCs w:val="22"/>
                <w:vertAlign w:val="superscript"/>
              </w:rPr>
              <w:t>nd</w:t>
            </w:r>
            <w:r>
              <w:rPr>
                <w:rFonts w:ascii="Foundry Form Sans" w:hAnsi="Foundry Form Sans" w:cs="Arial"/>
                <w:szCs w:val="22"/>
              </w:rPr>
              <w:t xml:space="preserve"> July 2024</w:t>
            </w:r>
          </w:p>
        </w:tc>
      </w:tr>
      <w:tr w:rsidR="00343363" w:rsidRPr="00060ABB" w14:paraId="00B7F1BD" w14:textId="77777777" w:rsidTr="00C83C86">
        <w:tc>
          <w:tcPr>
            <w:tcW w:w="723" w:type="dxa"/>
            <w:shd w:val="clear" w:color="auto" w:fill="auto"/>
          </w:tcPr>
          <w:p w14:paraId="00B7F1BA" w14:textId="0DC60908" w:rsidR="00343363" w:rsidRPr="00060ABB" w:rsidRDefault="00343363" w:rsidP="00343363">
            <w:pPr>
              <w:rPr>
                <w:rFonts w:ascii="Foundry Form Sans" w:hAnsi="Foundry Form Sans" w:cs="Arial"/>
                <w:b/>
                <w:szCs w:val="22"/>
              </w:rPr>
            </w:pPr>
            <w:bookmarkStart w:id="7" w:name="_Hlk66140697"/>
            <w:bookmarkStart w:id="8" w:name="_Hlk151455765"/>
            <w:r>
              <w:rPr>
                <w:rFonts w:ascii="Foundry Form Sans" w:hAnsi="Foundry Form Sans" w:cs="Arial"/>
                <w:b/>
                <w:szCs w:val="22"/>
              </w:rPr>
              <w:t>2</w:t>
            </w:r>
            <w:r w:rsidRPr="00060ABB">
              <w:rPr>
                <w:rFonts w:ascii="Foundry Form Sans" w:hAnsi="Foundry Form Sans" w:cs="Arial"/>
                <w:b/>
                <w:szCs w:val="22"/>
              </w:rPr>
              <w:t>a</w:t>
            </w:r>
            <w:r>
              <w:rPr>
                <w:rFonts w:ascii="Foundry Form Sans" w:hAnsi="Foundry Form Sans" w:cs="Arial"/>
                <w:b/>
                <w:szCs w:val="22"/>
              </w:rPr>
              <w:t>i</w:t>
            </w:r>
          </w:p>
        </w:tc>
        <w:tc>
          <w:tcPr>
            <w:tcW w:w="4871" w:type="dxa"/>
            <w:shd w:val="clear" w:color="auto" w:fill="auto"/>
          </w:tcPr>
          <w:p w14:paraId="00B7F1BB" w14:textId="0C595011" w:rsidR="00343363" w:rsidRPr="00B16394" w:rsidRDefault="00343363" w:rsidP="00343363">
            <w:pPr>
              <w:rPr>
                <w:rFonts w:ascii="Foundry Form Sans" w:hAnsi="Foundry Form Sans" w:cs="Arial"/>
                <w:szCs w:val="22"/>
              </w:rPr>
            </w:pPr>
            <w:r w:rsidRPr="00B16394">
              <w:rPr>
                <w:rFonts w:ascii="Foundry Form Sans" w:hAnsi="Foundry Form Sans" w:cs="Arial"/>
                <w:szCs w:val="22"/>
              </w:rPr>
              <w:t xml:space="preserve">Updated London datasets </w:t>
            </w:r>
            <w:r>
              <w:rPr>
                <w:rFonts w:ascii="Foundry Form Sans" w:hAnsi="Foundry Form Sans" w:cs="Arial"/>
                <w:szCs w:val="22"/>
              </w:rPr>
              <w:t>– 2023/24</w:t>
            </w:r>
          </w:p>
        </w:tc>
        <w:tc>
          <w:tcPr>
            <w:tcW w:w="2702" w:type="dxa"/>
            <w:shd w:val="clear" w:color="auto" w:fill="auto"/>
          </w:tcPr>
          <w:p w14:paraId="00B7F1BC" w14:textId="6B0AF5F5" w:rsidR="00343363" w:rsidRPr="00B16394" w:rsidRDefault="00343363" w:rsidP="00343363">
            <w:pPr>
              <w:rPr>
                <w:rFonts w:ascii="Foundry Form Sans" w:hAnsi="Foundry Form Sans" w:cs="Arial"/>
                <w:szCs w:val="22"/>
              </w:rPr>
            </w:pPr>
            <w:r>
              <w:rPr>
                <w:rFonts w:ascii="Foundry Form Sans" w:hAnsi="Foundry Form Sans" w:cs="Arial"/>
                <w:szCs w:val="22"/>
              </w:rPr>
              <w:t>30</w:t>
            </w:r>
            <w:r w:rsidRPr="009D49A6">
              <w:rPr>
                <w:rFonts w:ascii="Foundry Form Sans" w:hAnsi="Foundry Form Sans" w:cs="Arial"/>
                <w:szCs w:val="22"/>
                <w:vertAlign w:val="superscript"/>
              </w:rPr>
              <w:t>th</w:t>
            </w:r>
            <w:r>
              <w:rPr>
                <w:rFonts w:ascii="Foundry Form Sans" w:hAnsi="Foundry Form Sans" w:cs="Arial"/>
                <w:szCs w:val="22"/>
              </w:rPr>
              <w:t xml:space="preserve"> October 2024 </w:t>
            </w:r>
          </w:p>
        </w:tc>
      </w:tr>
      <w:bookmarkEnd w:id="7"/>
      <w:tr w:rsidR="00343363" w:rsidRPr="00060ABB" w14:paraId="00B7F1C9" w14:textId="77777777" w:rsidTr="00C83C86">
        <w:tc>
          <w:tcPr>
            <w:tcW w:w="723" w:type="dxa"/>
            <w:shd w:val="clear" w:color="auto" w:fill="auto"/>
          </w:tcPr>
          <w:p w14:paraId="00B7F1C6" w14:textId="4072E554" w:rsidR="00343363" w:rsidRPr="00060ABB" w:rsidRDefault="00343363" w:rsidP="00343363">
            <w:pPr>
              <w:rPr>
                <w:rFonts w:ascii="Foundry Form Sans" w:hAnsi="Foundry Form Sans" w:cs="Arial"/>
                <w:b/>
                <w:szCs w:val="22"/>
              </w:rPr>
            </w:pPr>
            <w:r>
              <w:rPr>
                <w:rFonts w:ascii="Foundry Form Sans" w:hAnsi="Foundry Form Sans" w:cs="Arial"/>
                <w:b/>
                <w:szCs w:val="22"/>
              </w:rPr>
              <w:t>2</w:t>
            </w:r>
            <w:r w:rsidRPr="00060ABB">
              <w:rPr>
                <w:rFonts w:ascii="Foundry Form Sans" w:hAnsi="Foundry Form Sans" w:cs="Arial"/>
                <w:b/>
                <w:szCs w:val="22"/>
              </w:rPr>
              <w:t>b</w:t>
            </w:r>
          </w:p>
        </w:tc>
        <w:tc>
          <w:tcPr>
            <w:tcW w:w="4871" w:type="dxa"/>
            <w:shd w:val="clear" w:color="auto" w:fill="auto"/>
          </w:tcPr>
          <w:p w14:paraId="00B7F1C7" w14:textId="77777777" w:rsidR="00343363" w:rsidRPr="00B16394" w:rsidRDefault="00343363" w:rsidP="00343363">
            <w:pPr>
              <w:rPr>
                <w:rFonts w:ascii="Foundry Form Sans" w:hAnsi="Foundry Form Sans" w:cs="Arial"/>
                <w:szCs w:val="22"/>
              </w:rPr>
            </w:pPr>
            <w:r w:rsidRPr="00B16394">
              <w:rPr>
                <w:rFonts w:ascii="Foundry Form Sans" w:hAnsi="Foundry Form Sans" w:cs="Arial"/>
                <w:szCs w:val="22"/>
              </w:rPr>
              <w:t>Growth forecasts and opportunities</w:t>
            </w:r>
          </w:p>
        </w:tc>
        <w:tc>
          <w:tcPr>
            <w:tcW w:w="2702" w:type="dxa"/>
            <w:shd w:val="clear" w:color="auto" w:fill="auto"/>
          </w:tcPr>
          <w:p w14:paraId="00B7F1C8" w14:textId="08AC2DD0" w:rsidR="00343363" w:rsidRPr="00B16394" w:rsidRDefault="00343363" w:rsidP="00343363">
            <w:pPr>
              <w:rPr>
                <w:rFonts w:ascii="Foundry Form Sans" w:hAnsi="Foundry Form Sans" w:cs="Arial"/>
                <w:szCs w:val="22"/>
              </w:rPr>
            </w:pPr>
            <w:r>
              <w:rPr>
                <w:rFonts w:ascii="Foundry Form Sans" w:hAnsi="Foundry Form Sans" w:cs="Arial"/>
                <w:szCs w:val="22"/>
              </w:rPr>
              <w:t>30</w:t>
            </w:r>
            <w:r w:rsidRPr="000378BE">
              <w:rPr>
                <w:rFonts w:ascii="Foundry Form Sans" w:hAnsi="Foundry Form Sans" w:cs="Arial"/>
                <w:szCs w:val="22"/>
                <w:vertAlign w:val="superscript"/>
              </w:rPr>
              <w:t>th</w:t>
            </w:r>
            <w:r>
              <w:rPr>
                <w:rFonts w:ascii="Foundry Form Sans" w:hAnsi="Foundry Form Sans" w:cs="Arial"/>
                <w:szCs w:val="22"/>
              </w:rPr>
              <w:t xml:space="preserve"> October 2024</w:t>
            </w:r>
          </w:p>
        </w:tc>
      </w:tr>
      <w:bookmarkEnd w:id="8"/>
      <w:tr w:rsidR="00343363" w:rsidRPr="00060ABB" w14:paraId="00B7F1CD" w14:textId="77777777" w:rsidTr="00C83C86">
        <w:tc>
          <w:tcPr>
            <w:tcW w:w="723" w:type="dxa"/>
            <w:shd w:val="clear" w:color="auto" w:fill="auto"/>
          </w:tcPr>
          <w:p w14:paraId="00B7F1CA" w14:textId="707C60FA" w:rsidR="00343363" w:rsidRPr="00060ABB" w:rsidRDefault="00343363" w:rsidP="00343363">
            <w:pPr>
              <w:rPr>
                <w:rFonts w:ascii="Foundry Form Sans" w:hAnsi="Foundry Form Sans" w:cs="Arial"/>
                <w:b/>
                <w:szCs w:val="22"/>
              </w:rPr>
            </w:pPr>
            <w:r>
              <w:rPr>
                <w:rFonts w:ascii="Foundry Form Sans" w:hAnsi="Foundry Form Sans" w:cs="Arial"/>
                <w:b/>
                <w:szCs w:val="22"/>
              </w:rPr>
              <w:t>2</w:t>
            </w:r>
            <w:r w:rsidRPr="00060ABB">
              <w:rPr>
                <w:rFonts w:ascii="Foundry Form Sans" w:hAnsi="Foundry Form Sans" w:cs="Arial"/>
                <w:b/>
                <w:szCs w:val="22"/>
              </w:rPr>
              <w:t>c</w:t>
            </w:r>
          </w:p>
        </w:tc>
        <w:tc>
          <w:tcPr>
            <w:tcW w:w="4871" w:type="dxa"/>
            <w:shd w:val="clear" w:color="auto" w:fill="auto"/>
          </w:tcPr>
          <w:p w14:paraId="00B7F1CB" w14:textId="77777777" w:rsidR="00343363" w:rsidRPr="00B16394" w:rsidRDefault="00343363" w:rsidP="00343363">
            <w:pPr>
              <w:rPr>
                <w:rFonts w:ascii="Foundry Form Sans" w:hAnsi="Foundry Form Sans" w:cs="Arial"/>
                <w:szCs w:val="22"/>
              </w:rPr>
            </w:pPr>
            <w:r w:rsidRPr="00B16394">
              <w:rPr>
                <w:rFonts w:ascii="Foundry Form Sans" w:hAnsi="Foundry Form Sans" w:cs="Arial"/>
                <w:szCs w:val="22"/>
              </w:rPr>
              <w:t xml:space="preserve">Analysis of sub-sectors and supply chains </w:t>
            </w:r>
          </w:p>
        </w:tc>
        <w:tc>
          <w:tcPr>
            <w:tcW w:w="2702" w:type="dxa"/>
            <w:shd w:val="clear" w:color="auto" w:fill="auto"/>
          </w:tcPr>
          <w:p w14:paraId="00B7F1CC" w14:textId="250D03AF" w:rsidR="00343363" w:rsidRPr="00B16394" w:rsidRDefault="00343363" w:rsidP="00343363">
            <w:pPr>
              <w:rPr>
                <w:rFonts w:ascii="Foundry Form Sans" w:hAnsi="Foundry Form Sans" w:cs="Arial"/>
                <w:szCs w:val="22"/>
              </w:rPr>
            </w:pPr>
            <w:r>
              <w:rPr>
                <w:rFonts w:ascii="Foundry Form Sans" w:hAnsi="Foundry Form Sans" w:cs="Arial"/>
                <w:szCs w:val="22"/>
              </w:rPr>
              <w:t>30</w:t>
            </w:r>
            <w:r w:rsidRPr="002B4F48">
              <w:rPr>
                <w:rFonts w:ascii="Foundry Form Sans" w:hAnsi="Foundry Form Sans" w:cs="Arial"/>
                <w:szCs w:val="22"/>
                <w:vertAlign w:val="superscript"/>
              </w:rPr>
              <w:t>th</w:t>
            </w:r>
            <w:r>
              <w:rPr>
                <w:rFonts w:ascii="Foundry Form Sans" w:hAnsi="Foundry Form Sans" w:cs="Arial"/>
                <w:szCs w:val="22"/>
              </w:rPr>
              <w:t xml:space="preserve"> October 2024</w:t>
            </w:r>
          </w:p>
        </w:tc>
      </w:tr>
      <w:tr w:rsidR="00343363" w:rsidRPr="00060ABB" w14:paraId="00B7F1D1" w14:textId="77777777" w:rsidTr="00C83C86">
        <w:tc>
          <w:tcPr>
            <w:tcW w:w="723" w:type="dxa"/>
            <w:shd w:val="clear" w:color="auto" w:fill="auto"/>
          </w:tcPr>
          <w:p w14:paraId="00B7F1CE" w14:textId="441598A5" w:rsidR="00343363" w:rsidRPr="00060ABB" w:rsidRDefault="00343363" w:rsidP="00343363">
            <w:pPr>
              <w:rPr>
                <w:rFonts w:ascii="Foundry Form Sans" w:hAnsi="Foundry Form Sans" w:cs="Arial"/>
                <w:b/>
                <w:szCs w:val="22"/>
              </w:rPr>
            </w:pPr>
            <w:r>
              <w:rPr>
                <w:rFonts w:ascii="Foundry Form Sans" w:hAnsi="Foundry Form Sans" w:cs="Arial"/>
                <w:b/>
                <w:szCs w:val="22"/>
              </w:rPr>
              <w:t>2</w:t>
            </w:r>
            <w:r w:rsidRPr="00060ABB">
              <w:rPr>
                <w:rFonts w:ascii="Foundry Form Sans" w:hAnsi="Foundry Form Sans" w:cs="Arial"/>
                <w:b/>
                <w:szCs w:val="22"/>
              </w:rPr>
              <w:t>d</w:t>
            </w:r>
            <w:r>
              <w:rPr>
                <w:rFonts w:ascii="Foundry Form Sans" w:hAnsi="Foundry Form Sans" w:cs="Arial"/>
                <w:b/>
                <w:szCs w:val="22"/>
              </w:rPr>
              <w:t xml:space="preserve"> </w:t>
            </w:r>
          </w:p>
        </w:tc>
        <w:tc>
          <w:tcPr>
            <w:tcW w:w="4871" w:type="dxa"/>
            <w:shd w:val="clear" w:color="auto" w:fill="auto"/>
          </w:tcPr>
          <w:p w14:paraId="00B7F1CF" w14:textId="1A96BDA2" w:rsidR="00343363" w:rsidRPr="00B16394" w:rsidRDefault="00343363" w:rsidP="00343363">
            <w:pPr>
              <w:rPr>
                <w:rFonts w:ascii="Foundry Form Sans" w:hAnsi="Foundry Form Sans" w:cs="Arial"/>
                <w:szCs w:val="22"/>
              </w:rPr>
            </w:pPr>
            <w:r w:rsidRPr="004A1990">
              <w:rPr>
                <w:rFonts w:ascii="Foundry Form Sans" w:hAnsi="Foundry Form Sans" w:cs="Arial"/>
                <w:szCs w:val="22"/>
              </w:rPr>
              <w:t xml:space="preserve">Proposed </w:t>
            </w:r>
            <w:r>
              <w:rPr>
                <w:rFonts w:ascii="Foundry Form Sans" w:hAnsi="Foundry Form Sans" w:cs="Arial"/>
                <w:szCs w:val="22"/>
              </w:rPr>
              <w:t xml:space="preserve">support </w:t>
            </w:r>
            <w:r w:rsidRPr="00B16394">
              <w:rPr>
                <w:rFonts w:ascii="Foundry Form Sans" w:hAnsi="Foundry Form Sans" w:cs="Arial"/>
                <w:szCs w:val="22"/>
              </w:rPr>
              <w:t>programmes and</w:t>
            </w:r>
            <w:r>
              <w:rPr>
                <w:rFonts w:ascii="Foundry Form Sans" w:hAnsi="Foundry Form Sans" w:cs="Arial"/>
                <w:szCs w:val="22"/>
              </w:rPr>
              <w:t xml:space="preserve"> supply chain analysis to support green economy in London</w:t>
            </w:r>
          </w:p>
        </w:tc>
        <w:tc>
          <w:tcPr>
            <w:tcW w:w="2702" w:type="dxa"/>
            <w:shd w:val="clear" w:color="auto" w:fill="auto"/>
          </w:tcPr>
          <w:p w14:paraId="00B7F1D0" w14:textId="134D9E9C" w:rsidR="00343363" w:rsidRPr="00B16394" w:rsidRDefault="00343363" w:rsidP="00343363">
            <w:pPr>
              <w:rPr>
                <w:rFonts w:ascii="Foundry Form Sans" w:hAnsi="Foundry Form Sans" w:cs="Arial"/>
                <w:szCs w:val="22"/>
              </w:rPr>
            </w:pPr>
            <w:r>
              <w:rPr>
                <w:rFonts w:ascii="Foundry Form Sans" w:hAnsi="Foundry Form Sans" w:cs="Arial"/>
                <w:szCs w:val="22"/>
              </w:rPr>
              <w:t>30</w:t>
            </w:r>
            <w:r w:rsidRPr="002B4F48">
              <w:rPr>
                <w:rFonts w:ascii="Foundry Form Sans" w:hAnsi="Foundry Form Sans" w:cs="Arial"/>
                <w:szCs w:val="22"/>
                <w:vertAlign w:val="superscript"/>
              </w:rPr>
              <w:t>th</w:t>
            </w:r>
            <w:r>
              <w:rPr>
                <w:rFonts w:ascii="Foundry Form Sans" w:hAnsi="Foundry Form Sans" w:cs="Arial"/>
                <w:szCs w:val="22"/>
              </w:rPr>
              <w:t xml:space="preserve"> October 2024</w:t>
            </w:r>
          </w:p>
        </w:tc>
      </w:tr>
      <w:tr w:rsidR="00343363" w:rsidRPr="00060ABB" w14:paraId="00B7F1DD" w14:textId="77777777" w:rsidTr="00C83C86">
        <w:tc>
          <w:tcPr>
            <w:tcW w:w="723" w:type="dxa"/>
            <w:shd w:val="clear" w:color="auto" w:fill="auto"/>
          </w:tcPr>
          <w:p w14:paraId="00B7F1DA" w14:textId="07EEF3E6" w:rsidR="00343363" w:rsidRPr="00060ABB" w:rsidRDefault="00343363" w:rsidP="00343363">
            <w:pPr>
              <w:rPr>
                <w:rFonts w:ascii="Foundry Form Sans" w:hAnsi="Foundry Form Sans" w:cs="Arial"/>
                <w:b/>
                <w:szCs w:val="22"/>
              </w:rPr>
            </w:pPr>
            <w:r>
              <w:rPr>
                <w:rFonts w:ascii="Foundry Form Sans" w:hAnsi="Foundry Form Sans" w:cs="Arial"/>
                <w:b/>
                <w:szCs w:val="22"/>
              </w:rPr>
              <w:t>3i</w:t>
            </w:r>
          </w:p>
        </w:tc>
        <w:tc>
          <w:tcPr>
            <w:tcW w:w="4871" w:type="dxa"/>
            <w:shd w:val="clear" w:color="auto" w:fill="auto"/>
          </w:tcPr>
          <w:p w14:paraId="00B7F1DB" w14:textId="77777777" w:rsidR="00343363" w:rsidRPr="00B16394" w:rsidRDefault="00343363" w:rsidP="00343363">
            <w:pPr>
              <w:rPr>
                <w:rFonts w:ascii="Foundry Form Sans" w:hAnsi="Foundry Form Sans" w:cs="Arial"/>
                <w:szCs w:val="22"/>
              </w:rPr>
            </w:pPr>
            <w:r w:rsidRPr="00B16394">
              <w:rPr>
                <w:rFonts w:ascii="Foundry Form Sans" w:hAnsi="Foundry Form Sans" w:cs="Arial"/>
                <w:szCs w:val="22"/>
              </w:rPr>
              <w:t xml:space="preserve">Comparisons with </w:t>
            </w:r>
            <w:r>
              <w:rPr>
                <w:rFonts w:ascii="Foundry Form Sans" w:hAnsi="Foundry Form Sans" w:cs="Arial"/>
                <w:szCs w:val="22"/>
              </w:rPr>
              <w:t>other sectors from London’s economy also quantified using kMatrix methodology</w:t>
            </w:r>
          </w:p>
        </w:tc>
        <w:tc>
          <w:tcPr>
            <w:tcW w:w="2702" w:type="dxa"/>
            <w:shd w:val="clear" w:color="auto" w:fill="auto"/>
          </w:tcPr>
          <w:p w14:paraId="00B7F1DC" w14:textId="2EB98042" w:rsidR="00343363" w:rsidRPr="00B16394" w:rsidRDefault="00343363" w:rsidP="00343363">
            <w:pPr>
              <w:rPr>
                <w:rFonts w:ascii="Foundry Form Sans" w:hAnsi="Foundry Form Sans" w:cs="Arial"/>
                <w:szCs w:val="22"/>
              </w:rPr>
            </w:pPr>
            <w:r>
              <w:rPr>
                <w:rFonts w:ascii="Foundry Form Sans" w:hAnsi="Foundry Form Sans" w:cs="Arial"/>
                <w:szCs w:val="22"/>
              </w:rPr>
              <w:t>30</w:t>
            </w:r>
            <w:r w:rsidRPr="002B4F48">
              <w:rPr>
                <w:rFonts w:ascii="Foundry Form Sans" w:hAnsi="Foundry Form Sans" w:cs="Arial"/>
                <w:szCs w:val="22"/>
                <w:vertAlign w:val="superscript"/>
              </w:rPr>
              <w:t>th</w:t>
            </w:r>
            <w:r>
              <w:rPr>
                <w:rFonts w:ascii="Foundry Form Sans" w:hAnsi="Foundry Form Sans" w:cs="Arial"/>
                <w:szCs w:val="22"/>
              </w:rPr>
              <w:t xml:space="preserve"> October 2024</w:t>
            </w:r>
          </w:p>
        </w:tc>
      </w:tr>
      <w:tr w:rsidR="00343363" w:rsidRPr="00060ABB" w14:paraId="00B7F1E5" w14:textId="77777777" w:rsidTr="00C83C86">
        <w:tc>
          <w:tcPr>
            <w:tcW w:w="723" w:type="dxa"/>
            <w:shd w:val="clear" w:color="auto" w:fill="auto"/>
          </w:tcPr>
          <w:p w14:paraId="00B7F1E2" w14:textId="75D9EDE9" w:rsidR="00343363" w:rsidRPr="00060ABB" w:rsidRDefault="00343363" w:rsidP="00343363">
            <w:pPr>
              <w:rPr>
                <w:rFonts w:ascii="Foundry Form Sans" w:hAnsi="Foundry Form Sans" w:cs="Arial"/>
                <w:b/>
                <w:szCs w:val="22"/>
              </w:rPr>
            </w:pPr>
            <w:r>
              <w:rPr>
                <w:rFonts w:ascii="Foundry Form Sans" w:hAnsi="Foundry Form Sans" w:cs="Arial"/>
                <w:b/>
                <w:szCs w:val="22"/>
              </w:rPr>
              <w:t>3ii</w:t>
            </w:r>
          </w:p>
        </w:tc>
        <w:tc>
          <w:tcPr>
            <w:tcW w:w="4871" w:type="dxa"/>
            <w:shd w:val="clear" w:color="auto" w:fill="auto"/>
          </w:tcPr>
          <w:p w14:paraId="00B7F1E3" w14:textId="77777777" w:rsidR="00343363" w:rsidRPr="00B16394" w:rsidRDefault="00343363" w:rsidP="00343363">
            <w:pPr>
              <w:rPr>
                <w:rFonts w:ascii="Foundry Form Sans" w:hAnsi="Foundry Form Sans" w:cs="Arial"/>
                <w:szCs w:val="22"/>
              </w:rPr>
            </w:pPr>
            <w:r>
              <w:rPr>
                <w:rFonts w:ascii="Foundry Form Sans" w:hAnsi="Foundry Form Sans" w:cs="Arial"/>
                <w:szCs w:val="22"/>
              </w:rPr>
              <w:t>National and Regional mapping to identify supply chain opportunities</w:t>
            </w:r>
          </w:p>
        </w:tc>
        <w:tc>
          <w:tcPr>
            <w:tcW w:w="2702" w:type="dxa"/>
            <w:shd w:val="clear" w:color="auto" w:fill="auto"/>
          </w:tcPr>
          <w:p w14:paraId="00B7F1E4" w14:textId="2F564C75" w:rsidR="00343363" w:rsidRPr="00B16394" w:rsidRDefault="00343363" w:rsidP="00343363">
            <w:pPr>
              <w:rPr>
                <w:rFonts w:ascii="Foundry Form Sans" w:hAnsi="Foundry Form Sans" w:cs="Arial"/>
                <w:szCs w:val="22"/>
              </w:rPr>
            </w:pPr>
            <w:r>
              <w:rPr>
                <w:rFonts w:ascii="Foundry Form Sans" w:hAnsi="Foundry Form Sans" w:cs="Arial"/>
                <w:szCs w:val="22"/>
              </w:rPr>
              <w:t>30</w:t>
            </w:r>
            <w:r w:rsidRPr="002B4F48">
              <w:rPr>
                <w:rFonts w:ascii="Foundry Form Sans" w:hAnsi="Foundry Form Sans" w:cs="Arial"/>
                <w:szCs w:val="22"/>
                <w:vertAlign w:val="superscript"/>
              </w:rPr>
              <w:t>th</w:t>
            </w:r>
            <w:r>
              <w:rPr>
                <w:rFonts w:ascii="Foundry Form Sans" w:hAnsi="Foundry Form Sans" w:cs="Arial"/>
                <w:szCs w:val="22"/>
              </w:rPr>
              <w:t xml:space="preserve"> October 2024</w:t>
            </w:r>
          </w:p>
        </w:tc>
      </w:tr>
      <w:tr w:rsidR="00343363" w:rsidRPr="00060ABB" w14:paraId="00B7F1E9" w14:textId="77777777" w:rsidTr="00C83C86">
        <w:tc>
          <w:tcPr>
            <w:tcW w:w="723" w:type="dxa"/>
            <w:shd w:val="clear" w:color="auto" w:fill="auto"/>
          </w:tcPr>
          <w:p w14:paraId="00B7F1E6" w14:textId="3787BD88" w:rsidR="00343363" w:rsidRPr="00060ABB" w:rsidRDefault="00343363" w:rsidP="00343363">
            <w:pPr>
              <w:rPr>
                <w:rFonts w:ascii="Foundry Form Sans" w:hAnsi="Foundry Form Sans" w:cs="Arial"/>
                <w:b/>
                <w:szCs w:val="22"/>
              </w:rPr>
            </w:pPr>
            <w:r>
              <w:rPr>
                <w:rFonts w:ascii="Foundry Form Sans" w:hAnsi="Foundry Form Sans" w:cs="Arial"/>
                <w:b/>
                <w:szCs w:val="22"/>
              </w:rPr>
              <w:t>4</w:t>
            </w:r>
          </w:p>
        </w:tc>
        <w:tc>
          <w:tcPr>
            <w:tcW w:w="4871" w:type="dxa"/>
            <w:shd w:val="clear" w:color="auto" w:fill="auto"/>
          </w:tcPr>
          <w:p w14:paraId="00B7F1E7" w14:textId="77777777" w:rsidR="00343363" w:rsidRDefault="00343363" w:rsidP="00343363">
            <w:pPr>
              <w:rPr>
                <w:rFonts w:ascii="Foundry Form Sans" w:hAnsi="Foundry Form Sans" w:cs="Arial"/>
                <w:szCs w:val="22"/>
              </w:rPr>
            </w:pPr>
            <w:r>
              <w:rPr>
                <w:rFonts w:ascii="Foundry Form Sans" w:hAnsi="Foundry Form Sans" w:cs="Arial"/>
                <w:szCs w:val="22"/>
              </w:rPr>
              <w:t>Finalisation of Reports</w:t>
            </w:r>
          </w:p>
        </w:tc>
        <w:tc>
          <w:tcPr>
            <w:tcW w:w="2702" w:type="dxa"/>
            <w:shd w:val="clear" w:color="auto" w:fill="auto"/>
          </w:tcPr>
          <w:p w14:paraId="00B7F1E8" w14:textId="677EDBB8" w:rsidR="00343363" w:rsidRPr="001309AA" w:rsidRDefault="00343363" w:rsidP="00343363">
            <w:pPr>
              <w:rPr>
                <w:rFonts w:ascii="Foundry Form Sans" w:hAnsi="Foundry Form Sans" w:cs="Arial"/>
                <w:szCs w:val="22"/>
              </w:rPr>
            </w:pPr>
            <w:r>
              <w:rPr>
                <w:rFonts w:ascii="Foundry Form Sans" w:hAnsi="Foundry Form Sans" w:cs="Arial"/>
                <w:szCs w:val="22"/>
              </w:rPr>
              <w:t>15</w:t>
            </w:r>
            <w:r w:rsidRPr="000378BE">
              <w:rPr>
                <w:rFonts w:ascii="Foundry Form Sans" w:hAnsi="Foundry Form Sans" w:cs="Arial"/>
                <w:szCs w:val="22"/>
                <w:vertAlign w:val="superscript"/>
              </w:rPr>
              <w:t>th</w:t>
            </w:r>
            <w:r>
              <w:rPr>
                <w:rFonts w:ascii="Foundry Form Sans" w:hAnsi="Foundry Form Sans" w:cs="Arial"/>
                <w:szCs w:val="22"/>
              </w:rPr>
              <w:t xml:space="preserve"> November 2024</w:t>
            </w:r>
          </w:p>
        </w:tc>
      </w:tr>
      <w:tr w:rsidR="00343363" w:rsidRPr="00060ABB" w14:paraId="0551CD62" w14:textId="77777777" w:rsidTr="00C83C86">
        <w:tc>
          <w:tcPr>
            <w:tcW w:w="723" w:type="dxa"/>
            <w:shd w:val="clear" w:color="auto" w:fill="auto"/>
          </w:tcPr>
          <w:p w14:paraId="54990D7D" w14:textId="2A91C953" w:rsidR="00343363" w:rsidRDefault="00343363" w:rsidP="00343363">
            <w:pPr>
              <w:rPr>
                <w:rFonts w:ascii="Foundry Form Sans" w:hAnsi="Foundry Form Sans" w:cs="Arial"/>
                <w:b/>
                <w:szCs w:val="22"/>
              </w:rPr>
            </w:pPr>
            <w:r>
              <w:rPr>
                <w:rFonts w:ascii="Foundry Form Sans" w:hAnsi="Foundry Form Sans" w:cs="Arial"/>
                <w:b/>
                <w:szCs w:val="22"/>
              </w:rPr>
              <w:t>2</w:t>
            </w:r>
            <w:r w:rsidRPr="00060ABB">
              <w:rPr>
                <w:rFonts w:ascii="Foundry Form Sans" w:hAnsi="Foundry Form Sans" w:cs="Arial"/>
                <w:b/>
                <w:szCs w:val="22"/>
              </w:rPr>
              <w:t>a</w:t>
            </w:r>
            <w:r>
              <w:rPr>
                <w:rFonts w:ascii="Foundry Form Sans" w:hAnsi="Foundry Form Sans" w:cs="Arial"/>
                <w:b/>
                <w:szCs w:val="22"/>
              </w:rPr>
              <w:t>ii</w:t>
            </w:r>
          </w:p>
        </w:tc>
        <w:tc>
          <w:tcPr>
            <w:tcW w:w="4871" w:type="dxa"/>
            <w:shd w:val="clear" w:color="auto" w:fill="auto"/>
          </w:tcPr>
          <w:p w14:paraId="0EA7590B" w14:textId="35E53B5C" w:rsidR="00343363" w:rsidRDefault="00343363" w:rsidP="00343363">
            <w:pPr>
              <w:rPr>
                <w:rFonts w:ascii="Foundry Form Sans" w:hAnsi="Foundry Form Sans" w:cs="Arial"/>
                <w:szCs w:val="22"/>
              </w:rPr>
            </w:pPr>
            <w:r w:rsidRPr="00B16394">
              <w:rPr>
                <w:rFonts w:ascii="Foundry Form Sans" w:hAnsi="Foundry Form Sans" w:cs="Arial"/>
                <w:szCs w:val="22"/>
              </w:rPr>
              <w:t xml:space="preserve">Updated London datasets </w:t>
            </w:r>
            <w:r>
              <w:rPr>
                <w:rFonts w:ascii="Foundry Form Sans" w:hAnsi="Foundry Form Sans" w:cs="Arial"/>
                <w:szCs w:val="22"/>
              </w:rPr>
              <w:t>-2024/25</w:t>
            </w:r>
          </w:p>
        </w:tc>
        <w:tc>
          <w:tcPr>
            <w:tcW w:w="2702" w:type="dxa"/>
            <w:shd w:val="clear" w:color="auto" w:fill="auto"/>
          </w:tcPr>
          <w:p w14:paraId="450FAC4D" w14:textId="362319D4" w:rsidR="00343363" w:rsidRDefault="00343363" w:rsidP="00343363">
            <w:pPr>
              <w:rPr>
                <w:rFonts w:ascii="Foundry Form Sans" w:hAnsi="Foundry Form Sans" w:cs="Arial"/>
                <w:szCs w:val="22"/>
              </w:rPr>
            </w:pPr>
            <w:r>
              <w:rPr>
                <w:rFonts w:ascii="Foundry Form Sans" w:hAnsi="Foundry Form Sans" w:cs="Arial"/>
                <w:szCs w:val="22"/>
              </w:rPr>
              <w:t>30</w:t>
            </w:r>
            <w:r w:rsidRPr="009D49A6">
              <w:rPr>
                <w:rFonts w:ascii="Foundry Form Sans" w:hAnsi="Foundry Form Sans" w:cs="Arial"/>
                <w:szCs w:val="22"/>
                <w:vertAlign w:val="superscript"/>
              </w:rPr>
              <w:t>th</w:t>
            </w:r>
            <w:r>
              <w:rPr>
                <w:rFonts w:ascii="Foundry Form Sans" w:hAnsi="Foundry Form Sans" w:cs="Arial"/>
                <w:szCs w:val="22"/>
              </w:rPr>
              <w:t xml:space="preserve"> October 2025 </w:t>
            </w:r>
          </w:p>
        </w:tc>
      </w:tr>
      <w:tr w:rsidR="00343363" w:rsidRPr="00060ABB" w14:paraId="63C3A40F" w14:textId="77777777" w:rsidTr="00C83C86">
        <w:tc>
          <w:tcPr>
            <w:tcW w:w="723" w:type="dxa"/>
            <w:shd w:val="clear" w:color="auto" w:fill="auto"/>
          </w:tcPr>
          <w:p w14:paraId="71DA5383" w14:textId="7BA2B8F2" w:rsidR="00343363" w:rsidRDefault="00343363" w:rsidP="00343363">
            <w:pPr>
              <w:rPr>
                <w:rFonts w:ascii="Foundry Form Sans" w:hAnsi="Foundry Form Sans" w:cs="Arial"/>
                <w:b/>
                <w:szCs w:val="22"/>
              </w:rPr>
            </w:pPr>
            <w:r>
              <w:rPr>
                <w:rFonts w:ascii="Foundry Form Sans" w:hAnsi="Foundry Form Sans" w:cs="Arial"/>
                <w:b/>
                <w:szCs w:val="22"/>
              </w:rPr>
              <w:t>2aiii</w:t>
            </w:r>
          </w:p>
        </w:tc>
        <w:tc>
          <w:tcPr>
            <w:tcW w:w="4871" w:type="dxa"/>
            <w:shd w:val="clear" w:color="auto" w:fill="auto"/>
          </w:tcPr>
          <w:p w14:paraId="5FC2B7B5" w14:textId="2C9E2170" w:rsidR="00343363" w:rsidRDefault="00343363" w:rsidP="00343363">
            <w:pPr>
              <w:rPr>
                <w:rFonts w:ascii="Foundry Form Sans" w:hAnsi="Foundry Form Sans" w:cs="Arial"/>
                <w:szCs w:val="22"/>
              </w:rPr>
            </w:pPr>
            <w:r w:rsidRPr="00B16394">
              <w:rPr>
                <w:rFonts w:ascii="Foundry Form Sans" w:hAnsi="Foundry Form Sans" w:cs="Arial"/>
                <w:szCs w:val="22"/>
              </w:rPr>
              <w:t xml:space="preserve">Updated London datasets </w:t>
            </w:r>
            <w:r>
              <w:rPr>
                <w:rFonts w:ascii="Foundry Form Sans" w:hAnsi="Foundry Form Sans" w:cs="Arial"/>
                <w:szCs w:val="22"/>
              </w:rPr>
              <w:t>-2025/26</w:t>
            </w:r>
          </w:p>
        </w:tc>
        <w:tc>
          <w:tcPr>
            <w:tcW w:w="2702" w:type="dxa"/>
            <w:shd w:val="clear" w:color="auto" w:fill="auto"/>
          </w:tcPr>
          <w:p w14:paraId="4C0E82FB" w14:textId="4975938A" w:rsidR="00343363" w:rsidRDefault="00343363" w:rsidP="00343363">
            <w:pPr>
              <w:rPr>
                <w:rFonts w:ascii="Foundry Form Sans" w:hAnsi="Foundry Form Sans" w:cs="Arial"/>
                <w:szCs w:val="22"/>
              </w:rPr>
            </w:pPr>
            <w:r>
              <w:rPr>
                <w:rFonts w:ascii="Foundry Form Sans" w:hAnsi="Foundry Form Sans" w:cs="Arial"/>
                <w:szCs w:val="22"/>
              </w:rPr>
              <w:t>30</w:t>
            </w:r>
            <w:r w:rsidRPr="009D49A6">
              <w:rPr>
                <w:rFonts w:ascii="Foundry Form Sans" w:hAnsi="Foundry Form Sans" w:cs="Arial"/>
                <w:szCs w:val="22"/>
                <w:vertAlign w:val="superscript"/>
              </w:rPr>
              <w:t>th</w:t>
            </w:r>
            <w:r>
              <w:rPr>
                <w:rFonts w:ascii="Foundry Form Sans" w:hAnsi="Foundry Form Sans" w:cs="Arial"/>
                <w:szCs w:val="22"/>
              </w:rPr>
              <w:t xml:space="preserve"> October 2026 </w:t>
            </w:r>
          </w:p>
        </w:tc>
      </w:tr>
      <w:bookmarkEnd w:id="6"/>
    </w:tbl>
    <w:p w14:paraId="00B7F1EA" w14:textId="77777777" w:rsidR="007A7363" w:rsidRDefault="007A7363" w:rsidP="00E77516">
      <w:pPr>
        <w:rPr>
          <w:rFonts w:ascii="Foundry Form Sans" w:hAnsi="Foundry Form Sans" w:cs="Arial"/>
          <w:b/>
          <w:szCs w:val="22"/>
        </w:rPr>
      </w:pPr>
    </w:p>
    <w:p w14:paraId="00B7F1EC" w14:textId="77777777" w:rsidR="007A7363" w:rsidRDefault="007A7363" w:rsidP="00E77516">
      <w:pPr>
        <w:rPr>
          <w:rFonts w:ascii="Foundry Form Sans" w:hAnsi="Foundry Form Sans" w:cs="Arial"/>
          <w:b/>
          <w:szCs w:val="22"/>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80"/>
        <w:gridCol w:w="3225"/>
      </w:tblGrid>
      <w:tr w:rsidR="001A284C" w:rsidRPr="001A284C" w14:paraId="00B7F1EF" w14:textId="77777777" w:rsidTr="00B16394">
        <w:tc>
          <w:tcPr>
            <w:tcW w:w="5280" w:type="dxa"/>
            <w:tcBorders>
              <w:top w:val="single" w:sz="4" w:space="0" w:color="auto"/>
              <w:left w:val="single" w:sz="4" w:space="0" w:color="auto"/>
              <w:bottom w:val="single" w:sz="4" w:space="0" w:color="auto"/>
              <w:right w:val="single" w:sz="4" w:space="0" w:color="auto"/>
            </w:tcBorders>
            <w:hideMark/>
          </w:tcPr>
          <w:p w14:paraId="00B7F1ED" w14:textId="77777777" w:rsidR="001A284C" w:rsidRPr="001A284C" w:rsidRDefault="001A284C" w:rsidP="001A284C">
            <w:pPr>
              <w:rPr>
                <w:rFonts w:ascii="Foundry Form Sans" w:hAnsi="Foundry Form Sans" w:cs="Arial"/>
                <w:b/>
                <w:szCs w:val="22"/>
              </w:rPr>
            </w:pPr>
            <w:bookmarkStart w:id="9" w:name="_Hlk526518300"/>
            <w:r w:rsidRPr="001A284C">
              <w:rPr>
                <w:rFonts w:ascii="Foundry Form Sans" w:hAnsi="Foundry Form Sans" w:cs="Arial"/>
                <w:b/>
                <w:szCs w:val="22"/>
              </w:rPr>
              <w:t>Stage</w:t>
            </w:r>
          </w:p>
        </w:tc>
        <w:tc>
          <w:tcPr>
            <w:tcW w:w="3225" w:type="dxa"/>
            <w:tcBorders>
              <w:top w:val="single" w:sz="4" w:space="0" w:color="auto"/>
              <w:left w:val="single" w:sz="4" w:space="0" w:color="auto"/>
              <w:bottom w:val="single" w:sz="4" w:space="0" w:color="auto"/>
              <w:right w:val="single" w:sz="4" w:space="0" w:color="auto"/>
            </w:tcBorders>
            <w:hideMark/>
          </w:tcPr>
          <w:p w14:paraId="00B7F1EE" w14:textId="77777777" w:rsidR="001A284C" w:rsidRPr="001A284C" w:rsidRDefault="001A284C" w:rsidP="001A284C">
            <w:pPr>
              <w:rPr>
                <w:rFonts w:ascii="Foundry Form Sans" w:hAnsi="Foundry Form Sans" w:cs="Arial"/>
                <w:b/>
                <w:szCs w:val="22"/>
              </w:rPr>
            </w:pPr>
            <w:r w:rsidRPr="001A284C">
              <w:rPr>
                <w:rFonts w:ascii="Foundry Form Sans" w:hAnsi="Foundry Form Sans" w:cs="Arial"/>
                <w:b/>
                <w:szCs w:val="22"/>
              </w:rPr>
              <w:t>Estimated completion date</w:t>
            </w:r>
          </w:p>
        </w:tc>
      </w:tr>
      <w:tr w:rsidR="001A284C" w:rsidRPr="001A284C" w14:paraId="00B7F1F2" w14:textId="77777777" w:rsidTr="00B16394">
        <w:tc>
          <w:tcPr>
            <w:tcW w:w="5280" w:type="dxa"/>
            <w:tcBorders>
              <w:top w:val="single" w:sz="4" w:space="0" w:color="auto"/>
              <w:left w:val="single" w:sz="4" w:space="0" w:color="auto"/>
              <w:bottom w:val="single" w:sz="4" w:space="0" w:color="auto"/>
              <w:right w:val="single" w:sz="4" w:space="0" w:color="auto"/>
            </w:tcBorders>
            <w:hideMark/>
          </w:tcPr>
          <w:p w14:paraId="00B7F1F0" w14:textId="77777777" w:rsidR="001A284C" w:rsidRPr="00B16394" w:rsidRDefault="001A284C" w:rsidP="001A284C">
            <w:pPr>
              <w:rPr>
                <w:rFonts w:ascii="Foundry Form Sans" w:hAnsi="Foundry Form Sans" w:cs="Arial"/>
                <w:szCs w:val="22"/>
              </w:rPr>
            </w:pPr>
            <w:r w:rsidRPr="00B16394">
              <w:rPr>
                <w:rFonts w:ascii="Foundry Form Sans" w:hAnsi="Foundry Form Sans" w:cs="Arial"/>
                <w:szCs w:val="22"/>
              </w:rPr>
              <w:t>Inception meeting</w:t>
            </w:r>
          </w:p>
        </w:tc>
        <w:tc>
          <w:tcPr>
            <w:tcW w:w="3225" w:type="dxa"/>
            <w:tcBorders>
              <w:top w:val="single" w:sz="4" w:space="0" w:color="auto"/>
              <w:left w:val="single" w:sz="4" w:space="0" w:color="auto"/>
              <w:bottom w:val="single" w:sz="4" w:space="0" w:color="auto"/>
              <w:right w:val="single" w:sz="4" w:space="0" w:color="auto"/>
            </w:tcBorders>
            <w:hideMark/>
          </w:tcPr>
          <w:p w14:paraId="00B7F1F1" w14:textId="15E381CB" w:rsidR="001A284C" w:rsidRPr="00B16394" w:rsidRDefault="009E5276" w:rsidP="001A284C">
            <w:pPr>
              <w:rPr>
                <w:rFonts w:ascii="Foundry Form Sans" w:hAnsi="Foundry Form Sans" w:cs="Arial"/>
                <w:szCs w:val="22"/>
              </w:rPr>
            </w:pPr>
            <w:r w:rsidRPr="00B16394">
              <w:rPr>
                <w:rFonts w:ascii="Foundry Form Sans" w:hAnsi="Foundry Form Sans" w:cs="Arial"/>
                <w:szCs w:val="22"/>
              </w:rPr>
              <w:t xml:space="preserve">w/c </w:t>
            </w:r>
            <w:r w:rsidR="0026664B">
              <w:rPr>
                <w:rFonts w:ascii="Foundry Form Sans" w:hAnsi="Foundry Form Sans" w:cs="Arial"/>
                <w:szCs w:val="22"/>
              </w:rPr>
              <w:t>27</w:t>
            </w:r>
            <w:r w:rsidR="0026664B" w:rsidRPr="000378BE">
              <w:rPr>
                <w:rFonts w:ascii="Foundry Form Sans" w:hAnsi="Foundry Form Sans" w:cs="Arial"/>
                <w:szCs w:val="22"/>
                <w:vertAlign w:val="superscript"/>
              </w:rPr>
              <w:t>th</w:t>
            </w:r>
            <w:r w:rsidR="0026664B">
              <w:rPr>
                <w:rFonts w:ascii="Foundry Form Sans" w:hAnsi="Foundry Form Sans" w:cs="Arial"/>
                <w:szCs w:val="22"/>
              </w:rPr>
              <w:t xml:space="preserve"> May</w:t>
            </w:r>
            <w:r w:rsidR="00FC123A">
              <w:rPr>
                <w:rFonts w:ascii="Foundry Form Sans" w:hAnsi="Foundry Form Sans" w:cs="Arial"/>
                <w:szCs w:val="22"/>
              </w:rPr>
              <w:t xml:space="preserve"> 2024</w:t>
            </w:r>
          </w:p>
        </w:tc>
      </w:tr>
      <w:tr w:rsidR="00E9175F" w:rsidRPr="001A284C" w14:paraId="1B4E257F" w14:textId="77777777" w:rsidTr="00B16394">
        <w:tc>
          <w:tcPr>
            <w:tcW w:w="5280" w:type="dxa"/>
            <w:tcBorders>
              <w:top w:val="single" w:sz="4" w:space="0" w:color="auto"/>
              <w:left w:val="single" w:sz="4" w:space="0" w:color="auto"/>
              <w:bottom w:val="single" w:sz="4" w:space="0" w:color="auto"/>
              <w:right w:val="single" w:sz="4" w:space="0" w:color="auto"/>
            </w:tcBorders>
          </w:tcPr>
          <w:p w14:paraId="5A99F855" w14:textId="6C2182F0" w:rsidR="00E9175F" w:rsidRPr="00B16394" w:rsidRDefault="00E9175F" w:rsidP="001A284C">
            <w:pPr>
              <w:rPr>
                <w:rFonts w:ascii="Foundry Form Sans" w:hAnsi="Foundry Form Sans" w:cs="Arial"/>
                <w:szCs w:val="22"/>
              </w:rPr>
            </w:pPr>
            <w:r>
              <w:rPr>
                <w:rFonts w:ascii="Foundry Form Sans" w:hAnsi="Foundry Form Sans" w:cs="Arial"/>
                <w:szCs w:val="22"/>
              </w:rPr>
              <w:t>Interim milestone 1: Deliverable 1</w:t>
            </w:r>
            <w:r w:rsidR="0026664B">
              <w:rPr>
                <w:rFonts w:ascii="Foundry Form Sans" w:hAnsi="Foundry Form Sans" w:cs="Arial"/>
                <w:szCs w:val="22"/>
              </w:rPr>
              <w:t>, 2e</w:t>
            </w:r>
          </w:p>
        </w:tc>
        <w:tc>
          <w:tcPr>
            <w:tcW w:w="3225" w:type="dxa"/>
            <w:tcBorders>
              <w:top w:val="single" w:sz="4" w:space="0" w:color="auto"/>
              <w:left w:val="single" w:sz="4" w:space="0" w:color="auto"/>
              <w:bottom w:val="single" w:sz="4" w:space="0" w:color="auto"/>
              <w:right w:val="single" w:sz="4" w:space="0" w:color="auto"/>
            </w:tcBorders>
          </w:tcPr>
          <w:p w14:paraId="5FD8CD70" w14:textId="242AA5E8" w:rsidR="00E9175F" w:rsidRDefault="0026664B" w:rsidP="001A284C">
            <w:pPr>
              <w:rPr>
                <w:rFonts w:ascii="Foundry Form Sans" w:hAnsi="Foundry Form Sans" w:cs="Arial"/>
                <w:szCs w:val="22"/>
              </w:rPr>
            </w:pPr>
            <w:r>
              <w:rPr>
                <w:rFonts w:ascii="Foundry Form Sans" w:hAnsi="Foundry Form Sans" w:cs="Arial"/>
                <w:szCs w:val="22"/>
              </w:rPr>
              <w:t>w/c 22</w:t>
            </w:r>
            <w:r w:rsidRPr="000378BE">
              <w:rPr>
                <w:rFonts w:ascii="Foundry Form Sans" w:hAnsi="Foundry Form Sans" w:cs="Arial"/>
                <w:szCs w:val="22"/>
                <w:vertAlign w:val="superscript"/>
              </w:rPr>
              <w:t>nd</w:t>
            </w:r>
            <w:r>
              <w:rPr>
                <w:rFonts w:ascii="Foundry Form Sans" w:hAnsi="Foundry Form Sans" w:cs="Arial"/>
                <w:szCs w:val="22"/>
              </w:rPr>
              <w:t xml:space="preserve"> July 2024</w:t>
            </w:r>
          </w:p>
        </w:tc>
      </w:tr>
      <w:tr w:rsidR="001A284C" w:rsidRPr="001A284C" w14:paraId="00B7F1F5" w14:textId="77777777" w:rsidTr="00B16394">
        <w:tc>
          <w:tcPr>
            <w:tcW w:w="5280" w:type="dxa"/>
            <w:tcBorders>
              <w:top w:val="single" w:sz="4" w:space="0" w:color="auto"/>
              <w:left w:val="single" w:sz="4" w:space="0" w:color="auto"/>
              <w:bottom w:val="single" w:sz="4" w:space="0" w:color="auto"/>
              <w:right w:val="single" w:sz="4" w:space="0" w:color="auto"/>
            </w:tcBorders>
            <w:hideMark/>
          </w:tcPr>
          <w:p w14:paraId="00B7F1F3" w14:textId="2E46DB73" w:rsidR="001A284C" w:rsidRPr="00B16394" w:rsidRDefault="009E58DF" w:rsidP="001A284C">
            <w:pPr>
              <w:rPr>
                <w:rFonts w:ascii="Foundry Form Sans" w:hAnsi="Foundry Form Sans" w:cs="Arial"/>
                <w:szCs w:val="22"/>
              </w:rPr>
            </w:pPr>
            <w:r>
              <w:rPr>
                <w:rFonts w:ascii="Foundry Form Sans" w:hAnsi="Foundry Form Sans" w:cs="Arial"/>
                <w:szCs w:val="22"/>
              </w:rPr>
              <w:t>Interim m</w:t>
            </w:r>
            <w:r w:rsidR="001A284C" w:rsidRPr="00B16394">
              <w:rPr>
                <w:rFonts w:ascii="Foundry Form Sans" w:hAnsi="Foundry Form Sans" w:cs="Arial"/>
                <w:szCs w:val="22"/>
              </w:rPr>
              <w:t xml:space="preserve">ilestone </w:t>
            </w:r>
            <w:r w:rsidR="0026664B">
              <w:rPr>
                <w:rFonts w:ascii="Foundry Form Sans" w:hAnsi="Foundry Form Sans" w:cs="Arial"/>
                <w:szCs w:val="22"/>
              </w:rPr>
              <w:t>2</w:t>
            </w:r>
            <w:r w:rsidR="001A284C" w:rsidRPr="00B16394">
              <w:rPr>
                <w:rFonts w:ascii="Foundry Form Sans" w:hAnsi="Foundry Form Sans" w:cs="Arial"/>
                <w:szCs w:val="22"/>
              </w:rPr>
              <w:t xml:space="preserve">: Deliverables </w:t>
            </w:r>
            <w:r w:rsidR="00C00676">
              <w:rPr>
                <w:rFonts w:ascii="Foundry Form Sans" w:hAnsi="Foundry Form Sans" w:cs="Arial"/>
                <w:szCs w:val="22"/>
              </w:rPr>
              <w:t>2</w:t>
            </w:r>
            <w:r w:rsidR="009E5276" w:rsidRPr="00B16394">
              <w:rPr>
                <w:rFonts w:ascii="Foundry Form Sans" w:hAnsi="Foundry Form Sans" w:cs="Arial"/>
                <w:szCs w:val="22"/>
              </w:rPr>
              <w:t>a</w:t>
            </w:r>
            <w:r w:rsidR="00A930E8">
              <w:rPr>
                <w:rFonts w:ascii="Foundry Form Sans" w:hAnsi="Foundry Form Sans" w:cs="Arial"/>
                <w:szCs w:val="22"/>
              </w:rPr>
              <w:t>i</w:t>
            </w:r>
            <w:r w:rsidR="009E5276" w:rsidRPr="00B16394">
              <w:rPr>
                <w:rFonts w:ascii="Foundry Form Sans" w:hAnsi="Foundry Form Sans" w:cs="Arial"/>
                <w:szCs w:val="22"/>
              </w:rPr>
              <w:t xml:space="preserve">, </w:t>
            </w:r>
            <w:r w:rsidR="00C00676">
              <w:rPr>
                <w:rFonts w:ascii="Foundry Form Sans" w:hAnsi="Foundry Form Sans" w:cs="Arial"/>
                <w:szCs w:val="22"/>
              </w:rPr>
              <w:t>2</w:t>
            </w:r>
            <w:r w:rsidR="009E5276" w:rsidRPr="00B16394">
              <w:rPr>
                <w:rFonts w:ascii="Foundry Form Sans" w:hAnsi="Foundry Form Sans" w:cs="Arial"/>
                <w:szCs w:val="22"/>
              </w:rPr>
              <w:t>b,</w:t>
            </w:r>
            <w:r w:rsidR="0026664B">
              <w:rPr>
                <w:rFonts w:ascii="Foundry Form Sans" w:hAnsi="Foundry Form Sans" w:cs="Arial"/>
                <w:szCs w:val="22"/>
              </w:rPr>
              <w:t xml:space="preserve"> 2c, 2d, </w:t>
            </w:r>
            <w:r w:rsidR="00C00676">
              <w:rPr>
                <w:rFonts w:ascii="Foundry Form Sans" w:hAnsi="Foundry Form Sans" w:cs="Arial"/>
                <w:szCs w:val="22"/>
              </w:rPr>
              <w:t>3</w:t>
            </w:r>
            <w:r w:rsidR="005E77D7">
              <w:rPr>
                <w:rFonts w:ascii="Foundry Form Sans" w:hAnsi="Foundry Form Sans" w:cs="Arial"/>
                <w:szCs w:val="22"/>
              </w:rPr>
              <w:t>i</w:t>
            </w:r>
            <w:r w:rsidR="00A930E8">
              <w:rPr>
                <w:rFonts w:ascii="Foundry Form Sans" w:hAnsi="Foundry Form Sans" w:cs="Arial"/>
                <w:szCs w:val="22"/>
              </w:rPr>
              <w:t>,</w:t>
            </w:r>
            <w:r w:rsidR="0026664B">
              <w:rPr>
                <w:rFonts w:ascii="Foundry Form Sans" w:hAnsi="Foundry Form Sans" w:cs="Arial"/>
                <w:szCs w:val="22"/>
              </w:rPr>
              <w:t xml:space="preserve"> 3ii,</w:t>
            </w:r>
            <w:r w:rsidR="00A930E8">
              <w:rPr>
                <w:rFonts w:ascii="Foundry Form Sans" w:hAnsi="Foundry Form Sans" w:cs="Arial"/>
                <w:szCs w:val="22"/>
              </w:rPr>
              <w:t xml:space="preserve"> </w:t>
            </w:r>
            <w:r w:rsidR="00C00676">
              <w:rPr>
                <w:rFonts w:ascii="Foundry Form Sans" w:hAnsi="Foundry Form Sans" w:cs="Arial"/>
                <w:szCs w:val="22"/>
              </w:rPr>
              <w:t>4</w:t>
            </w:r>
          </w:p>
        </w:tc>
        <w:tc>
          <w:tcPr>
            <w:tcW w:w="3225" w:type="dxa"/>
            <w:tcBorders>
              <w:top w:val="single" w:sz="4" w:space="0" w:color="auto"/>
              <w:left w:val="single" w:sz="4" w:space="0" w:color="auto"/>
              <w:bottom w:val="single" w:sz="4" w:space="0" w:color="auto"/>
              <w:right w:val="single" w:sz="4" w:space="0" w:color="auto"/>
            </w:tcBorders>
            <w:hideMark/>
          </w:tcPr>
          <w:p w14:paraId="00B7F1F4" w14:textId="7362CA27" w:rsidR="001A284C" w:rsidRPr="00B16394" w:rsidRDefault="0026664B" w:rsidP="001A284C">
            <w:pPr>
              <w:rPr>
                <w:rFonts w:ascii="Foundry Form Sans" w:hAnsi="Foundry Form Sans" w:cs="Arial"/>
                <w:szCs w:val="22"/>
              </w:rPr>
            </w:pPr>
            <w:r>
              <w:rPr>
                <w:rFonts w:ascii="Foundry Form Sans" w:hAnsi="Foundry Form Sans" w:cs="Arial"/>
                <w:szCs w:val="22"/>
              </w:rPr>
              <w:t>30</w:t>
            </w:r>
            <w:r w:rsidRPr="009D49A6">
              <w:rPr>
                <w:rFonts w:ascii="Foundry Form Sans" w:hAnsi="Foundry Form Sans" w:cs="Arial"/>
                <w:szCs w:val="22"/>
                <w:vertAlign w:val="superscript"/>
              </w:rPr>
              <w:t>th</w:t>
            </w:r>
            <w:r>
              <w:rPr>
                <w:rFonts w:ascii="Foundry Form Sans" w:hAnsi="Foundry Form Sans" w:cs="Arial"/>
                <w:szCs w:val="22"/>
              </w:rPr>
              <w:t xml:space="preserve"> October 2024</w:t>
            </w:r>
          </w:p>
        </w:tc>
      </w:tr>
      <w:tr w:rsidR="009E58DF" w:rsidRPr="001A284C" w14:paraId="092A1FC8" w14:textId="77777777" w:rsidTr="00B16394">
        <w:tc>
          <w:tcPr>
            <w:tcW w:w="5280" w:type="dxa"/>
            <w:tcBorders>
              <w:top w:val="single" w:sz="4" w:space="0" w:color="auto"/>
              <w:left w:val="single" w:sz="4" w:space="0" w:color="auto"/>
              <w:bottom w:val="single" w:sz="4" w:space="0" w:color="auto"/>
              <w:right w:val="single" w:sz="4" w:space="0" w:color="auto"/>
            </w:tcBorders>
          </w:tcPr>
          <w:p w14:paraId="080D1451" w14:textId="31309210" w:rsidR="009E58DF" w:rsidRPr="00B16394" w:rsidRDefault="009E58DF" w:rsidP="009E58DF">
            <w:pPr>
              <w:rPr>
                <w:rFonts w:ascii="Foundry Form Sans" w:hAnsi="Foundry Form Sans" w:cs="Arial"/>
                <w:szCs w:val="22"/>
              </w:rPr>
            </w:pPr>
            <w:r>
              <w:rPr>
                <w:rFonts w:ascii="Foundry Form Sans" w:hAnsi="Foundry Form Sans" w:cs="Arial"/>
                <w:szCs w:val="22"/>
              </w:rPr>
              <w:t>Milestone 3: Deliverable 4</w:t>
            </w:r>
          </w:p>
        </w:tc>
        <w:tc>
          <w:tcPr>
            <w:tcW w:w="3225" w:type="dxa"/>
            <w:tcBorders>
              <w:top w:val="single" w:sz="4" w:space="0" w:color="auto"/>
              <w:left w:val="single" w:sz="4" w:space="0" w:color="auto"/>
              <w:bottom w:val="single" w:sz="4" w:space="0" w:color="auto"/>
              <w:right w:val="single" w:sz="4" w:space="0" w:color="auto"/>
            </w:tcBorders>
          </w:tcPr>
          <w:p w14:paraId="78D11BF3" w14:textId="405D76F6" w:rsidR="009E58DF" w:rsidRDefault="009E58DF" w:rsidP="009E58DF">
            <w:pPr>
              <w:rPr>
                <w:rFonts w:ascii="Foundry Form Sans" w:hAnsi="Foundry Form Sans" w:cs="Arial"/>
                <w:szCs w:val="22"/>
              </w:rPr>
            </w:pPr>
            <w:r>
              <w:rPr>
                <w:rFonts w:ascii="Foundry Form Sans" w:hAnsi="Foundry Form Sans" w:cs="Arial"/>
                <w:szCs w:val="22"/>
              </w:rPr>
              <w:t>15</w:t>
            </w:r>
            <w:r w:rsidRPr="0075634C">
              <w:rPr>
                <w:rFonts w:ascii="Foundry Form Sans" w:hAnsi="Foundry Form Sans" w:cs="Arial"/>
                <w:szCs w:val="22"/>
                <w:vertAlign w:val="superscript"/>
              </w:rPr>
              <w:t>th</w:t>
            </w:r>
            <w:r>
              <w:rPr>
                <w:rFonts w:ascii="Foundry Form Sans" w:hAnsi="Foundry Form Sans" w:cs="Arial"/>
                <w:szCs w:val="22"/>
              </w:rPr>
              <w:t xml:space="preserve"> November 2024</w:t>
            </w:r>
          </w:p>
        </w:tc>
      </w:tr>
      <w:tr w:rsidR="009E58DF" w:rsidRPr="001A284C" w14:paraId="00B7F1F8" w14:textId="77777777" w:rsidTr="00837AA2">
        <w:tc>
          <w:tcPr>
            <w:tcW w:w="5280" w:type="dxa"/>
            <w:tcBorders>
              <w:top w:val="single" w:sz="4" w:space="0" w:color="auto"/>
              <w:left w:val="single" w:sz="4" w:space="0" w:color="auto"/>
              <w:bottom w:val="single" w:sz="4" w:space="0" w:color="auto"/>
              <w:right w:val="single" w:sz="4" w:space="0" w:color="auto"/>
            </w:tcBorders>
          </w:tcPr>
          <w:p w14:paraId="00B7F1F6" w14:textId="00DD67EC" w:rsidR="009E58DF" w:rsidRPr="00B16394" w:rsidRDefault="009E58DF" w:rsidP="009E58DF">
            <w:pPr>
              <w:rPr>
                <w:rFonts w:ascii="Foundry Form Sans" w:hAnsi="Foundry Form Sans" w:cs="Arial"/>
                <w:szCs w:val="22"/>
              </w:rPr>
            </w:pPr>
            <w:r>
              <w:rPr>
                <w:rFonts w:ascii="Foundry Form Sans" w:hAnsi="Foundry Form Sans" w:cs="Arial"/>
                <w:szCs w:val="22"/>
              </w:rPr>
              <w:t>Milestone 4: Deliverable 2aii</w:t>
            </w:r>
          </w:p>
        </w:tc>
        <w:tc>
          <w:tcPr>
            <w:tcW w:w="3225" w:type="dxa"/>
            <w:tcBorders>
              <w:top w:val="single" w:sz="4" w:space="0" w:color="auto"/>
              <w:left w:val="single" w:sz="4" w:space="0" w:color="auto"/>
              <w:bottom w:val="single" w:sz="4" w:space="0" w:color="auto"/>
              <w:right w:val="single" w:sz="4" w:space="0" w:color="auto"/>
            </w:tcBorders>
          </w:tcPr>
          <w:p w14:paraId="00B7F1F7" w14:textId="287EF30D" w:rsidR="009E58DF" w:rsidRPr="00B16394" w:rsidRDefault="009E58DF" w:rsidP="009E58DF">
            <w:pPr>
              <w:rPr>
                <w:rFonts w:ascii="Foundry Form Sans" w:hAnsi="Foundry Form Sans" w:cs="Arial"/>
                <w:szCs w:val="22"/>
              </w:rPr>
            </w:pPr>
            <w:r>
              <w:rPr>
                <w:rFonts w:ascii="Foundry Form Sans" w:hAnsi="Foundry Form Sans" w:cs="Arial"/>
                <w:szCs w:val="22"/>
              </w:rPr>
              <w:t>30</w:t>
            </w:r>
            <w:r w:rsidRPr="009D49A6">
              <w:rPr>
                <w:rFonts w:ascii="Foundry Form Sans" w:hAnsi="Foundry Form Sans" w:cs="Arial"/>
                <w:szCs w:val="22"/>
                <w:vertAlign w:val="superscript"/>
              </w:rPr>
              <w:t>th</w:t>
            </w:r>
            <w:r>
              <w:rPr>
                <w:rFonts w:ascii="Foundry Form Sans" w:hAnsi="Foundry Form Sans" w:cs="Arial"/>
                <w:szCs w:val="22"/>
              </w:rPr>
              <w:t xml:space="preserve"> October 2025</w:t>
            </w:r>
          </w:p>
        </w:tc>
      </w:tr>
      <w:tr w:rsidR="009E58DF" w:rsidRPr="001A284C" w14:paraId="6D84DF6A" w14:textId="77777777" w:rsidTr="00B16394">
        <w:tc>
          <w:tcPr>
            <w:tcW w:w="5280" w:type="dxa"/>
            <w:tcBorders>
              <w:top w:val="single" w:sz="4" w:space="0" w:color="auto"/>
              <w:left w:val="single" w:sz="4" w:space="0" w:color="auto"/>
              <w:bottom w:val="single" w:sz="4" w:space="0" w:color="auto"/>
              <w:right w:val="single" w:sz="4" w:space="0" w:color="auto"/>
            </w:tcBorders>
          </w:tcPr>
          <w:p w14:paraId="287E8B34" w14:textId="027C0089" w:rsidR="009E58DF" w:rsidRDefault="009E58DF" w:rsidP="009E58DF">
            <w:pPr>
              <w:rPr>
                <w:rFonts w:ascii="Foundry Form Sans" w:hAnsi="Foundry Form Sans" w:cs="Arial"/>
                <w:szCs w:val="22"/>
              </w:rPr>
            </w:pPr>
            <w:r>
              <w:rPr>
                <w:rFonts w:ascii="Foundry Form Sans" w:hAnsi="Foundry Form Sans" w:cs="Arial"/>
                <w:szCs w:val="22"/>
              </w:rPr>
              <w:t>Milestone 5: Deliverable 2aiii</w:t>
            </w:r>
          </w:p>
        </w:tc>
        <w:tc>
          <w:tcPr>
            <w:tcW w:w="3225" w:type="dxa"/>
            <w:tcBorders>
              <w:top w:val="single" w:sz="4" w:space="0" w:color="auto"/>
              <w:left w:val="single" w:sz="4" w:space="0" w:color="auto"/>
              <w:bottom w:val="single" w:sz="4" w:space="0" w:color="auto"/>
              <w:right w:val="single" w:sz="4" w:space="0" w:color="auto"/>
            </w:tcBorders>
          </w:tcPr>
          <w:p w14:paraId="19AF19FE" w14:textId="450D19D3" w:rsidR="009E58DF" w:rsidRDefault="009E58DF" w:rsidP="009E58DF">
            <w:pPr>
              <w:rPr>
                <w:rFonts w:ascii="Foundry Form Sans" w:hAnsi="Foundry Form Sans" w:cs="Arial"/>
                <w:szCs w:val="22"/>
              </w:rPr>
            </w:pPr>
            <w:r>
              <w:rPr>
                <w:rFonts w:ascii="Foundry Form Sans" w:hAnsi="Foundry Form Sans" w:cs="Arial"/>
                <w:szCs w:val="22"/>
              </w:rPr>
              <w:t>30</w:t>
            </w:r>
            <w:r w:rsidRPr="008306B9">
              <w:rPr>
                <w:rFonts w:ascii="Foundry Form Sans" w:hAnsi="Foundry Form Sans" w:cs="Arial"/>
                <w:szCs w:val="22"/>
                <w:vertAlign w:val="superscript"/>
              </w:rPr>
              <w:t>th</w:t>
            </w:r>
            <w:r>
              <w:rPr>
                <w:rFonts w:ascii="Foundry Form Sans" w:hAnsi="Foundry Form Sans" w:cs="Arial"/>
                <w:szCs w:val="22"/>
              </w:rPr>
              <w:t xml:space="preserve"> October 2026 </w:t>
            </w:r>
          </w:p>
        </w:tc>
      </w:tr>
      <w:bookmarkEnd w:id="9"/>
    </w:tbl>
    <w:p w14:paraId="00B7F1FF" w14:textId="77777777" w:rsidR="008E7D59" w:rsidRDefault="008E7D59" w:rsidP="00E77516">
      <w:pPr>
        <w:rPr>
          <w:rFonts w:ascii="Foundry Form Sans" w:hAnsi="Foundry Form Sans" w:cs="Arial"/>
          <w:b/>
          <w:szCs w:val="22"/>
        </w:rPr>
      </w:pPr>
    </w:p>
    <w:p w14:paraId="00B7F200" w14:textId="77777777" w:rsidR="008E7D59" w:rsidRDefault="008E7D59" w:rsidP="00E77516">
      <w:pPr>
        <w:rPr>
          <w:rFonts w:ascii="Foundry Form Sans" w:hAnsi="Foundry Form Sans" w:cs="Arial"/>
          <w:b/>
          <w:szCs w:val="22"/>
        </w:rPr>
      </w:pPr>
    </w:p>
    <w:p w14:paraId="00B7F201" w14:textId="77777777" w:rsidR="0092756D" w:rsidRDefault="0092756D" w:rsidP="0092756D">
      <w:pPr>
        <w:numPr>
          <w:ilvl w:val="0"/>
          <w:numId w:val="32"/>
        </w:numPr>
        <w:rPr>
          <w:rFonts w:ascii="Foundry Form Sans" w:hAnsi="Foundry Form Sans" w:cs="Arial"/>
          <w:b/>
          <w:szCs w:val="22"/>
        </w:rPr>
      </w:pPr>
      <w:r>
        <w:rPr>
          <w:rFonts w:ascii="Foundry Form Sans" w:hAnsi="Foundry Form Sans" w:cs="Arial"/>
          <w:b/>
          <w:szCs w:val="22"/>
        </w:rPr>
        <w:t>Price and Payments</w:t>
      </w:r>
    </w:p>
    <w:p w14:paraId="00B7F202" w14:textId="3DAB905C" w:rsidR="0092756D" w:rsidRDefault="000378BE" w:rsidP="00B16394">
      <w:pPr>
        <w:rPr>
          <w:rFonts w:ascii="Foundry Form Sans" w:hAnsi="Foundry Form Sans" w:cs="Arial"/>
          <w:szCs w:val="22"/>
        </w:rPr>
      </w:pPr>
      <w:r>
        <w:rPr>
          <w:rFonts w:ascii="Foundry Form Sans" w:hAnsi="Foundry Form Sans" w:cs="Arial"/>
          <w:szCs w:val="22"/>
        </w:rPr>
        <w:t xml:space="preserve">The total budget for this project is £50,000 excluding VAT for a </w:t>
      </w:r>
      <w:r w:rsidR="00DA5EC5">
        <w:rPr>
          <w:rFonts w:ascii="Foundry Form Sans" w:hAnsi="Foundry Form Sans" w:cs="Arial"/>
          <w:szCs w:val="22"/>
        </w:rPr>
        <w:t>3-year</w:t>
      </w:r>
      <w:r>
        <w:rPr>
          <w:rFonts w:ascii="Foundry Form Sans" w:hAnsi="Foundry Form Sans" w:cs="Arial"/>
          <w:szCs w:val="22"/>
        </w:rPr>
        <w:t xml:space="preserve"> contract. </w:t>
      </w:r>
      <w:r w:rsidR="0092756D" w:rsidRPr="00B16394">
        <w:rPr>
          <w:rFonts w:ascii="Foundry Form Sans" w:hAnsi="Foundry Form Sans" w:cs="Arial"/>
          <w:szCs w:val="22"/>
        </w:rPr>
        <w:t xml:space="preserve">Quotes should be broken down </w:t>
      </w:r>
      <w:r>
        <w:rPr>
          <w:rFonts w:ascii="Foundry Form Sans" w:hAnsi="Foundry Form Sans" w:cs="Arial"/>
          <w:szCs w:val="22"/>
        </w:rPr>
        <w:t xml:space="preserve">(detailed in the pricing schedule provided as part of the tender pack) </w:t>
      </w:r>
      <w:r w:rsidR="0092756D" w:rsidRPr="00B16394">
        <w:rPr>
          <w:rFonts w:ascii="Foundry Form Sans" w:hAnsi="Foundry Form Sans" w:cs="Arial"/>
          <w:szCs w:val="22"/>
        </w:rPr>
        <w:t>so that they include prices for each stage of the project along with an indication of the proportion of time that will be spent on each element of the project by each proposed team member throughout the duration of the commission including their day rates as per the pricing schedule.</w:t>
      </w:r>
    </w:p>
    <w:p w14:paraId="00B7F203" w14:textId="77777777" w:rsidR="0092756D" w:rsidRDefault="0092756D" w:rsidP="00B16394">
      <w:pPr>
        <w:rPr>
          <w:rFonts w:ascii="Foundry Form Sans" w:hAnsi="Foundry Form Sans" w:cs="Arial"/>
          <w:szCs w:val="22"/>
        </w:rPr>
      </w:pPr>
    </w:p>
    <w:p w14:paraId="00B7F205" w14:textId="314573AA" w:rsidR="0092756D" w:rsidRPr="0092756D" w:rsidRDefault="0092756D" w:rsidP="0092756D">
      <w:pPr>
        <w:rPr>
          <w:rFonts w:ascii="Foundry Form Sans" w:hAnsi="Foundry Form Sans" w:cs="Arial"/>
          <w:szCs w:val="22"/>
        </w:rPr>
      </w:pPr>
      <w:bookmarkStart w:id="10" w:name="_Hlk526518321"/>
      <w:r w:rsidRPr="0092756D">
        <w:rPr>
          <w:rFonts w:ascii="Foundry Form Sans" w:hAnsi="Foundry Form Sans" w:cs="Arial"/>
          <w:szCs w:val="22"/>
        </w:rPr>
        <w:t>Payment wil</w:t>
      </w:r>
      <w:r>
        <w:rPr>
          <w:rFonts w:ascii="Foundry Form Sans" w:hAnsi="Foundry Form Sans" w:cs="Arial"/>
          <w:szCs w:val="22"/>
        </w:rPr>
        <w:t xml:space="preserve">l be made in </w:t>
      </w:r>
      <w:r w:rsidR="0026664B">
        <w:rPr>
          <w:rFonts w:ascii="Foundry Form Sans" w:hAnsi="Foundry Form Sans" w:cs="Arial"/>
          <w:szCs w:val="22"/>
        </w:rPr>
        <w:t>three</w:t>
      </w:r>
      <w:r>
        <w:rPr>
          <w:rFonts w:ascii="Foundry Form Sans" w:hAnsi="Foundry Form Sans" w:cs="Arial"/>
          <w:szCs w:val="22"/>
        </w:rPr>
        <w:t xml:space="preserve"> instalments:</w:t>
      </w:r>
      <w:r w:rsidRPr="0092756D">
        <w:rPr>
          <w:rFonts w:ascii="Foundry Form Sans" w:hAnsi="Foundry Form Sans" w:cs="Arial"/>
          <w:szCs w:val="22"/>
        </w:rPr>
        <w:t xml:space="preserve"> </w:t>
      </w:r>
    </w:p>
    <w:p w14:paraId="00B7F206" w14:textId="2E4B86D4" w:rsidR="0092756D" w:rsidRPr="0092756D" w:rsidRDefault="0092756D" w:rsidP="0092756D">
      <w:pPr>
        <w:rPr>
          <w:rFonts w:ascii="Foundry Form Sans" w:hAnsi="Foundry Form Sans" w:cs="Arial"/>
          <w:szCs w:val="22"/>
        </w:rPr>
      </w:pPr>
      <w:r>
        <w:rPr>
          <w:rFonts w:ascii="Foundry Form Sans" w:hAnsi="Foundry Form Sans" w:cs="Arial"/>
          <w:szCs w:val="22"/>
        </w:rPr>
        <w:t>1)</w:t>
      </w:r>
      <w:r>
        <w:rPr>
          <w:rFonts w:ascii="Foundry Form Sans" w:hAnsi="Foundry Form Sans" w:cs="Arial"/>
          <w:szCs w:val="22"/>
        </w:rPr>
        <w:tab/>
      </w:r>
      <w:r w:rsidR="0026664B">
        <w:rPr>
          <w:rFonts w:ascii="Foundry Form Sans" w:hAnsi="Foundry Form Sans" w:cs="Arial"/>
          <w:szCs w:val="22"/>
        </w:rPr>
        <w:t>60</w:t>
      </w:r>
      <w:r w:rsidRPr="0092756D">
        <w:rPr>
          <w:rFonts w:ascii="Foundry Form Sans" w:hAnsi="Foundry Form Sans" w:cs="Arial"/>
          <w:szCs w:val="22"/>
        </w:rPr>
        <w:t xml:space="preserve">% of project value at Interim Milestone </w:t>
      </w:r>
      <w:r w:rsidR="0026664B">
        <w:rPr>
          <w:rFonts w:ascii="Foundry Form Sans" w:hAnsi="Foundry Form Sans" w:cs="Arial"/>
          <w:szCs w:val="22"/>
        </w:rPr>
        <w:t>2</w:t>
      </w:r>
    </w:p>
    <w:p w14:paraId="00B7F207" w14:textId="4337085C" w:rsidR="0092756D" w:rsidRDefault="009E5276" w:rsidP="0092756D">
      <w:pPr>
        <w:rPr>
          <w:rFonts w:ascii="Foundry Form Sans" w:hAnsi="Foundry Form Sans" w:cs="Arial"/>
          <w:szCs w:val="22"/>
        </w:rPr>
      </w:pPr>
      <w:r>
        <w:rPr>
          <w:rFonts w:ascii="Foundry Form Sans" w:hAnsi="Foundry Form Sans" w:cs="Arial"/>
          <w:szCs w:val="22"/>
        </w:rPr>
        <w:t>2)</w:t>
      </w:r>
      <w:r>
        <w:rPr>
          <w:rFonts w:ascii="Foundry Form Sans" w:hAnsi="Foundry Form Sans" w:cs="Arial"/>
          <w:szCs w:val="22"/>
        </w:rPr>
        <w:tab/>
      </w:r>
      <w:r w:rsidR="0026664B">
        <w:rPr>
          <w:rFonts w:ascii="Foundry Form Sans" w:hAnsi="Foundry Form Sans" w:cs="Arial"/>
          <w:szCs w:val="22"/>
        </w:rPr>
        <w:t>20</w:t>
      </w:r>
      <w:r w:rsidR="0092756D" w:rsidRPr="0092756D">
        <w:rPr>
          <w:rFonts w:ascii="Foundry Form Sans" w:hAnsi="Foundry Form Sans" w:cs="Arial"/>
          <w:szCs w:val="22"/>
        </w:rPr>
        <w:t xml:space="preserve">% of project value at Milestone </w:t>
      </w:r>
      <w:r w:rsidR="009E58DF">
        <w:rPr>
          <w:rFonts w:ascii="Foundry Form Sans" w:hAnsi="Foundry Form Sans" w:cs="Arial"/>
          <w:szCs w:val="22"/>
        </w:rPr>
        <w:t>4</w:t>
      </w:r>
    </w:p>
    <w:p w14:paraId="00B7F208" w14:textId="6E875D89" w:rsidR="001811DC" w:rsidRDefault="001811DC" w:rsidP="0092756D">
      <w:pPr>
        <w:rPr>
          <w:rFonts w:ascii="Foundry Form Sans" w:hAnsi="Foundry Form Sans" w:cs="Arial"/>
          <w:szCs w:val="22"/>
        </w:rPr>
      </w:pPr>
      <w:r>
        <w:rPr>
          <w:rFonts w:ascii="Foundry Form Sans" w:hAnsi="Foundry Form Sans" w:cs="Arial"/>
          <w:szCs w:val="22"/>
        </w:rPr>
        <w:t>3)</w:t>
      </w:r>
      <w:r>
        <w:rPr>
          <w:rFonts w:ascii="Foundry Form Sans" w:hAnsi="Foundry Form Sans" w:cs="Arial"/>
          <w:szCs w:val="22"/>
        </w:rPr>
        <w:tab/>
      </w:r>
      <w:r w:rsidR="0026664B">
        <w:rPr>
          <w:rFonts w:ascii="Foundry Form Sans" w:hAnsi="Foundry Form Sans" w:cs="Arial"/>
          <w:szCs w:val="22"/>
        </w:rPr>
        <w:t>20</w:t>
      </w:r>
      <w:r>
        <w:rPr>
          <w:rFonts w:ascii="Foundry Form Sans" w:hAnsi="Foundry Form Sans" w:cs="Arial"/>
          <w:szCs w:val="22"/>
        </w:rPr>
        <w:t xml:space="preserve">% of project value at Milestone </w:t>
      </w:r>
      <w:r w:rsidR="009E58DF">
        <w:rPr>
          <w:rFonts w:ascii="Foundry Form Sans" w:hAnsi="Foundry Form Sans" w:cs="Arial"/>
          <w:szCs w:val="22"/>
        </w:rPr>
        <w:t>5</w:t>
      </w:r>
      <w:r>
        <w:rPr>
          <w:rFonts w:ascii="Foundry Form Sans" w:hAnsi="Foundry Form Sans" w:cs="Arial"/>
          <w:szCs w:val="22"/>
        </w:rPr>
        <w:t xml:space="preserve"> </w:t>
      </w:r>
    </w:p>
    <w:p w14:paraId="00B7F209" w14:textId="68D4A3A9" w:rsidR="0092756D" w:rsidRPr="0092756D" w:rsidRDefault="0092756D" w:rsidP="0092756D">
      <w:pPr>
        <w:rPr>
          <w:rFonts w:ascii="Foundry Form Sans" w:hAnsi="Foundry Form Sans" w:cs="Arial"/>
          <w:szCs w:val="22"/>
        </w:rPr>
      </w:pPr>
    </w:p>
    <w:bookmarkEnd w:id="10"/>
    <w:p w14:paraId="5571C2BF" w14:textId="5E0B2F70" w:rsidR="008E6FEB" w:rsidRDefault="0092756D" w:rsidP="003C3156">
      <w:pPr>
        <w:rPr>
          <w:rFonts w:ascii="Foundry Form Sans" w:hAnsi="Foundry Form Sans" w:cs="Arial"/>
        </w:rPr>
      </w:pPr>
      <w:r w:rsidRPr="594A6DEA">
        <w:rPr>
          <w:rFonts w:ascii="Foundry Form Sans" w:hAnsi="Foundry Form Sans" w:cs="Arial"/>
        </w:rPr>
        <w:t>Payment will be made subject to the satisfactory completion of the project milestones. This will be agreed at the inception meeting</w:t>
      </w:r>
      <w:r w:rsidR="000378BE">
        <w:rPr>
          <w:rFonts w:ascii="Foundry Form Sans" w:hAnsi="Foundry Form Sans" w:cs="Arial"/>
        </w:rPr>
        <w:t>.</w:t>
      </w:r>
    </w:p>
    <w:p w14:paraId="6E27B8BF" w14:textId="77777777" w:rsidR="000378BE" w:rsidRDefault="000378BE" w:rsidP="003C3156">
      <w:pPr>
        <w:rPr>
          <w:rFonts w:ascii="Foundry Form Sans" w:hAnsi="Foundry Form Sans" w:cs="Arial"/>
        </w:rPr>
      </w:pPr>
    </w:p>
    <w:p w14:paraId="4C79D218" w14:textId="562DC049" w:rsidR="008E6FEB" w:rsidRPr="000378BE" w:rsidRDefault="008E6FEB" w:rsidP="000378BE">
      <w:pPr>
        <w:tabs>
          <w:tab w:val="left" w:pos="709"/>
        </w:tabs>
        <w:spacing w:line="252" w:lineRule="auto"/>
        <w:rPr>
          <w:rFonts w:ascii="Foundry Form Sans" w:hAnsi="Foundry Form Sans" w:cs="Arial"/>
          <w:szCs w:val="22"/>
        </w:rPr>
      </w:pPr>
      <w:r w:rsidRPr="000378BE">
        <w:rPr>
          <w:rFonts w:ascii="Foundry Form Sans" w:hAnsi="Foundry Form Sans" w:cs="Arial"/>
          <w:szCs w:val="22"/>
        </w:rPr>
        <w:t xml:space="preserve">We will evaluate the tenderer’s submissions against the </w:t>
      </w:r>
      <w:r w:rsidR="002C0E5A" w:rsidRPr="000378BE">
        <w:rPr>
          <w:rFonts w:ascii="Foundry Form Sans" w:hAnsi="Foundry Form Sans" w:cs="Arial"/>
          <w:szCs w:val="22"/>
        </w:rPr>
        <w:t xml:space="preserve">criteria detailed in the document ‘Volume 5 – Tender Evaluation Criteria’ </w:t>
      </w:r>
      <w:r w:rsidR="006D5B5A" w:rsidRPr="000378BE">
        <w:rPr>
          <w:rFonts w:ascii="Foundry Form Sans" w:hAnsi="Foundry Form Sans" w:cs="Arial"/>
          <w:szCs w:val="22"/>
        </w:rPr>
        <w:t>provided as part of this tender pack</w:t>
      </w:r>
      <w:r w:rsidR="000378BE">
        <w:rPr>
          <w:rFonts w:ascii="Foundry Form Sans" w:hAnsi="Foundry Form Sans" w:cs="Arial"/>
          <w:szCs w:val="22"/>
        </w:rPr>
        <w:t>.</w:t>
      </w:r>
      <w:r w:rsidR="006D5B5A" w:rsidRPr="000378BE" w:rsidDel="006D5B5A">
        <w:rPr>
          <w:rFonts w:ascii="Foundry Form Sans" w:hAnsi="Foundry Form Sans" w:cs="Arial"/>
          <w:szCs w:val="22"/>
        </w:rPr>
        <w:t xml:space="preserve"> </w:t>
      </w:r>
    </w:p>
    <w:p w14:paraId="74D54524" w14:textId="77777777" w:rsidR="008E6FEB" w:rsidRPr="003C3156" w:rsidRDefault="008E6FEB" w:rsidP="003C3156">
      <w:pPr>
        <w:rPr>
          <w:rFonts w:ascii="Foundry Form Sans" w:hAnsi="Foundry Form Sans" w:cs="Arial"/>
        </w:rPr>
      </w:pPr>
    </w:p>
    <w:sectPr w:rsidR="008E6FEB" w:rsidRPr="003C3156">
      <w:footerReference w:type="even" r:id="rId13"/>
      <w:footerReference w:type="default" r:id="rId14"/>
      <w:footerReference w:type="first" r:id="rId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0B3BE" w14:textId="77777777" w:rsidR="00A31A04" w:rsidRDefault="00A31A04" w:rsidP="00E07381">
      <w:r>
        <w:separator/>
      </w:r>
    </w:p>
  </w:endnote>
  <w:endnote w:type="continuationSeparator" w:id="0">
    <w:p w14:paraId="44656110" w14:textId="77777777" w:rsidR="00A31A04" w:rsidRDefault="00A31A04" w:rsidP="00E07381">
      <w:r>
        <w:continuationSeparator/>
      </w:r>
    </w:p>
  </w:endnote>
  <w:endnote w:type="continuationNotice" w:id="1">
    <w:p w14:paraId="1BE71F5F" w14:textId="77777777" w:rsidR="00A31A04" w:rsidRDefault="00A31A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0EFF" w:usb1="00007843" w:usb2="00000001" w:usb3="00000000" w:csb0="000001BF" w:csb1="00000000"/>
  </w:font>
  <w:font w:name="Foundry Form Sans">
    <w:altName w:val="Calibri"/>
    <w:panose1 w:val="02000503050000020004"/>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B0604020202020204"/>
    <w:charset w:val="00"/>
    <w:family w:val="swiss"/>
    <w:pitch w:val="variable"/>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FA376" w14:textId="009A7D7D" w:rsidR="00E07381" w:rsidRDefault="00E07381">
    <w:pPr>
      <w:pStyle w:val="Footer"/>
    </w:pPr>
    <w:r>
      <w:rPr>
        <w:noProof/>
      </w:rPr>
      <mc:AlternateContent>
        <mc:Choice Requires="wps">
          <w:drawing>
            <wp:anchor distT="0" distB="0" distL="0" distR="0" simplePos="0" relativeHeight="251658241" behindDoc="0" locked="0" layoutInCell="1" allowOverlap="1" wp14:anchorId="41CCCFA5" wp14:editId="75D16855">
              <wp:simplePos x="635" y="635"/>
              <wp:positionH relativeFrom="page">
                <wp:align>center</wp:align>
              </wp:positionH>
              <wp:positionV relativeFrom="page">
                <wp:align>bottom</wp:align>
              </wp:positionV>
              <wp:extent cx="443865" cy="443865"/>
              <wp:effectExtent l="0" t="0" r="8890" b="0"/>
              <wp:wrapNone/>
              <wp:docPr id="2" name="Text Box 2" descr="TfL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DD20F1" w14:textId="0845A2B5" w:rsidR="00E07381" w:rsidRPr="00E07381" w:rsidRDefault="00E07381" w:rsidP="00E07381">
                          <w:pPr>
                            <w:rPr>
                              <w:rFonts w:ascii="Calibri" w:eastAsia="Calibri" w:hAnsi="Calibri" w:cs="Calibri"/>
                              <w:noProof/>
                              <w:color w:val="000000"/>
                              <w:sz w:val="28"/>
                              <w:szCs w:val="28"/>
                            </w:rPr>
                          </w:pPr>
                          <w:r w:rsidRPr="00E07381">
                            <w:rPr>
                              <w:rFonts w:ascii="Calibri" w:eastAsia="Calibri" w:hAnsi="Calibri" w:cs="Calibri"/>
                              <w:noProof/>
                              <w:color w:val="000000"/>
                              <w:sz w:val="28"/>
                              <w:szCs w:val="28"/>
                            </w:rPr>
                            <w:t>TfL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CCCFA5" id="_x0000_t202" coordsize="21600,21600" o:spt="202" path="m,l,21600r21600,l21600,xe">
              <v:stroke joinstyle="miter"/>
              <v:path gradientshapeok="t" o:connecttype="rect"/>
            </v:shapetype>
            <v:shape id="Text Box 2" o:spid="_x0000_s1026" type="#_x0000_t202" alt="TfL CONFIDENTIAL" style="position:absolute;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52DD20F1" w14:textId="0845A2B5" w:rsidR="00E07381" w:rsidRPr="00E07381" w:rsidRDefault="00E07381" w:rsidP="00E07381">
                    <w:pPr>
                      <w:rPr>
                        <w:rFonts w:ascii="Calibri" w:eastAsia="Calibri" w:hAnsi="Calibri" w:cs="Calibri"/>
                        <w:noProof/>
                        <w:color w:val="000000"/>
                        <w:sz w:val="28"/>
                        <w:szCs w:val="28"/>
                      </w:rPr>
                    </w:pPr>
                    <w:r w:rsidRPr="00E07381">
                      <w:rPr>
                        <w:rFonts w:ascii="Calibri" w:eastAsia="Calibri" w:hAnsi="Calibri" w:cs="Calibri"/>
                        <w:noProof/>
                        <w:color w:val="000000"/>
                        <w:sz w:val="28"/>
                        <w:szCs w:val="28"/>
                      </w:rPr>
                      <w:t>TfL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A3EA4" w14:textId="761AE5DC" w:rsidR="00E07381" w:rsidRDefault="00E07381">
    <w:pPr>
      <w:pStyle w:val="Footer"/>
    </w:pPr>
    <w:r>
      <w:rPr>
        <w:noProof/>
      </w:rPr>
      <mc:AlternateContent>
        <mc:Choice Requires="wps">
          <w:drawing>
            <wp:anchor distT="0" distB="0" distL="0" distR="0" simplePos="0" relativeHeight="251658242" behindDoc="0" locked="0" layoutInCell="1" allowOverlap="1" wp14:anchorId="00F11C3E" wp14:editId="1E50E19E">
              <wp:simplePos x="1140031" y="10070275"/>
              <wp:positionH relativeFrom="page">
                <wp:align>center</wp:align>
              </wp:positionH>
              <wp:positionV relativeFrom="page">
                <wp:align>bottom</wp:align>
              </wp:positionV>
              <wp:extent cx="443865" cy="443865"/>
              <wp:effectExtent l="0" t="0" r="8890" b="0"/>
              <wp:wrapNone/>
              <wp:docPr id="3" name="Text Box 3" descr="TfL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649BB4" w14:textId="31B62AC6" w:rsidR="00E07381" w:rsidRPr="00E07381" w:rsidRDefault="00E07381" w:rsidP="00E07381">
                          <w:pPr>
                            <w:rPr>
                              <w:rFonts w:ascii="Calibri" w:eastAsia="Calibri" w:hAnsi="Calibri" w:cs="Calibri"/>
                              <w:noProof/>
                              <w:color w:val="000000"/>
                              <w:sz w:val="28"/>
                              <w:szCs w:val="28"/>
                            </w:rPr>
                          </w:pPr>
                          <w:r w:rsidRPr="00E07381">
                            <w:rPr>
                              <w:rFonts w:ascii="Calibri" w:eastAsia="Calibri" w:hAnsi="Calibri" w:cs="Calibri"/>
                              <w:noProof/>
                              <w:color w:val="000000"/>
                              <w:sz w:val="28"/>
                              <w:szCs w:val="28"/>
                            </w:rPr>
                            <w:t>TfL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F11C3E" id="_x0000_t202" coordsize="21600,21600" o:spt="202" path="m,l,21600r21600,l21600,xe">
              <v:stroke joinstyle="miter"/>
              <v:path gradientshapeok="t" o:connecttype="rect"/>
            </v:shapetype>
            <v:shape id="Text Box 3" o:spid="_x0000_s1027" type="#_x0000_t202" alt="TfL CONFIDENTIAL" style="position:absolute;margin-left:0;margin-top:0;width:34.95pt;height:34.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5F649BB4" w14:textId="31B62AC6" w:rsidR="00E07381" w:rsidRPr="00E07381" w:rsidRDefault="00E07381" w:rsidP="00E07381">
                    <w:pPr>
                      <w:rPr>
                        <w:rFonts w:ascii="Calibri" w:eastAsia="Calibri" w:hAnsi="Calibri" w:cs="Calibri"/>
                        <w:noProof/>
                        <w:color w:val="000000"/>
                        <w:sz w:val="28"/>
                        <w:szCs w:val="28"/>
                      </w:rPr>
                    </w:pPr>
                    <w:r w:rsidRPr="00E07381">
                      <w:rPr>
                        <w:rFonts w:ascii="Calibri" w:eastAsia="Calibri" w:hAnsi="Calibri" w:cs="Calibri"/>
                        <w:noProof/>
                        <w:color w:val="000000"/>
                        <w:sz w:val="28"/>
                        <w:szCs w:val="28"/>
                      </w:rPr>
                      <w:t>TfL 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9F401" w14:textId="0C63EE10" w:rsidR="00E07381" w:rsidRDefault="00E07381">
    <w:pPr>
      <w:pStyle w:val="Footer"/>
    </w:pPr>
    <w:r>
      <w:rPr>
        <w:noProof/>
      </w:rPr>
      <mc:AlternateContent>
        <mc:Choice Requires="wps">
          <w:drawing>
            <wp:anchor distT="0" distB="0" distL="0" distR="0" simplePos="0" relativeHeight="251658240" behindDoc="0" locked="0" layoutInCell="1" allowOverlap="1" wp14:anchorId="70B089BE" wp14:editId="2EB66785">
              <wp:simplePos x="635" y="635"/>
              <wp:positionH relativeFrom="page">
                <wp:align>center</wp:align>
              </wp:positionH>
              <wp:positionV relativeFrom="page">
                <wp:align>bottom</wp:align>
              </wp:positionV>
              <wp:extent cx="443865" cy="443865"/>
              <wp:effectExtent l="0" t="0" r="8890" b="0"/>
              <wp:wrapNone/>
              <wp:docPr id="1" name="Text Box 1" descr="TfL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80A90B" w14:textId="3DE1CECF" w:rsidR="00E07381" w:rsidRPr="00E07381" w:rsidRDefault="00E07381" w:rsidP="00E07381">
                          <w:pPr>
                            <w:rPr>
                              <w:rFonts w:ascii="Calibri" w:eastAsia="Calibri" w:hAnsi="Calibri" w:cs="Calibri"/>
                              <w:noProof/>
                              <w:color w:val="000000"/>
                              <w:sz w:val="28"/>
                              <w:szCs w:val="28"/>
                            </w:rPr>
                          </w:pPr>
                          <w:r w:rsidRPr="00E07381">
                            <w:rPr>
                              <w:rFonts w:ascii="Calibri" w:eastAsia="Calibri" w:hAnsi="Calibri" w:cs="Calibri"/>
                              <w:noProof/>
                              <w:color w:val="000000"/>
                              <w:sz w:val="28"/>
                              <w:szCs w:val="28"/>
                            </w:rPr>
                            <w:t>TfL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B089BE" id="_x0000_t202" coordsize="21600,21600" o:spt="202" path="m,l,21600r21600,l21600,xe">
              <v:stroke joinstyle="miter"/>
              <v:path gradientshapeok="t" o:connecttype="rect"/>
            </v:shapetype>
            <v:shape id="Text Box 1" o:spid="_x0000_s1028" type="#_x0000_t202" alt="TfL CONFIDENTI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1780A90B" w14:textId="3DE1CECF" w:rsidR="00E07381" w:rsidRPr="00E07381" w:rsidRDefault="00E07381" w:rsidP="00E07381">
                    <w:pPr>
                      <w:rPr>
                        <w:rFonts w:ascii="Calibri" w:eastAsia="Calibri" w:hAnsi="Calibri" w:cs="Calibri"/>
                        <w:noProof/>
                        <w:color w:val="000000"/>
                        <w:sz w:val="28"/>
                        <w:szCs w:val="28"/>
                      </w:rPr>
                    </w:pPr>
                    <w:r w:rsidRPr="00E07381">
                      <w:rPr>
                        <w:rFonts w:ascii="Calibri" w:eastAsia="Calibri" w:hAnsi="Calibri" w:cs="Calibri"/>
                        <w:noProof/>
                        <w:color w:val="000000"/>
                        <w:sz w:val="28"/>
                        <w:szCs w:val="28"/>
                      </w:rPr>
                      <w:t>TfL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0F67F" w14:textId="77777777" w:rsidR="00A31A04" w:rsidRDefault="00A31A04" w:rsidP="00E07381">
      <w:r>
        <w:separator/>
      </w:r>
    </w:p>
  </w:footnote>
  <w:footnote w:type="continuationSeparator" w:id="0">
    <w:p w14:paraId="0D706BB3" w14:textId="77777777" w:rsidR="00A31A04" w:rsidRDefault="00A31A04" w:rsidP="00E07381">
      <w:r>
        <w:continuationSeparator/>
      </w:r>
    </w:p>
  </w:footnote>
  <w:footnote w:type="continuationNotice" w:id="1">
    <w:p w14:paraId="361EC8FF" w14:textId="77777777" w:rsidR="00A31A04" w:rsidRDefault="00A31A0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42C1A"/>
    <w:multiLevelType w:val="hybridMultilevel"/>
    <w:tmpl w:val="26F02D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CE74AB"/>
    <w:multiLevelType w:val="hybridMultilevel"/>
    <w:tmpl w:val="1A50E668"/>
    <w:lvl w:ilvl="0" w:tplc="D2186BEE">
      <w:start w:val="1"/>
      <w:numFmt w:val="bullet"/>
      <w:lvlText w:val=""/>
      <w:lvlJc w:val="left"/>
      <w:pPr>
        <w:tabs>
          <w:tab w:val="num" w:pos="227"/>
        </w:tabs>
        <w:ind w:left="227" w:hanging="227"/>
      </w:pPr>
      <w:rPr>
        <w:rFonts w:ascii="Wingdings" w:hAnsi="Wingdings" w:hint="default"/>
        <w:color w:val="000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3245BA"/>
    <w:multiLevelType w:val="multilevel"/>
    <w:tmpl w:val="1F9E4C72"/>
    <w:lvl w:ilvl="0">
      <w:start w:val="1"/>
      <w:numFmt w:val="decimal"/>
      <w:pStyle w:val="Heading1"/>
      <w:lvlText w:val="%1"/>
      <w:lvlJc w:val="left"/>
      <w:pPr>
        <w:tabs>
          <w:tab w:val="num" w:pos="3834"/>
        </w:tabs>
        <w:ind w:left="3834" w:hanging="1134"/>
      </w:pPr>
      <w:rPr>
        <w:rFonts w:ascii="Arial" w:hAnsi="Arial" w:hint="default"/>
        <w:b/>
        <w:i w:val="0"/>
        <w:caps/>
        <w:sz w:val="36"/>
        <w:szCs w:val="36"/>
      </w:rPr>
    </w:lvl>
    <w:lvl w:ilvl="1">
      <w:start w:val="1"/>
      <w:numFmt w:val="none"/>
      <w:pStyle w:val="Heading2"/>
      <w:lvlText w:val="6.1"/>
      <w:lvlJc w:val="left"/>
      <w:pPr>
        <w:tabs>
          <w:tab w:val="num" w:pos="1134"/>
        </w:tabs>
        <w:ind w:left="1134" w:hanging="1134"/>
      </w:pPr>
      <w:rPr>
        <w:rFonts w:ascii="Arial" w:hAnsi="Arial" w:hint="default"/>
        <w:b/>
        <w:i w:val="0"/>
        <w:sz w:val="28"/>
        <w:szCs w:val="28"/>
      </w:rPr>
    </w:lvl>
    <w:lvl w:ilvl="2">
      <w:start w:val="1"/>
      <w:numFmt w:val="decimal"/>
      <w:pStyle w:val="Heading3"/>
      <w:lvlText w:val="%1.%2.%3"/>
      <w:lvlJc w:val="left"/>
      <w:pPr>
        <w:tabs>
          <w:tab w:val="num" w:pos="1314"/>
        </w:tabs>
        <w:ind w:left="1314" w:hanging="1134"/>
      </w:pPr>
      <w:rPr>
        <w:rFonts w:ascii="Arial" w:hAnsi="Arial" w:hint="default"/>
        <w:b/>
        <w:i w:val="0"/>
        <w:sz w:val="24"/>
        <w:szCs w:val="24"/>
      </w:rPr>
    </w:lvl>
    <w:lvl w:ilvl="3">
      <w:start w:val="1"/>
      <w:numFmt w:val="decimal"/>
      <w:pStyle w:val="Heading4"/>
      <w:lvlText w:val="%1.%2.%3.%4"/>
      <w:lvlJc w:val="left"/>
      <w:pPr>
        <w:tabs>
          <w:tab w:val="num" w:pos="1674"/>
        </w:tabs>
        <w:ind w:left="1674" w:hanging="1134"/>
      </w:pPr>
      <w:rPr>
        <w:rFonts w:ascii="Arial" w:hAnsi="Arial" w:hint="default"/>
        <w:b w:val="0"/>
        <w:i w:val="0"/>
        <w:sz w:val="22"/>
        <w:szCs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4F2674E"/>
    <w:multiLevelType w:val="multilevel"/>
    <w:tmpl w:val="A8509A0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6646AF7"/>
    <w:multiLevelType w:val="hybridMultilevel"/>
    <w:tmpl w:val="E13084B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4646232"/>
    <w:multiLevelType w:val="hybridMultilevel"/>
    <w:tmpl w:val="D122BF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2F6BA5"/>
    <w:multiLevelType w:val="hybridMultilevel"/>
    <w:tmpl w:val="B1E2AD8C"/>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7" w15:restartNumberingAfterBreak="0">
    <w:nsid w:val="15521AC3"/>
    <w:multiLevelType w:val="multilevel"/>
    <w:tmpl w:val="496C4846"/>
    <w:lvl w:ilvl="0">
      <w:start w:val="1"/>
      <w:numFmt w:val="decimal"/>
      <w:lvlText w:val="%1."/>
      <w:lvlJc w:val="left"/>
      <w:pPr>
        <w:tabs>
          <w:tab w:val="num" w:pos="375"/>
        </w:tabs>
        <w:ind w:left="375" w:hanging="375"/>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15:restartNumberingAfterBreak="0">
    <w:nsid w:val="17BA5E87"/>
    <w:multiLevelType w:val="multilevel"/>
    <w:tmpl w:val="496C4846"/>
    <w:lvl w:ilvl="0">
      <w:start w:val="1"/>
      <w:numFmt w:val="decimal"/>
      <w:lvlText w:val="%1."/>
      <w:lvlJc w:val="left"/>
      <w:pPr>
        <w:tabs>
          <w:tab w:val="num" w:pos="375"/>
        </w:tabs>
        <w:ind w:left="375" w:hanging="375"/>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9" w15:restartNumberingAfterBreak="0">
    <w:nsid w:val="1A9A4A6E"/>
    <w:multiLevelType w:val="hybridMultilevel"/>
    <w:tmpl w:val="4EDA5EF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0" w15:restartNumberingAfterBreak="0">
    <w:nsid w:val="1D5B5974"/>
    <w:multiLevelType w:val="multilevel"/>
    <w:tmpl w:val="8DF224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1" w15:restartNumberingAfterBreak="0">
    <w:nsid w:val="1F3F75A9"/>
    <w:multiLevelType w:val="hybridMultilevel"/>
    <w:tmpl w:val="10669F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39D67B2"/>
    <w:multiLevelType w:val="hybridMultilevel"/>
    <w:tmpl w:val="496C4846"/>
    <w:lvl w:ilvl="0" w:tplc="744A9B96">
      <w:start w:val="1"/>
      <w:numFmt w:val="decimal"/>
      <w:lvlText w:val="%1."/>
      <w:lvlJc w:val="left"/>
      <w:pPr>
        <w:tabs>
          <w:tab w:val="num" w:pos="375"/>
        </w:tabs>
        <w:ind w:left="375" w:hanging="375"/>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2538190E"/>
    <w:multiLevelType w:val="hybridMultilevel"/>
    <w:tmpl w:val="A5EE20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66A685A"/>
    <w:multiLevelType w:val="hybridMultilevel"/>
    <w:tmpl w:val="8758B3C8"/>
    <w:lvl w:ilvl="0" w:tplc="08090001">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EB2B27"/>
    <w:multiLevelType w:val="multilevel"/>
    <w:tmpl w:val="A8509A0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27F759C5"/>
    <w:multiLevelType w:val="multilevel"/>
    <w:tmpl w:val="A4640F3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720"/>
        </w:tabs>
        <w:ind w:left="72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93C2A20"/>
    <w:multiLevelType w:val="hybridMultilevel"/>
    <w:tmpl w:val="8EC803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BA47FE"/>
    <w:multiLevelType w:val="multilevel"/>
    <w:tmpl w:val="209C55BA"/>
    <w:lvl w:ilvl="0">
      <w:numFmt w:val="bullet"/>
      <w:lvlText w:val=""/>
      <w:lvlJc w:val="left"/>
      <w:pPr>
        <w:tabs>
          <w:tab w:val="num" w:pos="360"/>
        </w:tabs>
        <w:ind w:left="360" w:hanging="360"/>
      </w:pPr>
      <w:rPr>
        <w:rFonts w:ascii="Symbol" w:eastAsia="Times New Roman" w:hAnsi="Symbol" w:cs="Arial"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9" w15:restartNumberingAfterBreak="0">
    <w:nsid w:val="333D709C"/>
    <w:multiLevelType w:val="hybridMultilevel"/>
    <w:tmpl w:val="AB58F9D8"/>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0" w15:restartNumberingAfterBreak="0">
    <w:nsid w:val="33F172FC"/>
    <w:multiLevelType w:val="multilevel"/>
    <w:tmpl w:val="A8509A0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385439D6"/>
    <w:multiLevelType w:val="multilevel"/>
    <w:tmpl w:val="496C4846"/>
    <w:lvl w:ilvl="0">
      <w:start w:val="1"/>
      <w:numFmt w:val="decimal"/>
      <w:lvlText w:val="%1."/>
      <w:lvlJc w:val="left"/>
      <w:pPr>
        <w:tabs>
          <w:tab w:val="num" w:pos="375"/>
        </w:tabs>
        <w:ind w:left="375" w:hanging="375"/>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2" w15:restartNumberingAfterBreak="0">
    <w:nsid w:val="3A580AA6"/>
    <w:multiLevelType w:val="hybridMultilevel"/>
    <w:tmpl w:val="58F4081A"/>
    <w:lvl w:ilvl="0" w:tplc="19E23D8A">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CF25701"/>
    <w:multiLevelType w:val="hybridMultilevel"/>
    <w:tmpl w:val="206C54D4"/>
    <w:lvl w:ilvl="0" w:tplc="19E23D8A">
      <w:numFmt w:val="bullet"/>
      <w:lvlText w:val=""/>
      <w:lvlJc w:val="left"/>
      <w:pPr>
        <w:tabs>
          <w:tab w:val="num" w:pos="1080"/>
        </w:tabs>
        <w:ind w:left="1080" w:hanging="360"/>
      </w:pPr>
      <w:rPr>
        <w:rFonts w:ascii="Symbol" w:eastAsia="Times New Roman" w:hAnsi="Symbol" w:cs="Aria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F5A2524"/>
    <w:multiLevelType w:val="multilevel"/>
    <w:tmpl w:val="34B2EF82"/>
    <w:lvl w:ilvl="0">
      <w:start w:val="1"/>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425B6C35"/>
    <w:multiLevelType w:val="hybridMultilevel"/>
    <w:tmpl w:val="035647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D4067C"/>
    <w:multiLevelType w:val="multilevel"/>
    <w:tmpl w:val="9E18AB46"/>
    <w:lvl w:ilvl="0">
      <w:start w:val="1"/>
      <w:numFmt w:val="decimal"/>
      <w:lvlText w:val="%1."/>
      <w:lvlJc w:val="left"/>
      <w:pPr>
        <w:tabs>
          <w:tab w:val="num" w:pos="360"/>
        </w:tabs>
        <w:ind w:left="360" w:hanging="360"/>
      </w:pPr>
      <w:rPr>
        <w:rFonts w:ascii="Foundry Form Sans" w:hAnsi="Foundry Form Sans" w:hint="default"/>
        <w:b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496F5AE7"/>
    <w:multiLevelType w:val="hybridMultilevel"/>
    <w:tmpl w:val="46326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B15624"/>
    <w:multiLevelType w:val="hybridMultilevel"/>
    <w:tmpl w:val="818682F4"/>
    <w:lvl w:ilvl="0" w:tplc="FFFFFFFF">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1B84973"/>
    <w:multiLevelType w:val="hybridMultilevel"/>
    <w:tmpl w:val="159085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5B01A28"/>
    <w:multiLevelType w:val="multilevel"/>
    <w:tmpl w:val="A8509A0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566E7557"/>
    <w:multiLevelType w:val="hybridMultilevel"/>
    <w:tmpl w:val="58400DC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DB0DB5"/>
    <w:multiLevelType w:val="hybridMultilevel"/>
    <w:tmpl w:val="2BC0B84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A63D4B"/>
    <w:multiLevelType w:val="multilevel"/>
    <w:tmpl w:val="496C4846"/>
    <w:lvl w:ilvl="0">
      <w:start w:val="1"/>
      <w:numFmt w:val="decimal"/>
      <w:lvlText w:val="%1."/>
      <w:lvlJc w:val="left"/>
      <w:pPr>
        <w:tabs>
          <w:tab w:val="num" w:pos="375"/>
        </w:tabs>
        <w:ind w:left="375" w:hanging="375"/>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4" w15:restartNumberingAfterBreak="0">
    <w:nsid w:val="5DAF57A9"/>
    <w:multiLevelType w:val="hybridMultilevel"/>
    <w:tmpl w:val="6D42F3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E405113"/>
    <w:multiLevelType w:val="hybridMultilevel"/>
    <w:tmpl w:val="389295D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A1257A"/>
    <w:multiLevelType w:val="hybridMultilevel"/>
    <w:tmpl w:val="A516B2A4"/>
    <w:lvl w:ilvl="0" w:tplc="9DCAF6EA">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7A3F2613"/>
    <w:multiLevelType w:val="hybridMultilevel"/>
    <w:tmpl w:val="A6FA50BE"/>
    <w:lvl w:ilvl="0" w:tplc="19E23D8A">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AA60078"/>
    <w:multiLevelType w:val="multilevel"/>
    <w:tmpl w:val="A8509A0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294650547">
    <w:abstractNumId w:val="28"/>
  </w:num>
  <w:num w:numId="2" w16cid:durableId="1112940330">
    <w:abstractNumId w:val="2"/>
  </w:num>
  <w:num w:numId="3" w16cid:durableId="1239053770">
    <w:abstractNumId w:val="14"/>
  </w:num>
  <w:num w:numId="4" w16cid:durableId="86849145">
    <w:abstractNumId w:val="29"/>
  </w:num>
  <w:num w:numId="5" w16cid:durableId="1824619825">
    <w:abstractNumId w:val="31"/>
  </w:num>
  <w:num w:numId="6" w16cid:durableId="153182715">
    <w:abstractNumId w:val="4"/>
  </w:num>
  <w:num w:numId="7" w16cid:durableId="388384395">
    <w:abstractNumId w:val="0"/>
  </w:num>
  <w:num w:numId="8" w16cid:durableId="236593263">
    <w:abstractNumId w:val="34"/>
  </w:num>
  <w:num w:numId="9" w16cid:durableId="10492112">
    <w:abstractNumId w:val="37"/>
  </w:num>
  <w:num w:numId="10" w16cid:durableId="422410394">
    <w:abstractNumId w:val="26"/>
  </w:num>
  <w:num w:numId="11" w16cid:durableId="205534472">
    <w:abstractNumId w:val="6"/>
  </w:num>
  <w:num w:numId="12" w16cid:durableId="821703992">
    <w:abstractNumId w:val="19"/>
  </w:num>
  <w:num w:numId="13" w16cid:durableId="1552961681">
    <w:abstractNumId w:val="23"/>
  </w:num>
  <w:num w:numId="14" w16cid:durableId="165369171">
    <w:abstractNumId w:val="22"/>
  </w:num>
  <w:num w:numId="15" w16cid:durableId="247203075">
    <w:abstractNumId w:val="16"/>
  </w:num>
  <w:num w:numId="16" w16cid:durableId="1856578572">
    <w:abstractNumId w:val="30"/>
  </w:num>
  <w:num w:numId="17" w16cid:durableId="242835564">
    <w:abstractNumId w:val="38"/>
  </w:num>
  <w:num w:numId="18" w16cid:durableId="1289973709">
    <w:abstractNumId w:val="12"/>
  </w:num>
  <w:num w:numId="19" w16cid:durableId="1221593932">
    <w:abstractNumId w:val="8"/>
  </w:num>
  <w:num w:numId="20" w16cid:durableId="466363241">
    <w:abstractNumId w:val="21"/>
  </w:num>
  <w:num w:numId="21" w16cid:durableId="989795688">
    <w:abstractNumId w:val="7"/>
  </w:num>
  <w:num w:numId="22" w16cid:durableId="2055424675">
    <w:abstractNumId w:val="33"/>
  </w:num>
  <w:num w:numId="23" w16cid:durableId="454760091">
    <w:abstractNumId w:val="20"/>
  </w:num>
  <w:num w:numId="24" w16cid:durableId="1733262402">
    <w:abstractNumId w:val="3"/>
  </w:num>
  <w:num w:numId="25" w16cid:durableId="1335037945">
    <w:abstractNumId w:val="18"/>
  </w:num>
  <w:num w:numId="26" w16cid:durableId="1723559071">
    <w:abstractNumId w:val="17"/>
  </w:num>
  <w:num w:numId="27" w16cid:durableId="1840924737">
    <w:abstractNumId w:val="15"/>
  </w:num>
  <w:num w:numId="28" w16cid:durableId="538862992">
    <w:abstractNumId w:val="32"/>
  </w:num>
  <w:num w:numId="29" w16cid:durableId="393548430">
    <w:abstractNumId w:val="35"/>
  </w:num>
  <w:num w:numId="30" w16cid:durableId="13074424">
    <w:abstractNumId w:val="1"/>
  </w:num>
  <w:num w:numId="31" w16cid:durableId="592711693">
    <w:abstractNumId w:val="25"/>
  </w:num>
  <w:num w:numId="32" w16cid:durableId="118689297">
    <w:abstractNumId w:val="24"/>
  </w:num>
  <w:num w:numId="33" w16cid:durableId="1419330481">
    <w:abstractNumId w:val="5"/>
  </w:num>
  <w:num w:numId="34" w16cid:durableId="438452180">
    <w:abstractNumId w:val="11"/>
  </w:num>
  <w:num w:numId="35" w16cid:durableId="939996494">
    <w:abstractNumId w:val="13"/>
  </w:num>
  <w:num w:numId="36" w16cid:durableId="1640501633">
    <w:abstractNumId w:val="9"/>
  </w:num>
  <w:num w:numId="37" w16cid:durableId="215817607">
    <w:abstractNumId w:val="36"/>
  </w:num>
  <w:num w:numId="38" w16cid:durableId="27879679">
    <w:abstractNumId w:val="10"/>
  </w:num>
  <w:num w:numId="39" w16cid:durableId="109840558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691"/>
    <w:rsid w:val="00000E8F"/>
    <w:rsid w:val="000037EA"/>
    <w:rsid w:val="000144FE"/>
    <w:rsid w:val="0002130B"/>
    <w:rsid w:val="000215BF"/>
    <w:rsid w:val="000215C8"/>
    <w:rsid w:val="00021CF7"/>
    <w:rsid w:val="000233F1"/>
    <w:rsid w:val="00024CD2"/>
    <w:rsid w:val="00027CFD"/>
    <w:rsid w:val="000341E7"/>
    <w:rsid w:val="000378BE"/>
    <w:rsid w:val="00041A41"/>
    <w:rsid w:val="000429D8"/>
    <w:rsid w:val="000516ED"/>
    <w:rsid w:val="000517F1"/>
    <w:rsid w:val="000521E7"/>
    <w:rsid w:val="00053CB7"/>
    <w:rsid w:val="00060ABB"/>
    <w:rsid w:val="000647C0"/>
    <w:rsid w:val="000651BD"/>
    <w:rsid w:val="00065984"/>
    <w:rsid w:val="00071FF5"/>
    <w:rsid w:val="00074E16"/>
    <w:rsid w:val="000757BA"/>
    <w:rsid w:val="00077988"/>
    <w:rsid w:val="00080DE6"/>
    <w:rsid w:val="00083786"/>
    <w:rsid w:val="00087914"/>
    <w:rsid w:val="00090798"/>
    <w:rsid w:val="00092668"/>
    <w:rsid w:val="00093E14"/>
    <w:rsid w:val="000B3244"/>
    <w:rsid w:val="000F0C07"/>
    <w:rsid w:val="000F1B43"/>
    <w:rsid w:val="000F5046"/>
    <w:rsid w:val="00102318"/>
    <w:rsid w:val="0010379E"/>
    <w:rsid w:val="00103AE7"/>
    <w:rsid w:val="00110FFF"/>
    <w:rsid w:val="00112004"/>
    <w:rsid w:val="00114099"/>
    <w:rsid w:val="00114D07"/>
    <w:rsid w:val="00115A64"/>
    <w:rsid w:val="00115C81"/>
    <w:rsid w:val="00125A1F"/>
    <w:rsid w:val="001309AA"/>
    <w:rsid w:val="00132CAA"/>
    <w:rsid w:val="0013492E"/>
    <w:rsid w:val="001371EA"/>
    <w:rsid w:val="001374F9"/>
    <w:rsid w:val="001435D0"/>
    <w:rsid w:val="001439B5"/>
    <w:rsid w:val="00147EE4"/>
    <w:rsid w:val="00155790"/>
    <w:rsid w:val="001574D4"/>
    <w:rsid w:val="00160FE0"/>
    <w:rsid w:val="00164E72"/>
    <w:rsid w:val="001811DC"/>
    <w:rsid w:val="00181DCA"/>
    <w:rsid w:val="0018246E"/>
    <w:rsid w:val="00184B6A"/>
    <w:rsid w:val="00191475"/>
    <w:rsid w:val="00191BB4"/>
    <w:rsid w:val="001925B0"/>
    <w:rsid w:val="00194A63"/>
    <w:rsid w:val="001A284C"/>
    <w:rsid w:val="001A360D"/>
    <w:rsid w:val="001C2EA1"/>
    <w:rsid w:val="001C7FCB"/>
    <w:rsid w:val="001D1B83"/>
    <w:rsid w:val="001D6ED3"/>
    <w:rsid w:val="001E066A"/>
    <w:rsid w:val="001E2222"/>
    <w:rsid w:val="001E39B1"/>
    <w:rsid w:val="001E6891"/>
    <w:rsid w:val="001F06DF"/>
    <w:rsid w:val="001F2DCB"/>
    <w:rsid w:val="00211D02"/>
    <w:rsid w:val="00221F47"/>
    <w:rsid w:val="002378EB"/>
    <w:rsid w:val="00237EEC"/>
    <w:rsid w:val="00242A17"/>
    <w:rsid w:val="00250267"/>
    <w:rsid w:val="002649BB"/>
    <w:rsid w:val="0026664B"/>
    <w:rsid w:val="00271335"/>
    <w:rsid w:val="0027757A"/>
    <w:rsid w:val="0028163D"/>
    <w:rsid w:val="00287EF2"/>
    <w:rsid w:val="002A2141"/>
    <w:rsid w:val="002A2AC6"/>
    <w:rsid w:val="002B1EE6"/>
    <w:rsid w:val="002B6E6B"/>
    <w:rsid w:val="002B7001"/>
    <w:rsid w:val="002C0E5A"/>
    <w:rsid w:val="002D03D6"/>
    <w:rsid w:val="002D2E20"/>
    <w:rsid w:val="002D581B"/>
    <w:rsid w:val="002D6D44"/>
    <w:rsid w:val="002E0E4C"/>
    <w:rsid w:val="002E351B"/>
    <w:rsid w:val="002E4588"/>
    <w:rsid w:val="002E55F1"/>
    <w:rsid w:val="002F08C7"/>
    <w:rsid w:val="002F0B88"/>
    <w:rsid w:val="002F168D"/>
    <w:rsid w:val="002F7F2F"/>
    <w:rsid w:val="00301400"/>
    <w:rsid w:val="003026CB"/>
    <w:rsid w:val="00303690"/>
    <w:rsid w:val="003038CD"/>
    <w:rsid w:val="003105BB"/>
    <w:rsid w:val="00311E9F"/>
    <w:rsid w:val="003127F5"/>
    <w:rsid w:val="003152B4"/>
    <w:rsid w:val="003164D6"/>
    <w:rsid w:val="0031AC3F"/>
    <w:rsid w:val="00323FA9"/>
    <w:rsid w:val="00324642"/>
    <w:rsid w:val="00325537"/>
    <w:rsid w:val="00325FEA"/>
    <w:rsid w:val="00327D83"/>
    <w:rsid w:val="003342A6"/>
    <w:rsid w:val="003401EC"/>
    <w:rsid w:val="00343363"/>
    <w:rsid w:val="0034383F"/>
    <w:rsid w:val="00350B82"/>
    <w:rsid w:val="003568D9"/>
    <w:rsid w:val="00364AD3"/>
    <w:rsid w:val="00370199"/>
    <w:rsid w:val="00370A1E"/>
    <w:rsid w:val="00371FB3"/>
    <w:rsid w:val="00373490"/>
    <w:rsid w:val="00374DC9"/>
    <w:rsid w:val="003756E3"/>
    <w:rsid w:val="003817A5"/>
    <w:rsid w:val="00385B2B"/>
    <w:rsid w:val="00386E56"/>
    <w:rsid w:val="00397737"/>
    <w:rsid w:val="003A0F79"/>
    <w:rsid w:val="003A5CE5"/>
    <w:rsid w:val="003A71D7"/>
    <w:rsid w:val="003B4B74"/>
    <w:rsid w:val="003B4D6C"/>
    <w:rsid w:val="003C0152"/>
    <w:rsid w:val="003C1D1D"/>
    <w:rsid w:val="003C3156"/>
    <w:rsid w:val="003C3671"/>
    <w:rsid w:val="003C3FB2"/>
    <w:rsid w:val="003D2137"/>
    <w:rsid w:val="003D60C0"/>
    <w:rsid w:val="003D6B89"/>
    <w:rsid w:val="003E04C4"/>
    <w:rsid w:val="003F75AE"/>
    <w:rsid w:val="004017E3"/>
    <w:rsid w:val="00412CF0"/>
    <w:rsid w:val="00413191"/>
    <w:rsid w:val="00413C5C"/>
    <w:rsid w:val="0041619B"/>
    <w:rsid w:val="004215B3"/>
    <w:rsid w:val="00421F46"/>
    <w:rsid w:val="004226C9"/>
    <w:rsid w:val="00425109"/>
    <w:rsid w:val="00426AE0"/>
    <w:rsid w:val="00430F3A"/>
    <w:rsid w:val="00437876"/>
    <w:rsid w:val="00440935"/>
    <w:rsid w:val="004414E9"/>
    <w:rsid w:val="0044486F"/>
    <w:rsid w:val="00445AFC"/>
    <w:rsid w:val="00446727"/>
    <w:rsid w:val="0044751D"/>
    <w:rsid w:val="00450F10"/>
    <w:rsid w:val="00453875"/>
    <w:rsid w:val="00455E83"/>
    <w:rsid w:val="00461006"/>
    <w:rsid w:val="004662EB"/>
    <w:rsid w:val="00466A2F"/>
    <w:rsid w:val="00467D1A"/>
    <w:rsid w:val="00474A7F"/>
    <w:rsid w:val="00484C78"/>
    <w:rsid w:val="0048745D"/>
    <w:rsid w:val="00487FE8"/>
    <w:rsid w:val="00492F89"/>
    <w:rsid w:val="004A1990"/>
    <w:rsid w:val="004A4DD7"/>
    <w:rsid w:val="004A500F"/>
    <w:rsid w:val="004A7131"/>
    <w:rsid w:val="004C3674"/>
    <w:rsid w:val="004C6BD6"/>
    <w:rsid w:val="004E2580"/>
    <w:rsid w:val="004F0639"/>
    <w:rsid w:val="004F531B"/>
    <w:rsid w:val="004F70C7"/>
    <w:rsid w:val="00500CAB"/>
    <w:rsid w:val="00504A59"/>
    <w:rsid w:val="00510939"/>
    <w:rsid w:val="00523588"/>
    <w:rsid w:val="005275CF"/>
    <w:rsid w:val="00541691"/>
    <w:rsid w:val="00542302"/>
    <w:rsid w:val="00542BB5"/>
    <w:rsid w:val="00543244"/>
    <w:rsid w:val="005509AF"/>
    <w:rsid w:val="00572F06"/>
    <w:rsid w:val="00586C2F"/>
    <w:rsid w:val="00591EA8"/>
    <w:rsid w:val="005950BF"/>
    <w:rsid w:val="00596745"/>
    <w:rsid w:val="00597B0E"/>
    <w:rsid w:val="005B5DFD"/>
    <w:rsid w:val="005C1B95"/>
    <w:rsid w:val="005D575D"/>
    <w:rsid w:val="005D6509"/>
    <w:rsid w:val="005E03C0"/>
    <w:rsid w:val="005E77B4"/>
    <w:rsid w:val="005E77D7"/>
    <w:rsid w:val="005F17C4"/>
    <w:rsid w:val="005F27DB"/>
    <w:rsid w:val="00611AA1"/>
    <w:rsid w:val="006219C3"/>
    <w:rsid w:val="0062201B"/>
    <w:rsid w:val="00624472"/>
    <w:rsid w:val="006261F6"/>
    <w:rsid w:val="00631123"/>
    <w:rsid w:val="0063221A"/>
    <w:rsid w:val="0063461C"/>
    <w:rsid w:val="006362E8"/>
    <w:rsid w:val="00637205"/>
    <w:rsid w:val="00637B45"/>
    <w:rsid w:val="00641171"/>
    <w:rsid w:val="0065366F"/>
    <w:rsid w:val="00660E3C"/>
    <w:rsid w:val="00667D1D"/>
    <w:rsid w:val="00670668"/>
    <w:rsid w:val="00671E09"/>
    <w:rsid w:val="0067338C"/>
    <w:rsid w:val="00673759"/>
    <w:rsid w:val="00674728"/>
    <w:rsid w:val="006909BC"/>
    <w:rsid w:val="0069296C"/>
    <w:rsid w:val="0069663B"/>
    <w:rsid w:val="0069C956"/>
    <w:rsid w:val="006A2B5F"/>
    <w:rsid w:val="006A6B3F"/>
    <w:rsid w:val="006A799D"/>
    <w:rsid w:val="006B7F93"/>
    <w:rsid w:val="006C4763"/>
    <w:rsid w:val="006D34B7"/>
    <w:rsid w:val="006D3D98"/>
    <w:rsid w:val="006D4FF1"/>
    <w:rsid w:val="006D5B5A"/>
    <w:rsid w:val="006D6A9D"/>
    <w:rsid w:val="006E2531"/>
    <w:rsid w:val="006E7CDE"/>
    <w:rsid w:val="006F0166"/>
    <w:rsid w:val="00700ADC"/>
    <w:rsid w:val="007024A0"/>
    <w:rsid w:val="00704795"/>
    <w:rsid w:val="007061D0"/>
    <w:rsid w:val="007118E5"/>
    <w:rsid w:val="007205A6"/>
    <w:rsid w:val="007419DD"/>
    <w:rsid w:val="00745568"/>
    <w:rsid w:val="007505AA"/>
    <w:rsid w:val="00751CA4"/>
    <w:rsid w:val="00751F76"/>
    <w:rsid w:val="007541BD"/>
    <w:rsid w:val="007546E9"/>
    <w:rsid w:val="0075633B"/>
    <w:rsid w:val="0075634C"/>
    <w:rsid w:val="00756F8B"/>
    <w:rsid w:val="007618CC"/>
    <w:rsid w:val="00763CF2"/>
    <w:rsid w:val="007669C4"/>
    <w:rsid w:val="007719EF"/>
    <w:rsid w:val="00777334"/>
    <w:rsid w:val="00780713"/>
    <w:rsid w:val="007916EF"/>
    <w:rsid w:val="00794759"/>
    <w:rsid w:val="007954A9"/>
    <w:rsid w:val="007A2A3D"/>
    <w:rsid w:val="007A7363"/>
    <w:rsid w:val="007B08D1"/>
    <w:rsid w:val="007B11A3"/>
    <w:rsid w:val="007B42D0"/>
    <w:rsid w:val="007B7D7D"/>
    <w:rsid w:val="007C7C1A"/>
    <w:rsid w:val="007D1666"/>
    <w:rsid w:val="007D7736"/>
    <w:rsid w:val="007D7FAB"/>
    <w:rsid w:val="007E783E"/>
    <w:rsid w:val="007F6B8F"/>
    <w:rsid w:val="0080210A"/>
    <w:rsid w:val="00804F6B"/>
    <w:rsid w:val="00805CA3"/>
    <w:rsid w:val="00807213"/>
    <w:rsid w:val="00811B9A"/>
    <w:rsid w:val="00816E38"/>
    <w:rsid w:val="008254F1"/>
    <w:rsid w:val="008306B9"/>
    <w:rsid w:val="00837AA2"/>
    <w:rsid w:val="00840BC5"/>
    <w:rsid w:val="0084184E"/>
    <w:rsid w:val="00846661"/>
    <w:rsid w:val="00847DE3"/>
    <w:rsid w:val="00851CF6"/>
    <w:rsid w:val="0085214C"/>
    <w:rsid w:val="0086070A"/>
    <w:rsid w:val="008761B9"/>
    <w:rsid w:val="00882C4A"/>
    <w:rsid w:val="0088423D"/>
    <w:rsid w:val="0089040D"/>
    <w:rsid w:val="008926FB"/>
    <w:rsid w:val="00894EEF"/>
    <w:rsid w:val="00897308"/>
    <w:rsid w:val="008A0D03"/>
    <w:rsid w:val="008A1EF8"/>
    <w:rsid w:val="008B3D96"/>
    <w:rsid w:val="008C2FA2"/>
    <w:rsid w:val="008C5430"/>
    <w:rsid w:val="008C6280"/>
    <w:rsid w:val="008D2C60"/>
    <w:rsid w:val="008D3EEF"/>
    <w:rsid w:val="008E071B"/>
    <w:rsid w:val="008E213B"/>
    <w:rsid w:val="008E6FEB"/>
    <w:rsid w:val="008E7581"/>
    <w:rsid w:val="008E790F"/>
    <w:rsid w:val="008E7D59"/>
    <w:rsid w:val="008F2699"/>
    <w:rsid w:val="008F2B90"/>
    <w:rsid w:val="008F30B3"/>
    <w:rsid w:val="008F4DFF"/>
    <w:rsid w:val="008F7C36"/>
    <w:rsid w:val="00903765"/>
    <w:rsid w:val="00906336"/>
    <w:rsid w:val="00907DF2"/>
    <w:rsid w:val="009105F7"/>
    <w:rsid w:val="00917042"/>
    <w:rsid w:val="00920951"/>
    <w:rsid w:val="00922BED"/>
    <w:rsid w:val="00926FCC"/>
    <w:rsid w:val="0092756D"/>
    <w:rsid w:val="00935BF1"/>
    <w:rsid w:val="00937709"/>
    <w:rsid w:val="009411A8"/>
    <w:rsid w:val="00942F10"/>
    <w:rsid w:val="0094780C"/>
    <w:rsid w:val="00947D90"/>
    <w:rsid w:val="00953FEA"/>
    <w:rsid w:val="009651BC"/>
    <w:rsid w:val="00975A8B"/>
    <w:rsid w:val="009762AF"/>
    <w:rsid w:val="00982C94"/>
    <w:rsid w:val="00982FE9"/>
    <w:rsid w:val="009865B7"/>
    <w:rsid w:val="009868D6"/>
    <w:rsid w:val="00990850"/>
    <w:rsid w:val="009977B3"/>
    <w:rsid w:val="009A3C2C"/>
    <w:rsid w:val="009A50E2"/>
    <w:rsid w:val="009A720D"/>
    <w:rsid w:val="009B42DE"/>
    <w:rsid w:val="009B52FB"/>
    <w:rsid w:val="009B5D82"/>
    <w:rsid w:val="009B6A21"/>
    <w:rsid w:val="009C04ED"/>
    <w:rsid w:val="009C3F82"/>
    <w:rsid w:val="009C5E11"/>
    <w:rsid w:val="009C7139"/>
    <w:rsid w:val="009D2372"/>
    <w:rsid w:val="009D49A6"/>
    <w:rsid w:val="009D78F7"/>
    <w:rsid w:val="009E5276"/>
    <w:rsid w:val="009E58DF"/>
    <w:rsid w:val="009E6BC7"/>
    <w:rsid w:val="009E77FA"/>
    <w:rsid w:val="009F72C9"/>
    <w:rsid w:val="00A002F1"/>
    <w:rsid w:val="00A00687"/>
    <w:rsid w:val="00A02E02"/>
    <w:rsid w:val="00A104C0"/>
    <w:rsid w:val="00A12BB4"/>
    <w:rsid w:val="00A15D66"/>
    <w:rsid w:val="00A24F2E"/>
    <w:rsid w:val="00A31A04"/>
    <w:rsid w:val="00A350AD"/>
    <w:rsid w:val="00A35C0B"/>
    <w:rsid w:val="00A408D3"/>
    <w:rsid w:val="00A43CC8"/>
    <w:rsid w:val="00A62C5E"/>
    <w:rsid w:val="00A64948"/>
    <w:rsid w:val="00A727E6"/>
    <w:rsid w:val="00A76243"/>
    <w:rsid w:val="00A84F69"/>
    <w:rsid w:val="00A91325"/>
    <w:rsid w:val="00A92FD6"/>
    <w:rsid w:val="00A930E8"/>
    <w:rsid w:val="00AA0D21"/>
    <w:rsid w:val="00AA1FAE"/>
    <w:rsid w:val="00AB450E"/>
    <w:rsid w:val="00AB6E1D"/>
    <w:rsid w:val="00AB7CD3"/>
    <w:rsid w:val="00AC1DA7"/>
    <w:rsid w:val="00AC7C13"/>
    <w:rsid w:val="00AC7DAA"/>
    <w:rsid w:val="00AD0CB2"/>
    <w:rsid w:val="00AD294B"/>
    <w:rsid w:val="00AD3298"/>
    <w:rsid w:val="00AD509C"/>
    <w:rsid w:val="00AD59CC"/>
    <w:rsid w:val="00AD6486"/>
    <w:rsid w:val="00AE3D1B"/>
    <w:rsid w:val="00AE5934"/>
    <w:rsid w:val="00AE6231"/>
    <w:rsid w:val="00AE6750"/>
    <w:rsid w:val="00AF4E0E"/>
    <w:rsid w:val="00AF606F"/>
    <w:rsid w:val="00AF7B2B"/>
    <w:rsid w:val="00B01EF2"/>
    <w:rsid w:val="00B13D19"/>
    <w:rsid w:val="00B16394"/>
    <w:rsid w:val="00B16C2C"/>
    <w:rsid w:val="00B176C3"/>
    <w:rsid w:val="00B2577B"/>
    <w:rsid w:val="00B275EF"/>
    <w:rsid w:val="00B278FC"/>
    <w:rsid w:val="00B327FC"/>
    <w:rsid w:val="00B330B5"/>
    <w:rsid w:val="00B3521D"/>
    <w:rsid w:val="00B4092A"/>
    <w:rsid w:val="00B4149A"/>
    <w:rsid w:val="00B41F0D"/>
    <w:rsid w:val="00B457FC"/>
    <w:rsid w:val="00B60406"/>
    <w:rsid w:val="00B60668"/>
    <w:rsid w:val="00B613DD"/>
    <w:rsid w:val="00B615D1"/>
    <w:rsid w:val="00B726F2"/>
    <w:rsid w:val="00B827C8"/>
    <w:rsid w:val="00B8523C"/>
    <w:rsid w:val="00B85684"/>
    <w:rsid w:val="00B91D23"/>
    <w:rsid w:val="00B93AD9"/>
    <w:rsid w:val="00B947F1"/>
    <w:rsid w:val="00B96A8B"/>
    <w:rsid w:val="00BA0F0C"/>
    <w:rsid w:val="00BA5874"/>
    <w:rsid w:val="00BB18B6"/>
    <w:rsid w:val="00BC6B6C"/>
    <w:rsid w:val="00BC7A4B"/>
    <w:rsid w:val="00BD4379"/>
    <w:rsid w:val="00BE1166"/>
    <w:rsid w:val="00BE50EA"/>
    <w:rsid w:val="00BE7F72"/>
    <w:rsid w:val="00BF7656"/>
    <w:rsid w:val="00C00676"/>
    <w:rsid w:val="00C139BF"/>
    <w:rsid w:val="00C161AC"/>
    <w:rsid w:val="00C24F99"/>
    <w:rsid w:val="00C27B81"/>
    <w:rsid w:val="00C340F9"/>
    <w:rsid w:val="00C34A7A"/>
    <w:rsid w:val="00C35940"/>
    <w:rsid w:val="00C36358"/>
    <w:rsid w:val="00C45DCE"/>
    <w:rsid w:val="00C46343"/>
    <w:rsid w:val="00C53470"/>
    <w:rsid w:val="00C63EDC"/>
    <w:rsid w:val="00C65475"/>
    <w:rsid w:val="00C6586E"/>
    <w:rsid w:val="00C65C39"/>
    <w:rsid w:val="00C676BF"/>
    <w:rsid w:val="00C7048E"/>
    <w:rsid w:val="00C71881"/>
    <w:rsid w:val="00C75035"/>
    <w:rsid w:val="00C83C86"/>
    <w:rsid w:val="00C853A3"/>
    <w:rsid w:val="00C91377"/>
    <w:rsid w:val="00C922B0"/>
    <w:rsid w:val="00C96CE4"/>
    <w:rsid w:val="00C9732B"/>
    <w:rsid w:val="00CA46BC"/>
    <w:rsid w:val="00CA4ED4"/>
    <w:rsid w:val="00CB57AE"/>
    <w:rsid w:val="00CB59FC"/>
    <w:rsid w:val="00CB699B"/>
    <w:rsid w:val="00CC7D2D"/>
    <w:rsid w:val="00CD6E51"/>
    <w:rsid w:val="00CD7A76"/>
    <w:rsid w:val="00CE1743"/>
    <w:rsid w:val="00CE4EC7"/>
    <w:rsid w:val="00CE4FEA"/>
    <w:rsid w:val="00CE5051"/>
    <w:rsid w:val="00CF2395"/>
    <w:rsid w:val="00CF44EC"/>
    <w:rsid w:val="00D1318A"/>
    <w:rsid w:val="00D218EA"/>
    <w:rsid w:val="00D221F8"/>
    <w:rsid w:val="00D24F42"/>
    <w:rsid w:val="00D2587E"/>
    <w:rsid w:val="00D304D3"/>
    <w:rsid w:val="00D45EC3"/>
    <w:rsid w:val="00D46DE4"/>
    <w:rsid w:val="00D52749"/>
    <w:rsid w:val="00D626FC"/>
    <w:rsid w:val="00D7017C"/>
    <w:rsid w:val="00D70970"/>
    <w:rsid w:val="00D72A3C"/>
    <w:rsid w:val="00D81204"/>
    <w:rsid w:val="00D84210"/>
    <w:rsid w:val="00D84D5B"/>
    <w:rsid w:val="00D84F34"/>
    <w:rsid w:val="00D86BC8"/>
    <w:rsid w:val="00D956B2"/>
    <w:rsid w:val="00DA5EC5"/>
    <w:rsid w:val="00DA6D84"/>
    <w:rsid w:val="00DA7358"/>
    <w:rsid w:val="00DA7578"/>
    <w:rsid w:val="00DA78EB"/>
    <w:rsid w:val="00DA7CA8"/>
    <w:rsid w:val="00DB0A0A"/>
    <w:rsid w:val="00DB1FAA"/>
    <w:rsid w:val="00DB27C8"/>
    <w:rsid w:val="00DB283B"/>
    <w:rsid w:val="00DB4761"/>
    <w:rsid w:val="00DB6F09"/>
    <w:rsid w:val="00DC2514"/>
    <w:rsid w:val="00DD717F"/>
    <w:rsid w:val="00DE15DD"/>
    <w:rsid w:val="00DF0C5B"/>
    <w:rsid w:val="00DF218A"/>
    <w:rsid w:val="00E002A2"/>
    <w:rsid w:val="00E009B3"/>
    <w:rsid w:val="00E03550"/>
    <w:rsid w:val="00E07381"/>
    <w:rsid w:val="00E07830"/>
    <w:rsid w:val="00E07BED"/>
    <w:rsid w:val="00E103E9"/>
    <w:rsid w:val="00E10EAE"/>
    <w:rsid w:val="00E11281"/>
    <w:rsid w:val="00E114AF"/>
    <w:rsid w:val="00E13B20"/>
    <w:rsid w:val="00E149EC"/>
    <w:rsid w:val="00E16C21"/>
    <w:rsid w:val="00E23D08"/>
    <w:rsid w:val="00E24BB9"/>
    <w:rsid w:val="00E26655"/>
    <w:rsid w:val="00E358B2"/>
    <w:rsid w:val="00E4674B"/>
    <w:rsid w:val="00E51C4F"/>
    <w:rsid w:val="00E51E97"/>
    <w:rsid w:val="00E56960"/>
    <w:rsid w:val="00E574B0"/>
    <w:rsid w:val="00E57640"/>
    <w:rsid w:val="00E62DF5"/>
    <w:rsid w:val="00E63660"/>
    <w:rsid w:val="00E70751"/>
    <w:rsid w:val="00E72C9D"/>
    <w:rsid w:val="00E76C15"/>
    <w:rsid w:val="00E77516"/>
    <w:rsid w:val="00E8108F"/>
    <w:rsid w:val="00E9175F"/>
    <w:rsid w:val="00E93623"/>
    <w:rsid w:val="00E9473C"/>
    <w:rsid w:val="00EA314B"/>
    <w:rsid w:val="00EA4F73"/>
    <w:rsid w:val="00EA60BE"/>
    <w:rsid w:val="00EB12FD"/>
    <w:rsid w:val="00EC6954"/>
    <w:rsid w:val="00EC79EF"/>
    <w:rsid w:val="00ED1ECA"/>
    <w:rsid w:val="00ED346D"/>
    <w:rsid w:val="00EE14B5"/>
    <w:rsid w:val="00EE5412"/>
    <w:rsid w:val="00EF1B38"/>
    <w:rsid w:val="00EF45EF"/>
    <w:rsid w:val="00EF61F4"/>
    <w:rsid w:val="00F0172C"/>
    <w:rsid w:val="00F01F26"/>
    <w:rsid w:val="00F06624"/>
    <w:rsid w:val="00F07B85"/>
    <w:rsid w:val="00F12C8A"/>
    <w:rsid w:val="00F176AD"/>
    <w:rsid w:val="00F23432"/>
    <w:rsid w:val="00F2663D"/>
    <w:rsid w:val="00F27C59"/>
    <w:rsid w:val="00F35E3B"/>
    <w:rsid w:val="00F400DF"/>
    <w:rsid w:val="00F51E14"/>
    <w:rsid w:val="00F5705E"/>
    <w:rsid w:val="00F57FA8"/>
    <w:rsid w:val="00F66B3A"/>
    <w:rsid w:val="00F701C6"/>
    <w:rsid w:val="00F73D9F"/>
    <w:rsid w:val="00F75779"/>
    <w:rsid w:val="00F83732"/>
    <w:rsid w:val="00F958C9"/>
    <w:rsid w:val="00F968AF"/>
    <w:rsid w:val="00FA1F11"/>
    <w:rsid w:val="00FA2B2C"/>
    <w:rsid w:val="00FA423C"/>
    <w:rsid w:val="00FA4988"/>
    <w:rsid w:val="00FA4A40"/>
    <w:rsid w:val="00FB6FF3"/>
    <w:rsid w:val="00FC01D3"/>
    <w:rsid w:val="00FC123A"/>
    <w:rsid w:val="00FC2F16"/>
    <w:rsid w:val="00FC5147"/>
    <w:rsid w:val="00FC5A9E"/>
    <w:rsid w:val="00FD2317"/>
    <w:rsid w:val="00FD5668"/>
    <w:rsid w:val="00FD74A7"/>
    <w:rsid w:val="00FE3990"/>
    <w:rsid w:val="00FE45D4"/>
    <w:rsid w:val="00FE67B4"/>
    <w:rsid w:val="00FF7DE7"/>
    <w:rsid w:val="027E1555"/>
    <w:rsid w:val="03C084F4"/>
    <w:rsid w:val="04B52F31"/>
    <w:rsid w:val="04E3985C"/>
    <w:rsid w:val="051C7198"/>
    <w:rsid w:val="058FAFC2"/>
    <w:rsid w:val="060601F7"/>
    <w:rsid w:val="0708162D"/>
    <w:rsid w:val="07732BB0"/>
    <w:rsid w:val="07809C17"/>
    <w:rsid w:val="09D363A2"/>
    <w:rsid w:val="09EF190C"/>
    <w:rsid w:val="0B52D9E0"/>
    <w:rsid w:val="0C0234C8"/>
    <w:rsid w:val="0C2D7476"/>
    <w:rsid w:val="0C44A264"/>
    <w:rsid w:val="0C586139"/>
    <w:rsid w:val="0C804936"/>
    <w:rsid w:val="0DB6DF1B"/>
    <w:rsid w:val="0E2447BA"/>
    <w:rsid w:val="0E87C3DB"/>
    <w:rsid w:val="0EF3D618"/>
    <w:rsid w:val="1012CDBB"/>
    <w:rsid w:val="11E4990A"/>
    <w:rsid w:val="11F5AFA7"/>
    <w:rsid w:val="12914C57"/>
    <w:rsid w:val="1363F967"/>
    <w:rsid w:val="1510C7AF"/>
    <w:rsid w:val="16717FDB"/>
    <w:rsid w:val="17AD6F17"/>
    <w:rsid w:val="18315CE8"/>
    <w:rsid w:val="18BA1FBA"/>
    <w:rsid w:val="1942C64D"/>
    <w:rsid w:val="19601E74"/>
    <w:rsid w:val="19A9619A"/>
    <w:rsid w:val="1AB9A027"/>
    <w:rsid w:val="1B0169FC"/>
    <w:rsid w:val="1F27BEDA"/>
    <w:rsid w:val="1F6EE87E"/>
    <w:rsid w:val="1F81D087"/>
    <w:rsid w:val="2055D398"/>
    <w:rsid w:val="20667025"/>
    <w:rsid w:val="2081D9F6"/>
    <w:rsid w:val="21134EA9"/>
    <w:rsid w:val="21170963"/>
    <w:rsid w:val="22238F11"/>
    <w:rsid w:val="22270346"/>
    <w:rsid w:val="222AA37D"/>
    <w:rsid w:val="255AF7DD"/>
    <w:rsid w:val="256622DD"/>
    <w:rsid w:val="26FE8119"/>
    <w:rsid w:val="27864AE7"/>
    <w:rsid w:val="27C6C4A7"/>
    <w:rsid w:val="283CDD60"/>
    <w:rsid w:val="2A38059A"/>
    <w:rsid w:val="2A6F859A"/>
    <w:rsid w:val="2A798F57"/>
    <w:rsid w:val="2ABDEBA9"/>
    <w:rsid w:val="2B3A59D0"/>
    <w:rsid w:val="2B69B0C4"/>
    <w:rsid w:val="2C430786"/>
    <w:rsid w:val="2D25BB37"/>
    <w:rsid w:val="2D3456A0"/>
    <w:rsid w:val="2DF58C6B"/>
    <w:rsid w:val="2E646C82"/>
    <w:rsid w:val="2F63AC40"/>
    <w:rsid w:val="306BF762"/>
    <w:rsid w:val="30C5997F"/>
    <w:rsid w:val="30D61BFE"/>
    <w:rsid w:val="31951A21"/>
    <w:rsid w:val="32624F11"/>
    <w:rsid w:val="32D08572"/>
    <w:rsid w:val="32EDA1E4"/>
    <w:rsid w:val="348D277F"/>
    <w:rsid w:val="350AD064"/>
    <w:rsid w:val="351AD685"/>
    <w:rsid w:val="353F6885"/>
    <w:rsid w:val="359CE796"/>
    <w:rsid w:val="369AF2F5"/>
    <w:rsid w:val="387EF6CD"/>
    <w:rsid w:val="3A5474AB"/>
    <w:rsid w:val="3A71DC92"/>
    <w:rsid w:val="3BB6978F"/>
    <w:rsid w:val="3BC98EE4"/>
    <w:rsid w:val="3C0DACF3"/>
    <w:rsid w:val="3CED9CEA"/>
    <w:rsid w:val="3E139DBB"/>
    <w:rsid w:val="3E569791"/>
    <w:rsid w:val="3F686573"/>
    <w:rsid w:val="3F69A208"/>
    <w:rsid w:val="40831D23"/>
    <w:rsid w:val="412C7BA7"/>
    <w:rsid w:val="414B3E7D"/>
    <w:rsid w:val="427F7B30"/>
    <w:rsid w:val="428B81DE"/>
    <w:rsid w:val="441B4B91"/>
    <w:rsid w:val="446D3809"/>
    <w:rsid w:val="44975D72"/>
    <w:rsid w:val="44E35406"/>
    <w:rsid w:val="4694368D"/>
    <w:rsid w:val="46F94A36"/>
    <w:rsid w:val="471F4BDC"/>
    <w:rsid w:val="47F7ED18"/>
    <w:rsid w:val="4987F288"/>
    <w:rsid w:val="49D908E8"/>
    <w:rsid w:val="49DD3067"/>
    <w:rsid w:val="4A042AC3"/>
    <w:rsid w:val="4A9A218B"/>
    <w:rsid w:val="4B61C314"/>
    <w:rsid w:val="4B871354"/>
    <w:rsid w:val="4C265D76"/>
    <w:rsid w:val="4C47183B"/>
    <w:rsid w:val="4D5D15A5"/>
    <w:rsid w:val="4D688BBA"/>
    <w:rsid w:val="4F2DD20C"/>
    <w:rsid w:val="50A02C7C"/>
    <w:rsid w:val="51196487"/>
    <w:rsid w:val="51535AF8"/>
    <w:rsid w:val="52C25AB0"/>
    <w:rsid w:val="53160967"/>
    <w:rsid w:val="533FB3D8"/>
    <w:rsid w:val="54043CC1"/>
    <w:rsid w:val="548F8D63"/>
    <w:rsid w:val="55BBD60C"/>
    <w:rsid w:val="5632A644"/>
    <w:rsid w:val="565F4BDC"/>
    <w:rsid w:val="56FCDD28"/>
    <w:rsid w:val="57C2562B"/>
    <w:rsid w:val="57EA0896"/>
    <w:rsid w:val="57F1EE22"/>
    <w:rsid w:val="581805D0"/>
    <w:rsid w:val="582D44DD"/>
    <w:rsid w:val="5922181A"/>
    <w:rsid w:val="594A6DEA"/>
    <w:rsid w:val="59A64A3C"/>
    <w:rsid w:val="59EB9D74"/>
    <w:rsid w:val="5A153A88"/>
    <w:rsid w:val="5AA175E4"/>
    <w:rsid w:val="5BC71F9A"/>
    <w:rsid w:val="5CBD79B9"/>
    <w:rsid w:val="5CD278E1"/>
    <w:rsid w:val="5D486F76"/>
    <w:rsid w:val="5D7EAF84"/>
    <w:rsid w:val="6123B20F"/>
    <w:rsid w:val="6190EADC"/>
    <w:rsid w:val="621DBA6B"/>
    <w:rsid w:val="622EF0CD"/>
    <w:rsid w:val="626FEA6F"/>
    <w:rsid w:val="63320689"/>
    <w:rsid w:val="63A7FF91"/>
    <w:rsid w:val="64DCB3D3"/>
    <w:rsid w:val="65E83C26"/>
    <w:rsid w:val="66558FB9"/>
    <w:rsid w:val="697EFEED"/>
    <w:rsid w:val="699D9C18"/>
    <w:rsid w:val="69D6FB5A"/>
    <w:rsid w:val="6A68AE85"/>
    <w:rsid w:val="6B9B9569"/>
    <w:rsid w:val="6BF17EA2"/>
    <w:rsid w:val="6D22C65C"/>
    <w:rsid w:val="6F294EE7"/>
    <w:rsid w:val="72F9446B"/>
    <w:rsid w:val="736231CA"/>
    <w:rsid w:val="73F41A39"/>
    <w:rsid w:val="74ACBD51"/>
    <w:rsid w:val="7552ECB5"/>
    <w:rsid w:val="75D730B9"/>
    <w:rsid w:val="766944F2"/>
    <w:rsid w:val="7676168E"/>
    <w:rsid w:val="769F6DF2"/>
    <w:rsid w:val="770C2AFA"/>
    <w:rsid w:val="77755DFF"/>
    <w:rsid w:val="781ACB6C"/>
    <w:rsid w:val="7858F29B"/>
    <w:rsid w:val="7972E419"/>
    <w:rsid w:val="7A94A8A7"/>
    <w:rsid w:val="7AC9D0AB"/>
    <w:rsid w:val="7B4C882C"/>
    <w:rsid w:val="7CCE02B1"/>
    <w:rsid w:val="7DCC4969"/>
    <w:rsid w:val="7F1C6445"/>
    <w:rsid w:val="7F3B9A4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B7F121"/>
  <w15:chartTrackingRefBased/>
  <w15:docId w15:val="{C315E4E6-71C4-44B3-8364-63B954EAD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GB"/>
    </w:rPr>
  </w:style>
  <w:style w:type="paragraph" w:styleId="Heading1">
    <w:name w:val="heading 1"/>
    <w:aliases w:val="Numbered - 1,CBC Heading 1,Section,Section Heading,h1,Heading,H1,H11,H12,H111,H13,H112,H14,H113,H15,H114,H16,H115,H17,H116,H18,H117,H19,H118,H110,H119,H120,H1110,H121,H1111,H131,H1121,H141,H1131,H151,H1141,H161,H1151,R1,Main Heading,Pa"/>
    <w:basedOn w:val="Normal"/>
    <w:next w:val="Normal"/>
    <w:qFormat/>
    <w:pPr>
      <w:keepNext/>
      <w:numPr>
        <w:numId w:val="2"/>
      </w:numPr>
      <w:spacing w:before="480" w:after="240"/>
      <w:outlineLvl w:val="0"/>
    </w:pPr>
    <w:rPr>
      <w:rFonts w:ascii="Arial" w:hAnsi="Arial"/>
      <w:b/>
      <w:bCs/>
      <w:caps/>
      <w:kern w:val="28"/>
      <w:sz w:val="28"/>
      <w:szCs w:val="28"/>
      <w:lang w:eastAsia="en-US"/>
    </w:rPr>
  </w:style>
  <w:style w:type="paragraph" w:styleId="Heading2">
    <w:name w:val="heading 2"/>
    <w:aliases w:val="Numbered - 2,h2,2,1.1.1 heading,Reset numbering,PARA2,S Heading,S Heading 2,Attribute Heading 2,título 2,H2,R2,H21,H22,H211,H23,H212,H24,H213,H25,H214,H26,H215,H27,H216,H28,H217,H29,H218,H210,H219,H220,H2110,H221,H2111,H231,H2121,H241,Heading "/>
    <w:basedOn w:val="Normal"/>
    <w:next w:val="Normal"/>
    <w:qFormat/>
    <w:pPr>
      <w:keepNext/>
      <w:numPr>
        <w:ilvl w:val="1"/>
        <w:numId w:val="2"/>
      </w:numPr>
      <w:tabs>
        <w:tab w:val="left" w:pos="1440"/>
        <w:tab w:val="left" w:pos="2160"/>
        <w:tab w:val="left" w:pos="3600"/>
        <w:tab w:val="left" w:pos="4320"/>
        <w:tab w:val="left" w:pos="5040"/>
        <w:tab w:val="left" w:pos="5760"/>
        <w:tab w:val="left" w:pos="6480"/>
        <w:tab w:val="left" w:pos="7200"/>
        <w:tab w:val="left" w:pos="7920"/>
        <w:tab w:val="left" w:pos="8640"/>
        <w:tab w:val="left" w:pos="9360"/>
      </w:tabs>
      <w:spacing w:before="480" w:after="480"/>
      <w:outlineLvl w:val="1"/>
    </w:pPr>
    <w:rPr>
      <w:rFonts w:ascii="Arial" w:hAnsi="Arial"/>
      <w:b/>
      <w:bCs/>
      <w:caps/>
      <w:sz w:val="28"/>
      <w:szCs w:val="28"/>
      <w:lang w:eastAsia="en-US"/>
    </w:rPr>
  </w:style>
  <w:style w:type="paragraph" w:styleId="Heading3">
    <w:name w:val="heading 3"/>
    <w:aliases w:val="Heading P,h3,Level 1 - 1,Minor1,Para Heading 3,Para Heading 31,h31,Minor,H3,H31,H32,H33,H311,(Alt+3),h32,h311,h33,h312,h34,h313,h35,h314,h36,h315,h37,h316,h38,h317,h39,h318,h310,h319,h3110,h320,h3111,h321,h331,h3121,h341,h3131,h351,H34"/>
    <w:basedOn w:val="Normal"/>
    <w:next w:val="Normal"/>
    <w:qFormat/>
    <w:pPr>
      <w:keepNext/>
      <w:numPr>
        <w:ilvl w:val="2"/>
        <w:numId w:val="2"/>
      </w:numPr>
      <w:tabs>
        <w:tab w:val="left" w:pos="1440"/>
        <w:tab w:val="left" w:pos="2160"/>
        <w:tab w:val="left" w:pos="3600"/>
        <w:tab w:val="left" w:pos="4320"/>
        <w:tab w:val="left" w:pos="5040"/>
        <w:tab w:val="left" w:pos="5760"/>
        <w:tab w:val="left" w:pos="6480"/>
        <w:tab w:val="left" w:pos="7200"/>
      </w:tabs>
      <w:spacing w:before="120" w:after="120"/>
      <w:outlineLvl w:val="2"/>
    </w:pPr>
    <w:rPr>
      <w:rFonts w:ascii="Arial" w:hAnsi="Arial"/>
      <w:bCs/>
      <w:szCs w:val="22"/>
      <w:lang w:eastAsia="en-US"/>
    </w:rPr>
  </w:style>
  <w:style w:type="paragraph" w:styleId="Heading4">
    <w:name w:val="heading 4"/>
    <w:aliases w:val="Numbered - 4,h4,Sub-Minor,Level 2 - a,Schedules,1.1 Heading,Fourth Level,sub-sub-sub para,PA Micro Section,Second Level Heading HM,Subhead C,H4,14,l4,4,141,h41,l41,41,142,h42,l42,h43,a.,Map Title,42,parapoint,¶,143,h44,l43,43,1411,h411,l411"/>
    <w:basedOn w:val="Normal"/>
    <w:next w:val="Normal"/>
    <w:qFormat/>
    <w:pPr>
      <w:keepNext/>
      <w:numPr>
        <w:ilvl w:val="3"/>
        <w:numId w:val="2"/>
      </w:numPr>
      <w:spacing w:before="240" w:after="60"/>
      <w:outlineLvl w:val="3"/>
    </w:pPr>
    <w:rPr>
      <w:rFonts w:ascii="Arial" w:hAnsi="Arial"/>
      <w:bCs/>
      <w:szCs w:val="28"/>
      <w:lang w:eastAsia="en-US"/>
    </w:rPr>
  </w:style>
  <w:style w:type="paragraph" w:styleId="Heading5">
    <w:name w:val="heading 5"/>
    <w:basedOn w:val="Normal"/>
    <w:next w:val="Normal"/>
    <w:qFormat/>
    <w:pPr>
      <w:keepNext/>
      <w:outlineLvl w:val="4"/>
    </w:pPr>
    <w:rPr>
      <w:rFonts w:ascii="Arial" w:hAnsi="Arial" w:cs="Arial"/>
      <w:b/>
      <w:bCs/>
      <w:sz w:val="22"/>
      <w:szCs w:val="22"/>
    </w:rPr>
  </w:style>
  <w:style w:type="paragraph" w:styleId="Heading6">
    <w:name w:val="heading 6"/>
    <w:basedOn w:val="Normal"/>
    <w:next w:val="Normal"/>
    <w:qFormat/>
    <w:pPr>
      <w:keepNext/>
      <w:outlineLvl w:val="5"/>
    </w:pPr>
    <w:rPr>
      <w:rFonts w:ascii="Foundry Form Sans" w:hAnsi="Foundry Form Sans" w:cs="Arial"/>
      <w:b/>
      <w:szCs w:val="22"/>
    </w:rPr>
  </w:style>
  <w:style w:type="paragraph" w:styleId="Heading7">
    <w:name w:val="heading 7"/>
    <w:basedOn w:val="Normal"/>
    <w:next w:val="Normal"/>
    <w:link w:val="Heading7Char"/>
    <w:qFormat/>
    <w:pPr>
      <w:keepNext/>
      <w:outlineLvl w:val="6"/>
    </w:pPr>
    <w:rPr>
      <w:rFonts w:ascii="Foundry Form Sans" w:hAnsi="Foundry Form Sans"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paragraph" w:styleId="NormalIndent">
    <w:name w:val="Normal Indent"/>
    <w:basedOn w:val="Normal"/>
    <w:pPr>
      <w:spacing w:before="40" w:after="40"/>
      <w:ind w:left="720"/>
    </w:pPr>
    <w:rPr>
      <w:rFonts w:ascii="Arial" w:hAnsi="Arial"/>
      <w:sz w:val="22"/>
      <w:lang w:eastAsia="en-US"/>
    </w:rPr>
  </w:style>
  <w:style w:type="paragraph" w:styleId="BodyText">
    <w:name w:val="Body Text"/>
    <w:basedOn w:val="Normal"/>
    <w:pPr>
      <w:spacing w:before="40" w:after="120"/>
      <w:ind w:left="1134"/>
    </w:pPr>
    <w:rPr>
      <w:rFonts w:ascii="Arial" w:hAnsi="Arial"/>
      <w:sz w:val="22"/>
      <w:szCs w:val="20"/>
      <w:lang w:eastAsia="en-US"/>
    </w:rPr>
  </w:style>
  <w:style w:type="character" w:styleId="Hyperlink">
    <w:name w:val="Hyperlink"/>
    <w:rPr>
      <w:color w:val="0000FF"/>
      <w:u w:val="single"/>
    </w:rPr>
  </w:style>
  <w:style w:type="paragraph" w:styleId="BodyText2">
    <w:name w:val="Body Text 2"/>
    <w:basedOn w:val="Normal"/>
    <w:rPr>
      <w:rFonts w:ascii="Foundry Form Sans" w:hAnsi="Foundry Form Sans" w:cs="Arial"/>
      <w:b/>
      <w:color w:val="000000"/>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ListParagraph">
    <w:name w:val="List Paragraph"/>
    <w:aliases w:val="Numbered Para 1,Dot pt,No Spacing1,List Paragraph Char Char Char,Indicator Text,List Paragraph1,Bullet Points,MAIN CONTENT,List Paragraph12,List Paragraph11,F5 List Paragraph,List Paragraph2,Normal numbered,OBC Bullet,Bullet Style,Bullet"/>
    <w:basedOn w:val="Normal"/>
    <w:link w:val="ListParagraphChar"/>
    <w:uiPriority w:val="34"/>
    <w:qFormat/>
    <w:rsid w:val="00F400DF"/>
    <w:pPr>
      <w:ind w:left="720"/>
    </w:pPr>
  </w:style>
  <w:style w:type="character" w:customStyle="1" w:styleId="Heading7Char">
    <w:name w:val="Heading 7 Char"/>
    <w:link w:val="Heading7"/>
    <w:rsid w:val="00E77516"/>
    <w:rPr>
      <w:rFonts w:ascii="Foundry Form Sans" w:hAnsi="Foundry Form Sans" w:cs="Arial"/>
      <w:b/>
      <w:color w:val="000000"/>
      <w:sz w:val="24"/>
      <w:szCs w:val="24"/>
    </w:rPr>
  </w:style>
  <w:style w:type="table" w:styleId="TableGrid">
    <w:name w:val="Table Grid"/>
    <w:basedOn w:val="TableNormal"/>
    <w:rsid w:val="007A73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07830"/>
    <w:rPr>
      <w:sz w:val="24"/>
      <w:szCs w:val="24"/>
      <w:lang w:eastAsia="en-GB"/>
    </w:rPr>
  </w:style>
  <w:style w:type="character" w:styleId="Mention">
    <w:name w:val="Mention"/>
    <w:basedOn w:val="DefaultParagraphFont"/>
    <w:uiPriority w:val="99"/>
    <w:unhideWhenUsed/>
    <w:rsid w:val="00ED1ECA"/>
    <w:rPr>
      <w:color w:val="2B579A"/>
      <w:shd w:val="clear" w:color="auto" w:fill="E6E6E6"/>
    </w:rPr>
  </w:style>
  <w:style w:type="character" w:styleId="UnresolvedMention">
    <w:name w:val="Unresolved Mention"/>
    <w:basedOn w:val="DefaultParagraphFont"/>
    <w:uiPriority w:val="99"/>
    <w:semiHidden/>
    <w:unhideWhenUsed/>
    <w:rsid w:val="00ED1ECA"/>
    <w:rPr>
      <w:color w:val="605E5C"/>
      <w:shd w:val="clear" w:color="auto" w:fill="E1DFDD"/>
    </w:rPr>
  </w:style>
  <w:style w:type="character" w:customStyle="1" w:styleId="cf01">
    <w:name w:val="cf01"/>
    <w:basedOn w:val="DefaultParagraphFont"/>
    <w:rsid w:val="00B8523C"/>
    <w:rPr>
      <w:rFonts w:ascii="Segoe UI" w:hAnsi="Segoe UI" w:cs="Segoe UI" w:hint="default"/>
      <w:sz w:val="18"/>
      <w:szCs w:val="18"/>
    </w:rPr>
  </w:style>
  <w:style w:type="paragraph" w:styleId="Footer">
    <w:name w:val="footer"/>
    <w:basedOn w:val="Normal"/>
    <w:link w:val="FooterChar"/>
    <w:rsid w:val="00E07381"/>
    <w:pPr>
      <w:tabs>
        <w:tab w:val="center" w:pos="4513"/>
        <w:tab w:val="right" w:pos="9026"/>
      </w:tabs>
    </w:pPr>
  </w:style>
  <w:style w:type="character" w:customStyle="1" w:styleId="FooterChar">
    <w:name w:val="Footer Char"/>
    <w:basedOn w:val="DefaultParagraphFont"/>
    <w:link w:val="Footer"/>
    <w:rsid w:val="00E07381"/>
    <w:rPr>
      <w:sz w:val="24"/>
      <w:szCs w:val="24"/>
      <w:lang w:eastAsia="en-GB"/>
    </w:rPr>
  </w:style>
  <w:style w:type="paragraph" w:customStyle="1" w:styleId="paragraph">
    <w:name w:val="paragraph"/>
    <w:basedOn w:val="Normal"/>
    <w:rsid w:val="008E6FEB"/>
    <w:pPr>
      <w:spacing w:before="100" w:beforeAutospacing="1" w:after="100" w:afterAutospacing="1"/>
    </w:pPr>
  </w:style>
  <w:style w:type="character" w:customStyle="1" w:styleId="ListParagraphChar">
    <w:name w:val="List Paragraph Char"/>
    <w:aliases w:val="Numbered Para 1 Char,Dot pt Char,No Spacing1 Char,List Paragraph Char Char Char Char,Indicator Text Char,List Paragraph1 Char,Bullet Points Char,MAIN CONTENT Char,List Paragraph12 Char,List Paragraph11 Char,F5 List Paragraph Char"/>
    <w:basedOn w:val="DefaultParagraphFont"/>
    <w:link w:val="ListParagraph"/>
    <w:uiPriority w:val="34"/>
    <w:qFormat/>
    <w:locked/>
    <w:rsid w:val="008E6FEB"/>
    <w:rPr>
      <w:sz w:val="24"/>
      <w:szCs w:val="24"/>
      <w:lang w:eastAsia="en-GB"/>
    </w:rPr>
  </w:style>
  <w:style w:type="paragraph" w:styleId="Header">
    <w:name w:val="header"/>
    <w:basedOn w:val="Normal"/>
    <w:link w:val="HeaderChar"/>
    <w:rsid w:val="00114D07"/>
    <w:pPr>
      <w:tabs>
        <w:tab w:val="center" w:pos="4513"/>
        <w:tab w:val="right" w:pos="9026"/>
      </w:tabs>
    </w:pPr>
  </w:style>
  <w:style w:type="character" w:customStyle="1" w:styleId="HeaderChar">
    <w:name w:val="Header Char"/>
    <w:basedOn w:val="DefaultParagraphFont"/>
    <w:link w:val="Header"/>
    <w:rsid w:val="00114D07"/>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147868">
      <w:bodyDiv w:val="1"/>
      <w:marLeft w:val="0"/>
      <w:marRight w:val="0"/>
      <w:marTop w:val="0"/>
      <w:marBottom w:val="0"/>
      <w:divBdr>
        <w:top w:val="none" w:sz="0" w:space="0" w:color="auto"/>
        <w:left w:val="none" w:sz="0" w:space="0" w:color="auto"/>
        <w:bottom w:val="none" w:sz="0" w:space="0" w:color="auto"/>
        <w:right w:val="none" w:sz="0" w:space="0" w:color="auto"/>
      </w:divBdr>
    </w:div>
    <w:div w:id="1537086402">
      <w:bodyDiv w:val="1"/>
      <w:marLeft w:val="0"/>
      <w:marRight w:val="0"/>
      <w:marTop w:val="0"/>
      <w:marBottom w:val="0"/>
      <w:divBdr>
        <w:top w:val="none" w:sz="0" w:space="0" w:color="auto"/>
        <w:left w:val="none" w:sz="0" w:space="0" w:color="auto"/>
        <w:bottom w:val="none" w:sz="0" w:space="0" w:color="auto"/>
        <w:right w:val="none" w:sz="0" w:space="0" w:color="auto"/>
      </w:divBdr>
    </w:div>
    <w:div w:id="1914847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pieconomics.com/publications/green-jobs-and-skills-in-central-lond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ns.gov.uk/economy/environmentalaccounts/methodologies/lowcarbonandrenewableenergyeconomylcreesurveyqmi" TargetMode="Externa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https://wpieconomics.com/green-jobs-and-skills-in-london-cross-london-repor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784A6105A285428B46AA32DA6EE65D" ma:contentTypeVersion="18" ma:contentTypeDescription="Create a new document." ma:contentTypeScope="" ma:versionID="a61332e1c64f9e9c17d7ea049f370f3a">
  <xsd:schema xmlns:xsd="http://www.w3.org/2001/XMLSchema" xmlns:xs="http://www.w3.org/2001/XMLSchema" xmlns:p="http://schemas.microsoft.com/office/2006/metadata/properties" xmlns:ns2="1d17e233-50e0-4c60-bf3b-a8c665ce43d1" xmlns:ns3="3c57ed6a-a1b0-4c2a-8b70-600d4a18075f" targetNamespace="http://schemas.microsoft.com/office/2006/metadata/properties" ma:root="true" ma:fieldsID="77a8fea7a5fdcc344477446a030fbeb1" ns2:_="" ns3:_="">
    <xsd:import namespace="1d17e233-50e0-4c60-bf3b-a8c665ce43d1"/>
    <xsd:import namespace="3c57ed6a-a1b0-4c2a-8b70-600d4a1807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7e233-50e0-4c60-bf3b-a8c665ce43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651981c-07c9-48be-a366-aa18a08a6388"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57ed6a-a1b0-4c2a-8b70-600d4a18075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b784271-4e07-453b-b45d-8f688660328b}" ma:internalName="TaxCatchAll" ma:showField="CatchAllData" ma:web="3c57ed6a-a1b0-4c2a-8b70-600d4a1807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d17e233-50e0-4c60-bf3b-a8c665ce43d1">
      <Terms xmlns="http://schemas.microsoft.com/office/infopath/2007/PartnerControls"/>
    </lcf76f155ced4ddcb4097134ff3c332f>
    <TaxCatchAll xmlns="3c57ed6a-a1b0-4c2a-8b70-600d4a18075f" xsi:nil="true"/>
    <SharedWithUsers xmlns="3c57ed6a-a1b0-4c2a-8b70-600d4a18075f">
      <UserInfo>
        <DisplayName>Mike Hope</DisplayName>
        <AccountId>798</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995D84-A68D-4EAC-9BAC-BFBEC411F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17e233-50e0-4c60-bf3b-a8c665ce43d1"/>
    <ds:schemaRef ds:uri="3c57ed6a-a1b0-4c2a-8b70-600d4a1807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D2D6EC-54C9-42E0-864C-4EA7D456CCBF}">
  <ds:schemaRefs>
    <ds:schemaRef ds:uri="http://schemas.microsoft.com/office/2006/metadata/properties"/>
    <ds:schemaRef ds:uri="http://schemas.microsoft.com/office/infopath/2007/PartnerControls"/>
    <ds:schemaRef ds:uri="1d17e233-50e0-4c60-bf3b-a8c665ce43d1"/>
    <ds:schemaRef ds:uri="3c57ed6a-a1b0-4c2a-8b70-600d4a18075f"/>
  </ds:schemaRefs>
</ds:datastoreItem>
</file>

<file path=customXml/itemProps3.xml><?xml version="1.0" encoding="utf-8"?>
<ds:datastoreItem xmlns:ds="http://schemas.openxmlformats.org/officeDocument/2006/customXml" ds:itemID="{959E7DAB-F0DC-4C57-B6F5-1C5A614F74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2881</Words>
  <Characters>15828</Characters>
  <Application>Microsoft Office Word</Application>
  <DocSecurity>4</DocSecurity>
  <Lines>131</Lines>
  <Paragraphs>37</Paragraphs>
  <ScaleCrop>false</ScaleCrop>
  <HeadingPairs>
    <vt:vector size="2" baseType="variant">
      <vt:variant>
        <vt:lpstr>Title</vt:lpstr>
      </vt:variant>
      <vt:variant>
        <vt:i4>1</vt:i4>
      </vt:variant>
    </vt:vector>
  </HeadingPairs>
  <TitlesOfParts>
    <vt:vector size="1" baseType="lpstr">
      <vt:lpstr>Retrofit Accord</vt:lpstr>
    </vt:vector>
  </TitlesOfParts>
  <Company>LDA</Company>
  <LinksUpToDate>false</LinksUpToDate>
  <CharactersWithSpaces>18672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Retrofit Accord</dc:title>
  <dc:subject/>
  <dc:creator>Jacqui Wordsworth</dc:creator>
  <cp:keywords/>
  <dc:description/>
  <cp:lastModifiedBy>Robert Eales</cp:lastModifiedBy>
  <cp:revision>2</cp:revision>
  <cp:lastPrinted>2009-10-15T19:18:00Z</cp:lastPrinted>
  <dcterms:created xsi:type="dcterms:W3CDTF">2024-03-28T10:22:00Z</dcterms:created>
  <dcterms:modified xsi:type="dcterms:W3CDTF">2024-03-28T10:22:00Z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0x010100E3784A6105A285428B46AA32DA6EE65D</vt:lpwstr>
  </property>
  <property fmtid="{D5CDD505-2E9C-101B-9397-08002B2CF9AE}" pid="3" name="TaxCatchAll">
    <vt:lpwstr/>
  </property>
  <property fmtid="{D5CDD505-2E9C-101B-9397-08002B2CF9AE}" pid="4" name="lcf76f155ced4ddcb4097134ff3c332f">
    <vt:lpwstr/>
  </property>
  <property fmtid="{D5CDD505-2E9C-101B-9397-08002B2CF9AE}" pid="5" name="MediaServiceImageTags">
    <vt:lpwstr/>
  </property>
  <property fmtid="{D5CDD505-2E9C-101B-9397-08002B2CF9AE}" pid="6" name="ClassificationContentMarkingFooterShapeIds">
    <vt:lpwstr>1,2,3</vt:lpwstr>
  </property>
  <property fmtid="{D5CDD505-2E9C-101B-9397-08002B2CF9AE}" pid="7" name="ClassificationContentMarkingFooterFontProps">
    <vt:lpwstr>#000000,14,Calibri</vt:lpwstr>
  </property>
  <property fmtid="{D5CDD505-2E9C-101B-9397-08002B2CF9AE}" pid="8" name="ClassificationContentMarkingFooterText">
    <vt:lpwstr>TfL CONFIDENTIAL</vt:lpwstr>
  </property>
  <property fmtid="{D5CDD505-2E9C-101B-9397-08002B2CF9AE}" pid="9" name="MSIP_Label_b222021a-845d-404f-916a-c2f05cf29691_Enabled">
    <vt:lpwstr>true</vt:lpwstr>
  </property>
  <property fmtid="{D5CDD505-2E9C-101B-9397-08002B2CF9AE}" pid="10" name="MSIP_Label_b222021a-845d-404f-916a-c2f05cf29691_SetDate">
    <vt:lpwstr>2024-02-13T13:17:47Z</vt:lpwstr>
  </property>
  <property fmtid="{D5CDD505-2E9C-101B-9397-08002B2CF9AE}" pid="11" name="MSIP_Label_b222021a-845d-404f-916a-c2f05cf29691_Method">
    <vt:lpwstr>Privileged</vt:lpwstr>
  </property>
  <property fmtid="{D5CDD505-2E9C-101B-9397-08002B2CF9AE}" pid="12" name="MSIP_Label_b222021a-845d-404f-916a-c2f05cf29691_Name">
    <vt:lpwstr>TfL Confidential - Protected</vt:lpwstr>
  </property>
  <property fmtid="{D5CDD505-2E9C-101B-9397-08002B2CF9AE}" pid="13" name="MSIP_Label_b222021a-845d-404f-916a-c2f05cf29691_SiteId">
    <vt:lpwstr>1fbd65bf-5def-4eea-a692-a089c255346b</vt:lpwstr>
  </property>
  <property fmtid="{D5CDD505-2E9C-101B-9397-08002B2CF9AE}" pid="14" name="MSIP_Label_b222021a-845d-404f-916a-c2f05cf29691_ActionId">
    <vt:lpwstr>b639964d-7481-4fcb-823a-39b14fcc2964</vt:lpwstr>
  </property>
  <property fmtid="{D5CDD505-2E9C-101B-9397-08002B2CF9AE}" pid="15" name="MSIP_Label_b222021a-845d-404f-916a-c2f05cf29691_ContentBits">
    <vt:lpwstr>2</vt:lpwstr>
  </property>
</Properties>
</file>