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1FD2B" w14:textId="281F7884" w:rsidR="00714AE8" w:rsidRPr="00843791" w:rsidRDefault="00DA0A4F" w:rsidP="00C334BA">
      <w:pPr>
        <w:pStyle w:val="Headings2"/>
        <w:jc w:val="center"/>
      </w:pPr>
      <w:r w:rsidRPr="00843791">
        <w:t>Future Parks Accelerator</w:t>
      </w:r>
      <w:r w:rsidR="00044F2C" w:rsidRPr="00843791">
        <w:t xml:space="preserve"> (</w:t>
      </w:r>
      <w:r w:rsidRPr="00843791">
        <w:t>FPA</w:t>
      </w:r>
      <w:r w:rsidR="00044F2C" w:rsidRPr="00843791">
        <w:t>)</w:t>
      </w:r>
      <w:r w:rsidR="00714AE8" w:rsidRPr="00843791">
        <w:t xml:space="preserve"> Programme Evaluation</w:t>
      </w:r>
    </w:p>
    <w:p w14:paraId="1FFA3DFA" w14:textId="77777777" w:rsidR="000C73FA" w:rsidRPr="00843791" w:rsidRDefault="000C73FA" w:rsidP="00C334BA">
      <w:pPr>
        <w:pStyle w:val="Headings2"/>
        <w:jc w:val="center"/>
      </w:pPr>
      <w:r w:rsidRPr="00843791">
        <w:t>Clarification Questions</w:t>
      </w:r>
      <w:r w:rsidR="00802B0B" w:rsidRPr="00843791">
        <w:t xml:space="preserve"> and Responses</w:t>
      </w:r>
    </w:p>
    <w:p w14:paraId="08432F67" w14:textId="2F063EF1" w:rsidR="009D31ED" w:rsidRPr="00843791" w:rsidRDefault="009D31ED" w:rsidP="009D31ED">
      <w:pPr>
        <w:pStyle w:val="BodyText"/>
        <w:rPr>
          <w:b/>
          <w:color w:val="000000"/>
        </w:rPr>
      </w:pPr>
      <w:r>
        <w:t xml:space="preserve">Note: </w:t>
      </w:r>
      <w:r w:rsidRPr="00931DB8">
        <w:rPr>
          <w:color w:val="000000"/>
        </w:rPr>
        <w:t xml:space="preserve">To receive a copy of the FPA Expression of Interest Guidance and the </w:t>
      </w:r>
      <w:r>
        <w:rPr>
          <w:color w:val="000000"/>
        </w:rPr>
        <w:t>A</w:t>
      </w:r>
      <w:r w:rsidRPr="00931DB8">
        <w:rPr>
          <w:color w:val="000000"/>
        </w:rPr>
        <w:t xml:space="preserve">pplication </w:t>
      </w:r>
      <w:r>
        <w:rPr>
          <w:color w:val="000000"/>
        </w:rPr>
        <w:t>G</w:t>
      </w:r>
      <w:r w:rsidRPr="00931DB8">
        <w:rPr>
          <w:color w:val="000000"/>
        </w:rPr>
        <w:t>uidance please email:</w:t>
      </w:r>
      <w:r w:rsidRPr="00931DB8">
        <w:rPr>
          <w:b/>
          <w:color w:val="000000"/>
        </w:rPr>
        <w:t xml:space="preserve"> </w:t>
      </w:r>
      <w:hyperlink r:id="rId8" w:history="1">
        <w:r w:rsidRPr="00931DB8">
          <w:rPr>
            <w:rStyle w:val="Hyperlink"/>
            <w:rFonts w:eastAsia="Times New Roman"/>
          </w:rPr>
          <w:t>Asimina.vergou@heritagefund.org.uk</w:t>
        </w:r>
      </w:hyperlink>
      <w:r>
        <w:rPr>
          <w:b/>
          <w:color w:val="000000"/>
        </w:rPr>
        <w:t xml:space="preserve"> </w:t>
      </w:r>
    </w:p>
    <w:p w14:paraId="5E28741D" w14:textId="175BABCE" w:rsidR="00282E41" w:rsidRPr="009D31ED" w:rsidRDefault="00282E41" w:rsidP="00D33F47">
      <w:pPr>
        <w:spacing w:line="276" w:lineRule="auto"/>
        <w:rPr>
          <w:sz w:val="22"/>
          <w:szCs w:val="22"/>
          <w:lang w:val="en-GB"/>
        </w:rPr>
      </w:pPr>
    </w:p>
    <w:p w14:paraId="0A3B1261" w14:textId="5B5C2105" w:rsidR="009F3BBB" w:rsidRPr="00C334BA" w:rsidRDefault="009F3BBB" w:rsidP="00C334BA">
      <w:pPr>
        <w:pStyle w:val="Headings2"/>
      </w:pPr>
      <w:bookmarkStart w:id="0" w:name="_Toc497489046"/>
      <w:r w:rsidRPr="00C334BA">
        <w:t>Timescales</w:t>
      </w:r>
    </w:p>
    <w:p w14:paraId="1B8848DF" w14:textId="4D9F1084" w:rsidR="00DA0A4F" w:rsidRPr="00843791" w:rsidRDefault="009041D4" w:rsidP="002F354F">
      <w:pPr>
        <w:pStyle w:val="BodyText"/>
        <w:rPr>
          <w:b/>
          <w:lang w:eastAsia="en-US"/>
        </w:rPr>
      </w:pPr>
      <w:r w:rsidRPr="002F354F">
        <w:rPr>
          <w:b/>
        </w:rPr>
        <w:t>Q</w:t>
      </w:r>
      <w:r w:rsidR="00BB1B91" w:rsidRPr="002F354F">
        <w:rPr>
          <w:b/>
        </w:rPr>
        <w:t>1</w:t>
      </w:r>
      <w:r w:rsidRPr="002F354F">
        <w:rPr>
          <w:b/>
        </w:rPr>
        <w:t>.</w:t>
      </w:r>
      <w:r w:rsidR="00036AFC">
        <w:rPr>
          <w:b/>
        </w:rPr>
        <w:t xml:space="preserve"> </w:t>
      </w:r>
      <w:r w:rsidR="00DA0A4F" w:rsidRPr="00843791">
        <w:t>Paragraph 1.20: Are you able to provide approximate timescales for each of the two project phases (co-design and transition phases)?</w:t>
      </w:r>
    </w:p>
    <w:p w14:paraId="33248482" w14:textId="0A85416A" w:rsidR="00BA2E30" w:rsidRPr="00843791" w:rsidRDefault="009041D4" w:rsidP="002F354F">
      <w:pPr>
        <w:pStyle w:val="BodyText"/>
        <w:rPr>
          <w:b/>
        </w:rPr>
      </w:pPr>
      <w:r w:rsidRPr="002F354F">
        <w:rPr>
          <w:b/>
        </w:rPr>
        <w:t>Q</w:t>
      </w:r>
      <w:r w:rsidR="00036AFC" w:rsidRPr="002F354F">
        <w:rPr>
          <w:b/>
        </w:rPr>
        <w:t>2</w:t>
      </w:r>
      <w:r w:rsidRPr="002F354F">
        <w:rPr>
          <w:b/>
        </w:rPr>
        <w:t>.</w:t>
      </w:r>
      <w:r w:rsidR="00CD4958">
        <w:rPr>
          <w:b/>
        </w:rPr>
        <w:t xml:space="preserve"> </w:t>
      </w:r>
      <w:r w:rsidR="00BA2E30" w:rsidRPr="00843791">
        <w:t>When is the co-design phase due to start and end?</w:t>
      </w:r>
    </w:p>
    <w:p w14:paraId="5660589E" w14:textId="2A82C68E" w:rsidR="00DA0A4F" w:rsidRPr="00CD4958" w:rsidRDefault="009041D4" w:rsidP="00CD4958">
      <w:pPr>
        <w:pStyle w:val="BodyText"/>
      </w:pPr>
      <w:r w:rsidRPr="004C2909">
        <w:t>Each project has identified their own timescale in relation to when the two phases start and finish based on their project needs and required activities. For example, the co-design period</w:t>
      </w:r>
      <w:r w:rsidR="00802A8B" w:rsidRPr="004C2909">
        <w:t>, which is the first phase of the project,</w:t>
      </w:r>
      <w:r w:rsidRPr="004C2909">
        <w:t xml:space="preserve"> may </w:t>
      </w:r>
      <w:r w:rsidR="00802A8B" w:rsidRPr="004C2909">
        <w:t xml:space="preserve">last </w:t>
      </w:r>
      <w:r w:rsidRPr="004C2909">
        <w:t xml:space="preserve">between 9-16months. All projects are expected to report at a mid-point review their progress towards co-design phase in order to get approval to start their transition phase. </w:t>
      </w:r>
      <w:r w:rsidR="003D7194" w:rsidRPr="004C2909">
        <w:t xml:space="preserve">Each project has set their own mid-point review. </w:t>
      </w:r>
      <w:r w:rsidRPr="004C2909">
        <w:t>Projects are expected to finish approximately by May 2021.</w:t>
      </w:r>
      <w:r w:rsidR="00DA0A4F" w:rsidRPr="00CD4958">
        <w:t> </w:t>
      </w:r>
    </w:p>
    <w:p w14:paraId="49349BC9" w14:textId="205225D2" w:rsidR="00DA0A4F" w:rsidRPr="00843791" w:rsidRDefault="009041D4" w:rsidP="002F354F">
      <w:pPr>
        <w:pStyle w:val="BodyText"/>
        <w:rPr>
          <w:b/>
        </w:rPr>
      </w:pPr>
      <w:r w:rsidRPr="002F354F">
        <w:rPr>
          <w:b/>
        </w:rPr>
        <w:t>Q</w:t>
      </w:r>
      <w:r w:rsidR="00053A1F" w:rsidRPr="002F354F">
        <w:rPr>
          <w:b/>
        </w:rPr>
        <w:t>3</w:t>
      </w:r>
      <w:r w:rsidRPr="002F354F">
        <w:rPr>
          <w:b/>
        </w:rPr>
        <w:t>.</w:t>
      </w:r>
      <w:r w:rsidR="00053A1F">
        <w:rPr>
          <w:b/>
        </w:rPr>
        <w:t xml:space="preserve"> </w:t>
      </w:r>
      <w:r w:rsidR="00DA0A4F" w:rsidRPr="00843791">
        <w:t>Do you expect projects to follow the same timescale or could these vary?</w:t>
      </w:r>
    </w:p>
    <w:p w14:paraId="49093678" w14:textId="5F4D4D50" w:rsidR="009041D4" w:rsidRPr="00843791" w:rsidRDefault="009041D4" w:rsidP="00A91967">
      <w:pPr>
        <w:pStyle w:val="BodyText"/>
        <w:rPr>
          <w:b/>
        </w:rPr>
      </w:pPr>
      <w:r w:rsidRPr="004C2909">
        <w:t xml:space="preserve">Projects are given overall a two-year period to complete. The co-design and transition phases within each project varies based on the project’s needs, and different context requirements. </w:t>
      </w:r>
    </w:p>
    <w:p w14:paraId="02494790" w14:textId="01AE638D" w:rsidR="00DA0A4F" w:rsidRPr="00843791" w:rsidRDefault="00DA0A4F" w:rsidP="00DA0A4F">
      <w:pPr>
        <w:pStyle w:val="ListParagraph"/>
        <w:rPr>
          <w:b w:val="0"/>
        </w:rPr>
      </w:pPr>
      <w:r w:rsidRPr="00843791">
        <w:rPr>
          <w:b w:val="0"/>
        </w:rPr>
        <w:t> </w:t>
      </w:r>
    </w:p>
    <w:p w14:paraId="1A2DD25F" w14:textId="23CD45E8" w:rsidR="00D67B3F" w:rsidRPr="00843791" w:rsidRDefault="00D67B3F" w:rsidP="004F49C4">
      <w:pPr>
        <w:pStyle w:val="Headings2"/>
        <w:rPr>
          <w:rFonts w:eastAsiaTheme="minorHAnsi"/>
        </w:rPr>
      </w:pPr>
      <w:r w:rsidRPr="00843791">
        <w:t>Grantees/projects involvement in programme evaluation</w:t>
      </w:r>
      <w:r w:rsidR="00B87266" w:rsidRPr="00843791">
        <w:t xml:space="preserve"> and learning events</w:t>
      </w:r>
    </w:p>
    <w:p w14:paraId="504B151C" w14:textId="34F57B26" w:rsidR="00DA0A4F" w:rsidRDefault="00A91967" w:rsidP="002F354F">
      <w:pPr>
        <w:pStyle w:val="BodyText"/>
      </w:pPr>
      <w:r w:rsidRPr="002F354F">
        <w:rPr>
          <w:b/>
        </w:rPr>
        <w:t>Q4.</w:t>
      </w:r>
      <w:r w:rsidRPr="002F354F">
        <w:t xml:space="preserve"> </w:t>
      </w:r>
      <w:r w:rsidR="00DA0A4F" w:rsidRPr="002F354F">
        <w:t xml:space="preserve">Paragraph 1.2.1: Is there, or will there be, a commitment in place to sharing evidence from the individual project evaluations with the winning bidder of this tender for the wider evaluation? </w:t>
      </w:r>
    </w:p>
    <w:p w14:paraId="48A77D7F" w14:textId="77777777" w:rsidR="004C2909" w:rsidRPr="00843791" w:rsidRDefault="004C2909" w:rsidP="004C2909">
      <w:pPr>
        <w:pStyle w:val="BodyText"/>
        <w:rPr>
          <w:rFonts w:eastAsia="Times New Roman"/>
          <w:b/>
          <w:lang w:eastAsia="en-US"/>
        </w:rPr>
      </w:pPr>
      <w:r>
        <w:rPr>
          <w:rFonts w:eastAsia="Times New Roman"/>
          <w:b/>
        </w:rPr>
        <w:t xml:space="preserve">Q5. </w:t>
      </w:r>
      <w:r w:rsidRPr="00843791">
        <w:rPr>
          <w:rFonts w:eastAsia="Times New Roman"/>
        </w:rPr>
        <w:t xml:space="preserve">What kind of engagement with the programme would you expect from grantees once the grant-giving phase is over? </w:t>
      </w:r>
      <w:r w:rsidRPr="00843791">
        <w:t>In connection with this, do you expect the learning events to take place only during the period of fund distribution (i.e. do you expect 6 events or 4 events)?</w:t>
      </w:r>
    </w:p>
    <w:p w14:paraId="5C8659CF" w14:textId="77777777" w:rsidR="004C2909" w:rsidRPr="00843791" w:rsidRDefault="004C2909" w:rsidP="004C2909">
      <w:pPr>
        <w:pStyle w:val="BodyText"/>
        <w:rPr>
          <w:rFonts w:eastAsia="Times New Roman"/>
          <w:b/>
        </w:rPr>
      </w:pPr>
      <w:r>
        <w:rPr>
          <w:rFonts w:eastAsia="Times New Roman"/>
          <w:b/>
        </w:rPr>
        <w:t xml:space="preserve">Q6. </w:t>
      </w:r>
      <w:r w:rsidRPr="00843791">
        <w:rPr>
          <w:rFonts w:eastAsia="Times New Roman"/>
        </w:rPr>
        <w:t xml:space="preserve">Would you like the first two learning events to take place in 2019, therefore six in total between 2019 and 2022? This is useful to clarify given the potential costs associated with the events. </w:t>
      </w:r>
    </w:p>
    <w:p w14:paraId="488234CD" w14:textId="6FEE3C07" w:rsidR="004C2909" w:rsidRPr="002F354F" w:rsidRDefault="004C2909" w:rsidP="002F354F">
      <w:pPr>
        <w:pStyle w:val="BodyText"/>
      </w:pPr>
      <w:r>
        <w:t xml:space="preserve">The projects, through their standard terms of grant, have committed to monitor the success of their project through their own project evaluation. In addition, they have committed to engage with the programme evaluators throughout the programme evaluation period (including one year after their grant finishes). In </w:t>
      </w:r>
      <w:proofErr w:type="gramStart"/>
      <w:r>
        <w:t>particular</w:t>
      </w:r>
      <w:proofErr w:type="gramEnd"/>
      <w:r>
        <w:t xml:space="preserve"> the terms of the grants mention: </w:t>
      </w:r>
    </w:p>
    <w:p w14:paraId="6DAD0A37" w14:textId="1A3D1C78" w:rsidR="00F8750C" w:rsidRPr="004C2909" w:rsidRDefault="00F8750C" w:rsidP="00F8750C">
      <w:pPr>
        <w:pStyle w:val="Default"/>
        <w:rPr>
          <w:i/>
          <w:sz w:val="22"/>
          <w:szCs w:val="22"/>
        </w:rPr>
      </w:pPr>
      <w:r w:rsidRPr="004C2909">
        <w:rPr>
          <w:i/>
          <w:sz w:val="22"/>
          <w:szCs w:val="22"/>
        </w:rPr>
        <w:t xml:space="preserve">You must monitor the success of the Project and give us an Evaluation Report at the end of it. This report must satisfy us that the Project has been completed successfully and in accordance with these terms of grant. We will not pay you the final instalment of the Grant until we have approved your completion and evaluation report. We will appoint evaluators who will continue to evaluate the impact of FPA up to one year beyond the grant expiry date. We expect grant holders to facilitate access to information/data and participate in activities/interviews as directed by the appointed evaluation team. </w:t>
      </w:r>
    </w:p>
    <w:p w14:paraId="3A6D4C98" w14:textId="29284FB6" w:rsidR="00B87266" w:rsidRPr="004C2909" w:rsidRDefault="003C7C85" w:rsidP="008E007A">
      <w:pPr>
        <w:pStyle w:val="BodyText"/>
        <w:rPr>
          <w:b/>
        </w:rPr>
      </w:pPr>
      <w:r w:rsidRPr="004C2909">
        <w:t xml:space="preserve">We expect two learning events to take place annually during the grant period. </w:t>
      </w:r>
      <w:r w:rsidR="00B87266" w:rsidRPr="004C2909">
        <w:t>Each 12month period will be calculated from the start date of the projects i.e. May 2019. Overall 4 learning events should take place during the grants’ period.</w:t>
      </w:r>
      <w:r w:rsidR="004C2909" w:rsidRPr="004C2909">
        <w:t xml:space="preserve"> We would also expect one learning event </w:t>
      </w:r>
      <w:r w:rsidR="004C2909" w:rsidRPr="004C2909">
        <w:lastRenderedPageBreak/>
        <w:t>to take place during the post-grant period</w:t>
      </w:r>
      <w:r w:rsidR="004C2909">
        <w:t xml:space="preserve"> and before this programme evaluation ends</w:t>
      </w:r>
      <w:r w:rsidR="004C2909" w:rsidRPr="004C2909">
        <w:t xml:space="preserve">. </w:t>
      </w:r>
    </w:p>
    <w:p w14:paraId="6B75BD0C" w14:textId="1BE0F221" w:rsidR="00DA0A4F" w:rsidRPr="00843791" w:rsidRDefault="00DA0A4F" w:rsidP="00DA0A4F">
      <w:pPr>
        <w:pStyle w:val="ListParagraph"/>
        <w:rPr>
          <w:b w:val="0"/>
        </w:rPr>
      </w:pPr>
      <w:r w:rsidRPr="00843791">
        <w:rPr>
          <w:b w:val="0"/>
        </w:rPr>
        <w:t> </w:t>
      </w:r>
    </w:p>
    <w:p w14:paraId="1FB59BE8" w14:textId="6B60D199" w:rsidR="00D67B3F" w:rsidRPr="00843791" w:rsidRDefault="00D67B3F" w:rsidP="006F66B0">
      <w:pPr>
        <w:pStyle w:val="Headings2"/>
        <w:rPr>
          <w:rFonts w:eastAsiaTheme="minorHAnsi"/>
        </w:rPr>
      </w:pPr>
      <w:r w:rsidRPr="00843791">
        <w:t>Contact details for primary data collection</w:t>
      </w:r>
    </w:p>
    <w:p w14:paraId="1EE25917" w14:textId="691ECF69" w:rsidR="00DA0A4F" w:rsidRPr="002F354F" w:rsidRDefault="0036646E" w:rsidP="002F354F">
      <w:pPr>
        <w:pStyle w:val="BodyText"/>
      </w:pPr>
      <w:r w:rsidRPr="002F354F">
        <w:rPr>
          <w:b/>
        </w:rPr>
        <w:t>Q7.</w:t>
      </w:r>
      <w:r w:rsidRPr="002F354F">
        <w:t xml:space="preserve"> </w:t>
      </w:r>
      <w:r w:rsidR="00DA0A4F" w:rsidRPr="002F354F">
        <w:t>Can you advise what contact details you are able to provide to support primary data collection?</w:t>
      </w:r>
    </w:p>
    <w:p w14:paraId="21CD60A4" w14:textId="1CF2AF2B" w:rsidR="0020436C" w:rsidRPr="004C2909" w:rsidRDefault="0020436C" w:rsidP="0020436C">
      <w:pPr>
        <w:pStyle w:val="BodyText"/>
        <w:rPr>
          <w:b/>
        </w:rPr>
      </w:pPr>
      <w:r w:rsidRPr="004C2909">
        <w:t xml:space="preserve">The Fund has an internal contacts’ data base for </w:t>
      </w:r>
      <w:r w:rsidR="009D5D07" w:rsidRPr="004C2909">
        <w:t>Future Parks Accelerator</w:t>
      </w:r>
      <w:r w:rsidRPr="004C2909">
        <w:t xml:space="preserve"> which will be used for the purpose of this evaluation. This database includes details of contact staff representing the applicant organisation. In the event of staff changes, </w:t>
      </w:r>
      <w:r w:rsidR="009D5D07" w:rsidRPr="004C2909">
        <w:t>The Fund</w:t>
      </w:r>
      <w:r w:rsidRPr="004C2909">
        <w:t xml:space="preserve"> will support finding alternative contacts for relevant projects/organisations. Sharing details and using these </w:t>
      </w:r>
      <w:r w:rsidRPr="004C2909">
        <w:rPr>
          <w:rStyle w:val="Strong"/>
          <w:b w:val="0"/>
        </w:rPr>
        <w:t>contacts</w:t>
      </w:r>
      <w:r w:rsidRPr="004C2909">
        <w:rPr>
          <w:b/>
        </w:rPr>
        <w:t xml:space="preserve"> </w:t>
      </w:r>
      <w:r w:rsidRPr="004C2909">
        <w:t xml:space="preserve">for the purposes of this evaluation will be done in line with GDPR. </w:t>
      </w:r>
    </w:p>
    <w:p w14:paraId="5F014027" w14:textId="4D64D142" w:rsidR="0020436C" w:rsidRPr="00843791" w:rsidRDefault="0020436C" w:rsidP="0020436C">
      <w:pPr>
        <w:pStyle w:val="BodyText"/>
        <w:rPr>
          <w:b/>
          <w:color w:val="231F20"/>
          <w:lang w:eastAsia="en-US"/>
        </w:rPr>
      </w:pPr>
      <w:r w:rsidRPr="004C2909">
        <w:t xml:space="preserve">In terms of accessing other </w:t>
      </w:r>
      <w:r w:rsidR="009D5D07" w:rsidRPr="004C2909">
        <w:t>FPA</w:t>
      </w:r>
      <w:r w:rsidRPr="004C2909">
        <w:t xml:space="preserve"> related stakeholders we expect the </w:t>
      </w:r>
      <w:r w:rsidR="009D5D07" w:rsidRPr="004C2909">
        <w:t>FPA</w:t>
      </w:r>
      <w:r w:rsidRPr="004C2909">
        <w:t xml:space="preserve"> project contact to assist the consultant. As part of the funded </w:t>
      </w:r>
      <w:r w:rsidR="009D5D07" w:rsidRPr="004C2909">
        <w:t>FPA</w:t>
      </w:r>
      <w:r w:rsidRPr="004C2909">
        <w:t xml:space="preserve"> projects, our grantees are expected to contribute to programme level evaluation. </w:t>
      </w:r>
    </w:p>
    <w:p w14:paraId="6C809833" w14:textId="5168AEC5" w:rsidR="00DA0A4F" w:rsidRPr="00843791" w:rsidRDefault="00DA0A4F" w:rsidP="00DA0A4F">
      <w:pPr>
        <w:pStyle w:val="ListParagraph"/>
        <w:rPr>
          <w:b w:val="0"/>
        </w:rPr>
      </w:pPr>
    </w:p>
    <w:p w14:paraId="43C26FE6" w14:textId="0801C85C" w:rsidR="00DA0A4F" w:rsidRPr="0036646E" w:rsidRDefault="00D67B3F" w:rsidP="0036646E">
      <w:pPr>
        <w:pStyle w:val="Headings2"/>
      </w:pPr>
      <w:r w:rsidRPr="0036646E">
        <w:t>Dissemination activities</w:t>
      </w:r>
    </w:p>
    <w:p w14:paraId="688DC520" w14:textId="77777777" w:rsidR="0036646E" w:rsidRPr="002F354F" w:rsidRDefault="0036646E" w:rsidP="002F354F">
      <w:pPr>
        <w:pStyle w:val="BodyText"/>
      </w:pPr>
      <w:r w:rsidRPr="002F354F">
        <w:rPr>
          <w:b/>
        </w:rPr>
        <w:t>Q8.</w:t>
      </w:r>
      <w:r w:rsidRPr="002F354F">
        <w:t xml:space="preserve"> </w:t>
      </w:r>
      <w:r w:rsidR="00DA0A4F" w:rsidRPr="002F354F">
        <w:t>Paragraph 4.8: Are you able to indicate an approximate number of presentation meetings during the contract, for costing purposes?</w:t>
      </w:r>
    </w:p>
    <w:p w14:paraId="0B216468" w14:textId="073A8A86" w:rsidR="00DA0A4F" w:rsidRPr="002F354F" w:rsidRDefault="0036646E" w:rsidP="002F354F">
      <w:pPr>
        <w:pStyle w:val="BodyText"/>
      </w:pPr>
      <w:r w:rsidRPr="002F354F">
        <w:rPr>
          <w:b/>
        </w:rPr>
        <w:t>Q9.</w:t>
      </w:r>
      <w:r w:rsidRPr="002F354F">
        <w:t xml:space="preserve"> </w:t>
      </w:r>
      <w:r w:rsidR="00DA0A4F" w:rsidRPr="002F354F">
        <w:t>Do you anticipate separate events for different audiences or combined events?</w:t>
      </w:r>
    </w:p>
    <w:p w14:paraId="29B40BB5" w14:textId="7DA6B167" w:rsidR="00D10FCC" w:rsidRPr="002F354F" w:rsidRDefault="00D10FCC" w:rsidP="002F354F">
      <w:pPr>
        <w:pStyle w:val="BodyText"/>
      </w:pPr>
      <w:r w:rsidRPr="004E35D8">
        <w:t>As stated in section 3.3</w:t>
      </w:r>
      <w:r w:rsidR="00161F4F" w:rsidRPr="004E35D8">
        <w:t>,</w:t>
      </w:r>
      <w:r w:rsidRPr="004E35D8">
        <w:t xml:space="preserve"> the evaluator is expected to map out with grantees, The Fund and NT, key stakeholders to influence with the evaluation findings and co-create dissemination plan. This </w:t>
      </w:r>
      <w:r w:rsidR="00161F4F" w:rsidRPr="004E35D8">
        <w:t xml:space="preserve">activity </w:t>
      </w:r>
      <w:r w:rsidRPr="004E35D8">
        <w:t xml:space="preserve">will determine an approximate number of presentation meetings during the contract. In some </w:t>
      </w:r>
      <w:r w:rsidR="00161F4F" w:rsidRPr="004E35D8">
        <w:t>cases,</w:t>
      </w:r>
      <w:r w:rsidRPr="004E35D8">
        <w:t xml:space="preserve"> we would expect that separate events will be organised for audience of particular importance. At this stage we expect the bidders to make an estimate costing for dissemination which will be proportionate to the other activities of the evaluation. Following the co-creation of the dissemination plan, it may be decided to revise budgets within the overall evaluation plan.</w:t>
      </w:r>
    </w:p>
    <w:p w14:paraId="552B513F" w14:textId="08D8BF7A" w:rsidR="00D10FCC" w:rsidRPr="00843791" w:rsidRDefault="00D10FCC" w:rsidP="00D10FCC">
      <w:pPr>
        <w:rPr>
          <w:rFonts w:eastAsia="Times New Roman"/>
          <w:b w:val="0"/>
          <w:sz w:val="22"/>
          <w:szCs w:val="22"/>
          <w:lang w:val="en-GB"/>
        </w:rPr>
      </w:pPr>
    </w:p>
    <w:p w14:paraId="132A491E" w14:textId="275DE5DA" w:rsidR="00D67B3F" w:rsidRPr="006F66B0" w:rsidRDefault="00D67B3F" w:rsidP="006F66B0">
      <w:pPr>
        <w:pStyle w:val="Headings2"/>
        <w:rPr>
          <w:rFonts w:eastAsiaTheme="minorHAnsi"/>
        </w:rPr>
      </w:pPr>
      <w:r w:rsidRPr="00843791">
        <w:t>Proposal page limit</w:t>
      </w:r>
    </w:p>
    <w:p w14:paraId="269AE606" w14:textId="2D97CF9F" w:rsidR="00DA0A4F" w:rsidRPr="00843791" w:rsidRDefault="002F354F" w:rsidP="002F354F">
      <w:pPr>
        <w:pStyle w:val="BodyText"/>
        <w:rPr>
          <w:b/>
        </w:rPr>
      </w:pPr>
      <w:r>
        <w:rPr>
          <w:b/>
        </w:rPr>
        <w:t xml:space="preserve">Q10. </w:t>
      </w:r>
      <w:r w:rsidR="00DA0A4F" w:rsidRPr="00843791">
        <w:t>Does the proposal page limit exclude the cover and contents page?</w:t>
      </w:r>
      <w:r w:rsidR="005A70F5" w:rsidRPr="00843791">
        <w:t xml:space="preserve"> </w:t>
      </w:r>
    </w:p>
    <w:p w14:paraId="1F8608C5" w14:textId="7647E8A2" w:rsidR="005A70F5" w:rsidRPr="00843791" w:rsidRDefault="002F354F" w:rsidP="002F354F">
      <w:pPr>
        <w:pStyle w:val="BodyText"/>
        <w:rPr>
          <w:b/>
        </w:rPr>
      </w:pPr>
      <w:r>
        <w:rPr>
          <w:b/>
        </w:rPr>
        <w:t xml:space="preserve">Q11. </w:t>
      </w:r>
      <w:r w:rsidR="00DA0A4F" w:rsidRPr="00843791">
        <w:t>Can staff CVs be put into an appendix or do they need to fall within the page limit?</w:t>
      </w:r>
    </w:p>
    <w:p w14:paraId="260C4101" w14:textId="77777777" w:rsidR="002F354F" w:rsidRDefault="002F354F" w:rsidP="002F354F">
      <w:pPr>
        <w:pStyle w:val="BodyText"/>
        <w:rPr>
          <w:b/>
        </w:rPr>
      </w:pPr>
      <w:r>
        <w:rPr>
          <w:b/>
          <w:color w:val="000000"/>
        </w:rPr>
        <w:t xml:space="preserve">Q12. </w:t>
      </w:r>
      <w:r w:rsidR="00003664" w:rsidRPr="00843791">
        <w:rPr>
          <w:color w:val="000000"/>
        </w:rPr>
        <w:t>We do not see any reference to requiring CVs for the project team members to be included in the proposal - is it correct that you do not require CVs?</w:t>
      </w:r>
    </w:p>
    <w:p w14:paraId="5D4E54F4" w14:textId="06A9B496" w:rsidR="00003664" w:rsidRPr="002F354F" w:rsidRDefault="002F354F" w:rsidP="002F354F">
      <w:pPr>
        <w:pStyle w:val="BodyText"/>
        <w:rPr>
          <w:b/>
        </w:rPr>
      </w:pPr>
      <w:r>
        <w:rPr>
          <w:b/>
        </w:rPr>
        <w:t xml:space="preserve">Q13. </w:t>
      </w:r>
      <w:r w:rsidR="00003664" w:rsidRPr="00843791">
        <w:rPr>
          <w:color w:val="000000"/>
        </w:rPr>
        <w:t xml:space="preserve">Regarding the length of the proposal, we note in para 6.1 it states that it should be a maximum of 15 pages - does this include the Table </w:t>
      </w:r>
      <w:proofErr w:type="gramStart"/>
      <w:r w:rsidR="00003664" w:rsidRPr="00843791">
        <w:rPr>
          <w:color w:val="000000"/>
        </w:rPr>
        <w:t>A</w:t>
      </w:r>
      <w:proofErr w:type="gramEnd"/>
      <w:r w:rsidR="00003664" w:rsidRPr="00843791">
        <w:rPr>
          <w:color w:val="000000"/>
        </w:rPr>
        <w:t xml:space="preserve"> Schedule of Charges?</w:t>
      </w:r>
    </w:p>
    <w:p w14:paraId="17E13F91" w14:textId="77777777" w:rsidR="005B0020" w:rsidRPr="004E35D8" w:rsidRDefault="005A70F5" w:rsidP="005E5B21">
      <w:pPr>
        <w:pStyle w:val="BodyText"/>
        <w:rPr>
          <w:b/>
        </w:rPr>
      </w:pPr>
      <w:r w:rsidRPr="004E35D8">
        <w:t xml:space="preserve">The proposal limit is 15pp. Front cover and contents are excluded from the page limit. </w:t>
      </w:r>
    </w:p>
    <w:p w14:paraId="0AF30F30" w14:textId="351FEFAD" w:rsidR="00BA2E30" w:rsidRPr="004E35D8" w:rsidRDefault="005A70F5" w:rsidP="005E5B21">
      <w:pPr>
        <w:pStyle w:val="BodyText"/>
        <w:rPr>
          <w:b/>
        </w:rPr>
      </w:pPr>
      <w:r w:rsidRPr="004E35D8">
        <w:t xml:space="preserve">Separate, extensive CVs of team members is not a requirement for the proposal. Short bios of team members to demonstrate relevant experience and expertise </w:t>
      </w:r>
      <w:r w:rsidR="005B0020" w:rsidRPr="004E35D8">
        <w:t>can</w:t>
      </w:r>
      <w:r w:rsidRPr="004E35D8">
        <w:t xml:space="preserve"> be included in the proposal, within the page limit.</w:t>
      </w:r>
    </w:p>
    <w:p w14:paraId="384C7746" w14:textId="7FE09322" w:rsidR="005A70F5" w:rsidRPr="004E35D8" w:rsidRDefault="005A70F5" w:rsidP="005E5B21">
      <w:pPr>
        <w:pStyle w:val="BodyText"/>
        <w:rPr>
          <w:b/>
        </w:rPr>
      </w:pPr>
      <w:r w:rsidRPr="004E35D8">
        <w:t>Table A Schedule of Charges should be also included in the proposal within the 15pp limit.</w:t>
      </w:r>
    </w:p>
    <w:p w14:paraId="41B5CF2C" w14:textId="77777777" w:rsidR="004B61D7" w:rsidRPr="004B61D7" w:rsidRDefault="004B61D7" w:rsidP="004B61D7">
      <w:pPr>
        <w:autoSpaceDE w:val="0"/>
        <w:autoSpaceDN w:val="0"/>
        <w:adjustRightInd w:val="0"/>
        <w:rPr>
          <w:b w:val="0"/>
          <w:color w:val="000000"/>
          <w:sz w:val="22"/>
          <w:szCs w:val="22"/>
          <w:lang w:eastAsia="en-US"/>
        </w:rPr>
      </w:pPr>
      <w:r w:rsidRPr="004E35D8">
        <w:rPr>
          <w:b w:val="0"/>
          <w:color w:val="000000"/>
          <w:sz w:val="22"/>
          <w:szCs w:val="22"/>
          <w:lang w:eastAsia="en-US"/>
        </w:rPr>
        <w:t>Submitting a proposal more than 15 pages will automatically result in the rejection of the proposal.</w:t>
      </w:r>
      <w:r w:rsidRPr="004B61D7">
        <w:rPr>
          <w:b w:val="0"/>
          <w:color w:val="000000"/>
          <w:sz w:val="22"/>
          <w:szCs w:val="22"/>
          <w:lang w:eastAsia="en-US"/>
        </w:rPr>
        <w:t xml:space="preserve"> </w:t>
      </w:r>
    </w:p>
    <w:p w14:paraId="1817239F" w14:textId="77777777" w:rsidR="00D67B3F" w:rsidRPr="004B61D7" w:rsidRDefault="00D67B3F" w:rsidP="00D67B3F">
      <w:pPr>
        <w:pStyle w:val="ListParagraph"/>
        <w:rPr>
          <w:rFonts w:eastAsia="Times New Roman"/>
          <w:b w:val="0"/>
          <w:lang w:val="en-US"/>
        </w:rPr>
      </w:pPr>
    </w:p>
    <w:p w14:paraId="2519D23B" w14:textId="495979AA" w:rsidR="00D67B3F" w:rsidRPr="00843791" w:rsidRDefault="00D67B3F" w:rsidP="00F63611">
      <w:pPr>
        <w:pStyle w:val="Headings2"/>
        <w:rPr>
          <w:lang w:val="en-GB"/>
        </w:rPr>
      </w:pPr>
      <w:r w:rsidRPr="00843791">
        <w:rPr>
          <w:lang w:val="en-GB"/>
        </w:rPr>
        <w:t>Structure of the proposal</w:t>
      </w:r>
    </w:p>
    <w:p w14:paraId="55F21D70" w14:textId="654AE0AF" w:rsidR="00DA0A4F" w:rsidRPr="00F63611" w:rsidRDefault="00F63611" w:rsidP="00F63611">
      <w:pPr>
        <w:pStyle w:val="BodyText"/>
      </w:pPr>
      <w:r>
        <w:rPr>
          <w:b/>
        </w:rPr>
        <w:t xml:space="preserve">Q14. </w:t>
      </w:r>
      <w:r w:rsidR="00DA0A4F" w:rsidRPr="00F63611">
        <w:t xml:space="preserve">Section 6.2 states that the proposal should be structured according to “the numbering </w:t>
      </w:r>
      <w:r w:rsidR="00DA0A4F" w:rsidRPr="00F63611">
        <w:lastRenderedPageBreak/>
        <w:t>below”, but this section contains bullets rather than numbers. Can you therefore clarify if the proposal should be structured according to the bullets in 6.2 or the numbered evaluation criteria in section 6.3?</w:t>
      </w:r>
    </w:p>
    <w:p w14:paraId="28138596" w14:textId="094BBB7B" w:rsidR="00003664" w:rsidRPr="00843791" w:rsidRDefault="00F63611" w:rsidP="002E7FAB">
      <w:pPr>
        <w:pStyle w:val="BodyText"/>
        <w:rPr>
          <w:b/>
        </w:rPr>
      </w:pPr>
      <w:r>
        <w:rPr>
          <w:b/>
        </w:rPr>
        <w:t xml:space="preserve">Q15. </w:t>
      </w:r>
      <w:r w:rsidR="00003664" w:rsidRPr="00843791">
        <w:t>Regarding the structure of the proposal, para 6.2 states that the proposal should follow 'the numbering below' - does this numbering refer to the questions 1 to 7 in the table of quality questions at the bottom of page 9 / top of page 10 of the invitation to tender?</w:t>
      </w:r>
    </w:p>
    <w:p w14:paraId="0E36D481" w14:textId="77777777" w:rsidR="002E7FAB" w:rsidRDefault="00E05960" w:rsidP="002E7FAB">
      <w:pPr>
        <w:pStyle w:val="BodyText"/>
        <w:rPr>
          <w:rFonts w:eastAsia="Times New Roman"/>
        </w:rPr>
      </w:pPr>
      <w:r w:rsidRPr="004E35D8">
        <w:rPr>
          <w:rFonts w:eastAsia="Times New Roman"/>
        </w:rPr>
        <w:t>We expect the proposals to be structured based on the bullet points included in section 6.2. We will rate the proposals based on the criteria listed in section 6.3.</w:t>
      </w:r>
    </w:p>
    <w:p w14:paraId="0F77E9F8" w14:textId="77777777" w:rsidR="002E7FAB" w:rsidRDefault="002E7FAB" w:rsidP="009D31ED">
      <w:pPr>
        <w:pStyle w:val="BodyText"/>
        <w:spacing w:before="0" w:after="0"/>
        <w:rPr>
          <w:rFonts w:eastAsia="Times New Roman"/>
        </w:rPr>
      </w:pPr>
    </w:p>
    <w:p w14:paraId="715802DD" w14:textId="2F2A93E1" w:rsidR="00BA2E30" w:rsidRPr="002E7FAB" w:rsidRDefault="00BA2E30" w:rsidP="002E7FAB">
      <w:pPr>
        <w:pStyle w:val="Headings2"/>
        <w:rPr>
          <w:rFonts w:eastAsia="Times New Roman"/>
          <w:sz w:val="22"/>
          <w:szCs w:val="22"/>
        </w:rPr>
      </w:pPr>
      <w:r w:rsidRPr="00843791">
        <w:t>Scoring of the proposal</w:t>
      </w:r>
    </w:p>
    <w:p w14:paraId="3AC2D113" w14:textId="07677CBB" w:rsidR="00DA0A4F" w:rsidRPr="00843791" w:rsidRDefault="009A1D5E" w:rsidP="00B12A1F">
      <w:pPr>
        <w:pStyle w:val="BodyText"/>
        <w:rPr>
          <w:b/>
        </w:rPr>
      </w:pPr>
      <w:r w:rsidRPr="00B12A1F">
        <w:rPr>
          <w:b/>
        </w:rPr>
        <w:t>Q</w:t>
      </w:r>
      <w:r w:rsidR="00B12A1F" w:rsidRPr="00B12A1F">
        <w:rPr>
          <w:b/>
        </w:rPr>
        <w:t>16</w:t>
      </w:r>
      <w:r w:rsidRPr="00B12A1F">
        <w:rPr>
          <w:b/>
        </w:rPr>
        <w:t>.</w:t>
      </w:r>
      <w:r w:rsidR="00B12A1F">
        <w:rPr>
          <w:b/>
        </w:rPr>
        <w:t xml:space="preserve"> </w:t>
      </w:r>
      <w:r w:rsidR="00DA0A4F" w:rsidRPr="00843791">
        <w:t>Section 6.3: O</w:t>
      </w:r>
      <w:r w:rsidR="00BA2E30" w:rsidRPr="00843791">
        <w:t>u</w:t>
      </w:r>
      <w:r w:rsidR="00DA0A4F" w:rsidRPr="00843791">
        <w:t>r interpretation of the evaluation questions is that 55% of the marks relate to past experience (questions 1, 2 4 and 5). Should each aspect of this experience be stated explicitly or do you anticipate evaluating certain aspects of experience from the strength and considerations set out in the methodology? Your answer to this question will be useful given the proposal page limit and the amount of space we therefore give to each section.</w:t>
      </w:r>
    </w:p>
    <w:p w14:paraId="2D0F5CC1" w14:textId="3CC37B96" w:rsidR="000F3203" w:rsidRDefault="000F3203" w:rsidP="000F3203">
      <w:pPr>
        <w:rPr>
          <w:rFonts w:eastAsia="Times New Roman"/>
          <w:b w:val="0"/>
          <w:sz w:val="22"/>
          <w:szCs w:val="22"/>
          <w:lang w:val="en-GB"/>
        </w:rPr>
      </w:pPr>
      <w:r w:rsidRPr="004E35D8">
        <w:rPr>
          <w:rFonts w:eastAsia="Times New Roman"/>
          <w:b w:val="0"/>
          <w:sz w:val="22"/>
          <w:szCs w:val="22"/>
          <w:lang w:val="en-GB"/>
        </w:rPr>
        <w:t xml:space="preserve">We would expect the relevant experience to be listed explicitly and also to be demonstrated in the </w:t>
      </w:r>
      <w:r w:rsidR="009A1D5E" w:rsidRPr="004E35D8">
        <w:rPr>
          <w:rFonts w:eastAsia="Times New Roman"/>
          <w:b w:val="0"/>
          <w:sz w:val="22"/>
          <w:szCs w:val="22"/>
          <w:lang w:val="en-GB"/>
        </w:rPr>
        <w:t>proposed approach (certain aspects of the experience should reflect on the strength and considerations set out in the methodology).</w:t>
      </w:r>
    </w:p>
    <w:p w14:paraId="3268F2FF" w14:textId="77777777" w:rsidR="002E7FAB" w:rsidRPr="00843791" w:rsidRDefault="002E7FAB" w:rsidP="000F3203">
      <w:pPr>
        <w:rPr>
          <w:rFonts w:eastAsia="Times New Roman"/>
          <w:b w:val="0"/>
          <w:sz w:val="22"/>
          <w:szCs w:val="22"/>
          <w:lang w:val="en-GB"/>
        </w:rPr>
      </w:pPr>
    </w:p>
    <w:p w14:paraId="2C172A84" w14:textId="74CDCF8A" w:rsidR="00BA2E30" w:rsidRPr="002E7FAB" w:rsidRDefault="00BA2E30" w:rsidP="002E7FAB">
      <w:pPr>
        <w:pStyle w:val="Headings2"/>
        <w:rPr>
          <w:rFonts w:eastAsiaTheme="minorHAnsi"/>
        </w:rPr>
      </w:pPr>
      <w:r w:rsidRPr="00843791">
        <w:t>Commissioner of the evaluation</w:t>
      </w:r>
    </w:p>
    <w:p w14:paraId="29BD1702" w14:textId="1290B516" w:rsidR="00DA0A4F" w:rsidRPr="00843791" w:rsidRDefault="009A1D5E" w:rsidP="0093655B">
      <w:pPr>
        <w:pStyle w:val="BodyText"/>
        <w:rPr>
          <w:b/>
        </w:rPr>
      </w:pPr>
      <w:r w:rsidRPr="0093655B">
        <w:rPr>
          <w:b/>
        </w:rPr>
        <w:t>Q</w:t>
      </w:r>
      <w:r w:rsidR="0093655B" w:rsidRPr="0093655B">
        <w:rPr>
          <w:b/>
        </w:rPr>
        <w:t>17</w:t>
      </w:r>
      <w:r w:rsidRPr="0093655B">
        <w:rPr>
          <w:b/>
        </w:rPr>
        <w:t>.</w:t>
      </w:r>
      <w:r w:rsidR="0093655B">
        <w:t xml:space="preserve"> </w:t>
      </w:r>
      <w:r w:rsidR="00DA0A4F" w:rsidRPr="00843791">
        <w:t>Is the client HLF or NHMF (the latter as indicated on contracts finder)?</w:t>
      </w:r>
    </w:p>
    <w:p w14:paraId="26AD2791" w14:textId="7DCFDCE0" w:rsidR="009D0519" w:rsidRPr="00843791" w:rsidRDefault="009D0519" w:rsidP="0093655B">
      <w:pPr>
        <w:pStyle w:val="BodyText"/>
        <w:rPr>
          <w:b/>
        </w:rPr>
      </w:pPr>
      <w:r w:rsidRPr="004E35D8">
        <w:t xml:space="preserve">Future Parks Accelerator is co-funded by </w:t>
      </w:r>
      <w:r w:rsidR="009A1D5E" w:rsidRPr="004E35D8">
        <w:t>The National Lottery Heritage Fund (formerly known as Heritage Lottery Fund)</w:t>
      </w:r>
      <w:r w:rsidRPr="004E35D8">
        <w:t xml:space="preserve">, the National Trust and </w:t>
      </w:r>
      <w:r w:rsidRPr="004E35D8">
        <w:rPr>
          <w:rStyle w:val="Emphasis"/>
          <w:bCs/>
          <w:i w:val="0"/>
          <w:shd w:val="clear" w:color="auto" w:fill="FFFFFF"/>
        </w:rPr>
        <w:t>Ministry of Housing, Communities and Local Government (MHCLG)</w:t>
      </w:r>
      <w:r w:rsidRPr="004E35D8">
        <w:rPr>
          <w:i/>
        </w:rPr>
        <w:t>.</w:t>
      </w:r>
      <w:r w:rsidRPr="004E35D8">
        <w:t xml:space="preserve"> All partners will be involved in decision making related to programme evaluation. Formally, and responsible for the day-to-day management of the programme evaluation contract will be The National Lottery Heritage Fund</w:t>
      </w:r>
      <w:r w:rsidR="009A1D5E" w:rsidRPr="004E35D8">
        <w:t xml:space="preserve"> </w:t>
      </w:r>
      <w:r w:rsidRPr="004E35D8">
        <w:t>(recently rebranded).</w:t>
      </w:r>
    </w:p>
    <w:p w14:paraId="5699DE60" w14:textId="77777777" w:rsidR="009D0519" w:rsidRPr="00843791" w:rsidRDefault="009D0519" w:rsidP="009D31ED">
      <w:pPr>
        <w:pStyle w:val="BodyText"/>
        <w:spacing w:before="0" w:after="0"/>
        <w:rPr>
          <w:b/>
        </w:rPr>
      </w:pPr>
    </w:p>
    <w:p w14:paraId="0071B46B" w14:textId="3E2621AD" w:rsidR="00BA2E30" w:rsidRPr="00843791" w:rsidRDefault="00BA2E30" w:rsidP="00BC0A20">
      <w:pPr>
        <w:pStyle w:val="Headings2"/>
        <w:rPr>
          <w:lang w:val="en-GB"/>
        </w:rPr>
      </w:pPr>
      <w:r w:rsidRPr="00843791">
        <w:rPr>
          <w:lang w:val="en-GB"/>
        </w:rPr>
        <w:t>Evaluating impact</w:t>
      </w:r>
    </w:p>
    <w:p w14:paraId="4BFE5E15" w14:textId="6B9A078D" w:rsidR="00700D1F" w:rsidRDefault="00BC0A20" w:rsidP="00BC0A20">
      <w:pPr>
        <w:pStyle w:val="BodyText"/>
      </w:pPr>
      <w:r w:rsidRPr="009D31ED">
        <w:rPr>
          <w:b/>
        </w:rPr>
        <w:t xml:space="preserve">Q18. </w:t>
      </w:r>
      <w:r w:rsidR="00700D1F" w:rsidRPr="009D31ED">
        <w:t>As we understand it, the FPA is about putting in place the vision, structures and resources to deliver longer-term change. Would it be sensible to assume that any physical changes or transformative activity to parks and green spaces as a direct result of the programme are unlikely to materialise on a significant scale within the evaluation timescale to June 2022?</w:t>
      </w:r>
      <w:r w:rsidR="00700D1F" w:rsidRPr="00BC0A20">
        <w:t> </w:t>
      </w:r>
    </w:p>
    <w:p w14:paraId="0F20A948" w14:textId="691E26B2" w:rsidR="00EE7F9B" w:rsidRPr="00BC0A20" w:rsidRDefault="00EE7F9B" w:rsidP="00BC0A20">
      <w:pPr>
        <w:pStyle w:val="BodyText"/>
        <w:rPr>
          <w:lang w:eastAsia="en-US"/>
        </w:rPr>
      </w:pPr>
      <w:r>
        <w:t>Yes,</w:t>
      </w:r>
      <w:r w:rsidR="004E35D8">
        <w:t xml:space="preserve"> FPA is about putting in place the vision, structures and resources to deliver longer-term change.</w:t>
      </w:r>
      <w:r>
        <w:t xml:space="preserve"> FPA does not fund any capital works at all. </w:t>
      </w:r>
    </w:p>
    <w:p w14:paraId="53DCB72F" w14:textId="77777777" w:rsidR="00700D1F" w:rsidRPr="00843791" w:rsidRDefault="00700D1F" w:rsidP="009D31ED">
      <w:pPr>
        <w:widowControl w:val="0"/>
        <w:autoSpaceDE w:val="0"/>
        <w:autoSpaceDN w:val="0"/>
        <w:rPr>
          <w:rFonts w:eastAsia="Times New Roman"/>
          <w:b w:val="0"/>
          <w:sz w:val="22"/>
          <w:szCs w:val="22"/>
          <w:lang w:val="en-GB"/>
        </w:rPr>
      </w:pPr>
    </w:p>
    <w:p w14:paraId="562876ED" w14:textId="26DA997F" w:rsidR="00DA0A4F" w:rsidRPr="00843791" w:rsidRDefault="00BA2E30" w:rsidP="003D30D1">
      <w:pPr>
        <w:pStyle w:val="Headings2"/>
        <w:rPr>
          <w:lang w:val="en-GB"/>
        </w:rPr>
      </w:pPr>
      <w:r w:rsidRPr="00843791">
        <w:rPr>
          <w:lang w:val="en-GB"/>
        </w:rPr>
        <w:t>About the projects</w:t>
      </w:r>
    </w:p>
    <w:p w14:paraId="612EBC7F" w14:textId="35142566" w:rsidR="00DA0A4F" w:rsidRPr="00843791" w:rsidRDefault="003D30D1" w:rsidP="002E7FAB">
      <w:pPr>
        <w:pStyle w:val="BodyText"/>
        <w:rPr>
          <w:b/>
        </w:rPr>
      </w:pPr>
      <w:r w:rsidRPr="002E7FAB">
        <w:rPr>
          <w:b/>
        </w:rPr>
        <w:t>Q19.</w:t>
      </w:r>
      <w:r>
        <w:rPr>
          <w:b/>
        </w:rPr>
        <w:t xml:space="preserve"> </w:t>
      </w:r>
      <w:r w:rsidR="00DA0A4F" w:rsidRPr="00843791">
        <w:t>Where are the pathfinder projects located and why have these been chosen/ what were the application criteria?</w:t>
      </w:r>
    </w:p>
    <w:p w14:paraId="4E92EEC5" w14:textId="54E21034" w:rsidR="00054482" w:rsidRPr="00843791" w:rsidRDefault="00054482" w:rsidP="003D30D1">
      <w:pPr>
        <w:pStyle w:val="BodyText"/>
        <w:rPr>
          <w:b/>
        </w:rPr>
      </w:pPr>
      <w:r w:rsidRPr="00931DB8">
        <w:t xml:space="preserve">The projects are located in various locations across England and in Scotland. </w:t>
      </w:r>
      <w:r w:rsidR="00EE7F9B" w:rsidRPr="00931DB8">
        <w:t xml:space="preserve">The location of the projects is embargoed until a public launch scheduled for the start of June. </w:t>
      </w:r>
    </w:p>
    <w:p w14:paraId="0ADB4D52" w14:textId="2BE6B4E3" w:rsidR="00054482" w:rsidRPr="00931DB8" w:rsidRDefault="00EE7F9B" w:rsidP="003D30D1">
      <w:pPr>
        <w:pStyle w:val="BodyText"/>
        <w:rPr>
          <w:b/>
        </w:rPr>
      </w:pPr>
      <w:r w:rsidRPr="00931DB8">
        <w:t xml:space="preserve">The projects were selected following an open and competitive process. </w:t>
      </w:r>
      <w:r w:rsidR="0088504B" w:rsidRPr="00931DB8">
        <w:t>The following criteria have been used to assess the applications (as stated in the application guidance):</w:t>
      </w:r>
    </w:p>
    <w:p w14:paraId="5A351A8F" w14:textId="77777777" w:rsidR="0088504B" w:rsidRPr="00931DB8" w:rsidRDefault="0088504B" w:rsidP="00B63EA0">
      <w:pPr>
        <w:pStyle w:val="BodyText"/>
        <w:numPr>
          <w:ilvl w:val="0"/>
          <w:numId w:val="29"/>
        </w:numPr>
        <w:spacing w:before="0" w:after="0"/>
        <w:ind w:left="714" w:hanging="357"/>
      </w:pPr>
      <w:r w:rsidRPr="00931DB8">
        <w:lastRenderedPageBreak/>
        <w:t xml:space="preserve">What is the need or opportunity that the project is responding to? </w:t>
      </w:r>
    </w:p>
    <w:p w14:paraId="4248B78A" w14:textId="77777777" w:rsidR="0088504B" w:rsidRPr="00931DB8" w:rsidRDefault="0088504B" w:rsidP="00B63EA0">
      <w:pPr>
        <w:pStyle w:val="BodyText"/>
        <w:numPr>
          <w:ilvl w:val="0"/>
          <w:numId w:val="29"/>
        </w:numPr>
        <w:spacing w:before="0" w:after="0"/>
        <w:ind w:left="714" w:hanging="357"/>
      </w:pPr>
      <w:r w:rsidRPr="00931DB8">
        <w:t xml:space="preserve">Will the project deliver ambitious solutions across an entire place that are forward thinking, broad, creative and pioneering? </w:t>
      </w:r>
    </w:p>
    <w:p w14:paraId="7AB60FEE" w14:textId="77777777" w:rsidR="0088504B" w:rsidRPr="00931DB8" w:rsidRDefault="0088504B" w:rsidP="00B63EA0">
      <w:pPr>
        <w:pStyle w:val="BodyText"/>
        <w:numPr>
          <w:ilvl w:val="0"/>
          <w:numId w:val="29"/>
        </w:numPr>
        <w:spacing w:before="0" w:after="0"/>
        <w:ind w:left="714" w:hanging="357"/>
      </w:pPr>
      <w:r w:rsidRPr="00931DB8">
        <w:t xml:space="preserve">Will the project create real impact for the place and for the parks sector more broadly? </w:t>
      </w:r>
    </w:p>
    <w:p w14:paraId="358E25C2" w14:textId="77777777" w:rsidR="0088504B" w:rsidRPr="00931DB8" w:rsidRDefault="0088504B" w:rsidP="00B63EA0">
      <w:pPr>
        <w:pStyle w:val="BodyText"/>
        <w:numPr>
          <w:ilvl w:val="0"/>
          <w:numId w:val="29"/>
        </w:numPr>
        <w:spacing w:before="0" w:after="0"/>
        <w:ind w:left="714" w:hanging="357"/>
      </w:pPr>
      <w:r w:rsidRPr="00931DB8">
        <w:t xml:space="preserve">Why does the project need to go ahead now and why is Lottery funding required? </w:t>
      </w:r>
    </w:p>
    <w:p w14:paraId="294B468A" w14:textId="77777777" w:rsidR="0088504B" w:rsidRPr="00931DB8" w:rsidRDefault="0088504B" w:rsidP="00B63EA0">
      <w:pPr>
        <w:pStyle w:val="BodyText"/>
        <w:numPr>
          <w:ilvl w:val="0"/>
          <w:numId w:val="29"/>
        </w:numPr>
        <w:spacing w:before="0" w:after="0"/>
        <w:ind w:left="714" w:hanging="357"/>
      </w:pPr>
      <w:r w:rsidRPr="00931DB8">
        <w:t xml:space="preserve">Will the project strongly achieve the Future Parks Accelerator outcomes? </w:t>
      </w:r>
    </w:p>
    <w:p w14:paraId="47DDE56A" w14:textId="77777777" w:rsidR="0088504B" w:rsidRPr="00931DB8" w:rsidRDefault="0088504B" w:rsidP="00B63EA0">
      <w:pPr>
        <w:pStyle w:val="BodyText"/>
        <w:numPr>
          <w:ilvl w:val="0"/>
          <w:numId w:val="29"/>
        </w:numPr>
        <w:spacing w:before="0" w:after="0"/>
        <w:ind w:left="714" w:hanging="357"/>
      </w:pPr>
      <w:r w:rsidRPr="00931DB8">
        <w:t xml:space="preserve">Does the project plan a step-change in how stakeholders engage with their parks and green spaces, in order to maximise public benefit? </w:t>
      </w:r>
    </w:p>
    <w:p w14:paraId="26B6DFB6" w14:textId="77777777" w:rsidR="0088504B" w:rsidRPr="00931DB8" w:rsidRDefault="0088504B" w:rsidP="00B63EA0">
      <w:pPr>
        <w:pStyle w:val="BodyText"/>
        <w:numPr>
          <w:ilvl w:val="0"/>
          <w:numId w:val="29"/>
        </w:numPr>
        <w:spacing w:before="0" w:after="0"/>
        <w:ind w:left="714" w:hanging="357"/>
      </w:pPr>
      <w:r w:rsidRPr="00931DB8">
        <w:t xml:space="preserve">Is the project financially realistic? </w:t>
      </w:r>
    </w:p>
    <w:p w14:paraId="50B1188A" w14:textId="77777777" w:rsidR="0088504B" w:rsidRPr="00931DB8" w:rsidRDefault="0088504B" w:rsidP="00B63EA0">
      <w:pPr>
        <w:pStyle w:val="BodyText"/>
        <w:numPr>
          <w:ilvl w:val="0"/>
          <w:numId w:val="29"/>
        </w:numPr>
        <w:spacing w:before="0" w:after="0"/>
        <w:ind w:left="714" w:hanging="357"/>
      </w:pPr>
      <w:r w:rsidRPr="00931DB8">
        <w:t xml:space="preserve">Is the project well-planned? </w:t>
      </w:r>
    </w:p>
    <w:p w14:paraId="350754A7" w14:textId="77777777" w:rsidR="0088504B" w:rsidRPr="00931DB8" w:rsidRDefault="0088504B" w:rsidP="00B63EA0">
      <w:pPr>
        <w:pStyle w:val="BodyText"/>
        <w:numPr>
          <w:ilvl w:val="0"/>
          <w:numId w:val="29"/>
        </w:numPr>
        <w:spacing w:before="0" w:after="0"/>
        <w:ind w:left="714" w:hanging="357"/>
      </w:pPr>
      <w:r w:rsidRPr="00931DB8">
        <w:t xml:space="preserve">Does the current or proposed project team have the capability and capacity to lead and deliver a service transformation project of this type, creativity and scale? </w:t>
      </w:r>
    </w:p>
    <w:p w14:paraId="7547616F" w14:textId="77777777" w:rsidR="0088504B" w:rsidRPr="00931DB8" w:rsidRDefault="0088504B" w:rsidP="00B63EA0">
      <w:pPr>
        <w:pStyle w:val="BodyText"/>
        <w:numPr>
          <w:ilvl w:val="0"/>
          <w:numId w:val="29"/>
        </w:numPr>
        <w:spacing w:before="0" w:after="0"/>
        <w:ind w:left="714" w:hanging="357"/>
      </w:pPr>
      <w:r w:rsidRPr="00931DB8">
        <w:t xml:space="preserve">Is the transformational approach likely to create a long-term, financially sustainable solution for the place? </w:t>
      </w:r>
    </w:p>
    <w:p w14:paraId="37848AC9" w14:textId="4E71C633" w:rsidR="00BA2E30" w:rsidRPr="00931DB8" w:rsidRDefault="0088504B" w:rsidP="00B63EA0">
      <w:pPr>
        <w:pStyle w:val="BodyText"/>
        <w:numPr>
          <w:ilvl w:val="0"/>
          <w:numId w:val="29"/>
        </w:numPr>
        <w:spacing w:before="0" w:after="0"/>
        <w:ind w:left="714" w:hanging="357"/>
        <w:rPr>
          <w:b/>
        </w:rPr>
      </w:pPr>
      <w:r w:rsidRPr="00931DB8">
        <w:t>Does the project have appropriate and evidenced senior-level support?</w:t>
      </w:r>
    </w:p>
    <w:p w14:paraId="2475A41C" w14:textId="77777777" w:rsidR="00B63EA0" w:rsidRDefault="00B63EA0" w:rsidP="009D31ED">
      <w:pPr>
        <w:pStyle w:val="BodyText"/>
        <w:spacing w:before="0" w:after="0"/>
        <w:rPr>
          <w:b/>
        </w:rPr>
      </w:pPr>
    </w:p>
    <w:p w14:paraId="5902334B" w14:textId="32B352A0" w:rsidR="00DA0A4F" w:rsidRPr="00843791" w:rsidRDefault="00B63EA0" w:rsidP="003D30D1">
      <w:pPr>
        <w:pStyle w:val="BodyText"/>
        <w:rPr>
          <w:b/>
        </w:rPr>
      </w:pPr>
      <w:r w:rsidRPr="00B63EA0">
        <w:rPr>
          <w:b/>
        </w:rPr>
        <w:t>Q20.</w:t>
      </w:r>
      <w:r>
        <w:t xml:space="preserve"> </w:t>
      </w:r>
      <w:r w:rsidR="00DA0A4F" w:rsidRPr="00843791">
        <w:t>Are there restrictions with regards to what grantees can/cannot spend the grant money on?</w:t>
      </w:r>
    </w:p>
    <w:p w14:paraId="3EF9B75C" w14:textId="16B81CA1" w:rsidR="0088504B" w:rsidRPr="00931DB8" w:rsidRDefault="0088504B" w:rsidP="003D30D1">
      <w:pPr>
        <w:pStyle w:val="BodyText"/>
      </w:pPr>
      <w:r w:rsidRPr="00931DB8">
        <w:t xml:space="preserve">In their applications projects have been asked to include all costs that are directly incurred as a result of the project. </w:t>
      </w:r>
    </w:p>
    <w:p w14:paraId="0CFC17BF" w14:textId="77777777" w:rsidR="0088504B" w:rsidRPr="00931DB8" w:rsidRDefault="0088504B" w:rsidP="003D30D1">
      <w:pPr>
        <w:pStyle w:val="BodyText"/>
        <w:rPr>
          <w:b/>
        </w:rPr>
      </w:pPr>
      <w:r w:rsidRPr="00931DB8">
        <w:rPr>
          <w:b/>
        </w:rPr>
        <w:t xml:space="preserve">Direct project costs include: </w:t>
      </w:r>
    </w:p>
    <w:p w14:paraId="3E27AD43" w14:textId="77777777" w:rsidR="0088504B" w:rsidRPr="00931DB8" w:rsidRDefault="0088504B" w:rsidP="007F2962">
      <w:pPr>
        <w:pStyle w:val="BodyText"/>
        <w:numPr>
          <w:ilvl w:val="0"/>
          <w:numId w:val="30"/>
        </w:numPr>
        <w:spacing w:before="0" w:after="0"/>
        <w:ind w:left="714" w:hanging="357"/>
      </w:pPr>
      <w:r w:rsidRPr="00931DB8">
        <w:t xml:space="preserve">new staff posts to deliver the project; </w:t>
      </w:r>
    </w:p>
    <w:p w14:paraId="132EC9FF" w14:textId="77777777" w:rsidR="0088504B" w:rsidRPr="00931DB8" w:rsidRDefault="0088504B" w:rsidP="007F2962">
      <w:pPr>
        <w:pStyle w:val="BodyText"/>
        <w:numPr>
          <w:ilvl w:val="0"/>
          <w:numId w:val="30"/>
        </w:numPr>
        <w:spacing w:before="0" w:after="0"/>
        <w:ind w:left="714" w:hanging="357"/>
      </w:pPr>
      <w:r w:rsidRPr="00931DB8">
        <w:t xml:space="preserve">extra hours for existing staff to deliver the project; </w:t>
      </w:r>
    </w:p>
    <w:p w14:paraId="0507E946" w14:textId="77777777" w:rsidR="0088504B" w:rsidRPr="00931DB8" w:rsidRDefault="0088504B" w:rsidP="007F2962">
      <w:pPr>
        <w:pStyle w:val="BodyText"/>
        <w:numPr>
          <w:ilvl w:val="0"/>
          <w:numId w:val="30"/>
        </w:numPr>
        <w:spacing w:before="0" w:after="0"/>
        <w:ind w:left="714" w:hanging="357"/>
      </w:pPr>
      <w:r w:rsidRPr="00931DB8">
        <w:t xml:space="preserve">the cost of filling a post left empty by moving an existing member of staff into a post created for the project; </w:t>
      </w:r>
    </w:p>
    <w:p w14:paraId="1B8CC74C" w14:textId="77777777" w:rsidR="0088504B" w:rsidRPr="00931DB8" w:rsidRDefault="0088504B" w:rsidP="007F2962">
      <w:pPr>
        <w:pStyle w:val="BodyText"/>
        <w:numPr>
          <w:ilvl w:val="0"/>
          <w:numId w:val="30"/>
        </w:numPr>
        <w:spacing w:before="0" w:after="0"/>
        <w:ind w:left="714" w:hanging="357"/>
      </w:pPr>
      <w:r w:rsidRPr="00931DB8">
        <w:t xml:space="preserve">payments/bursaries for trainees; professional fees; </w:t>
      </w:r>
    </w:p>
    <w:p w14:paraId="02C6702D" w14:textId="77777777" w:rsidR="0088504B" w:rsidRPr="00931DB8" w:rsidRDefault="0088504B" w:rsidP="007F2962">
      <w:pPr>
        <w:pStyle w:val="BodyText"/>
        <w:numPr>
          <w:ilvl w:val="0"/>
          <w:numId w:val="30"/>
        </w:numPr>
        <w:spacing w:before="0" w:after="0"/>
        <w:ind w:left="714" w:hanging="357"/>
      </w:pPr>
      <w:r w:rsidRPr="00931DB8">
        <w:t xml:space="preserve">costs involved in sharing knowledge with others in the accelerator cohort; </w:t>
      </w:r>
    </w:p>
    <w:p w14:paraId="11CA1F5B" w14:textId="77777777" w:rsidR="0088504B" w:rsidRPr="00931DB8" w:rsidRDefault="0088504B" w:rsidP="007F2962">
      <w:pPr>
        <w:pStyle w:val="BodyText"/>
        <w:numPr>
          <w:ilvl w:val="0"/>
          <w:numId w:val="30"/>
        </w:numPr>
        <w:spacing w:before="0" w:after="0"/>
        <w:ind w:left="714" w:hanging="357"/>
      </w:pPr>
      <w:r w:rsidRPr="00931DB8">
        <w:t xml:space="preserve">activities to engage people with the project; </w:t>
      </w:r>
    </w:p>
    <w:p w14:paraId="12219199" w14:textId="77777777" w:rsidR="0088504B" w:rsidRPr="00931DB8" w:rsidRDefault="0088504B" w:rsidP="007F2962">
      <w:pPr>
        <w:pStyle w:val="BodyText"/>
        <w:numPr>
          <w:ilvl w:val="0"/>
          <w:numId w:val="30"/>
        </w:numPr>
        <w:spacing w:before="0" w:after="0"/>
        <w:ind w:left="714" w:hanging="357"/>
      </w:pPr>
      <w:r w:rsidRPr="00931DB8">
        <w:t xml:space="preserve">evaluation; </w:t>
      </w:r>
    </w:p>
    <w:p w14:paraId="2CDB5328" w14:textId="77777777" w:rsidR="0088504B" w:rsidRPr="00931DB8" w:rsidRDefault="0088504B" w:rsidP="007F2962">
      <w:pPr>
        <w:pStyle w:val="BodyText"/>
        <w:numPr>
          <w:ilvl w:val="0"/>
          <w:numId w:val="30"/>
        </w:numPr>
        <w:spacing w:before="0" w:after="0"/>
        <w:ind w:left="714" w:hanging="357"/>
      </w:pPr>
      <w:r w:rsidRPr="00931DB8">
        <w:t xml:space="preserve">acknowledgement of our grant; </w:t>
      </w:r>
    </w:p>
    <w:p w14:paraId="7511DE53" w14:textId="77777777" w:rsidR="0088504B" w:rsidRPr="00931DB8" w:rsidRDefault="0088504B" w:rsidP="007F2962">
      <w:pPr>
        <w:pStyle w:val="BodyText"/>
        <w:numPr>
          <w:ilvl w:val="0"/>
          <w:numId w:val="30"/>
        </w:numPr>
        <w:spacing w:before="0" w:after="0"/>
        <w:ind w:left="714" w:hanging="357"/>
      </w:pPr>
      <w:r w:rsidRPr="00931DB8">
        <w:t xml:space="preserve">reasonable extra costs for your organisation, such as a new phone, extra photocopying, new computers or extra rent. </w:t>
      </w:r>
    </w:p>
    <w:p w14:paraId="498B0A37" w14:textId="77777777" w:rsidR="0088504B" w:rsidRPr="00931DB8" w:rsidRDefault="0088504B" w:rsidP="003D30D1">
      <w:pPr>
        <w:pStyle w:val="BodyText"/>
        <w:rPr>
          <w:b/>
        </w:rPr>
      </w:pPr>
      <w:r w:rsidRPr="00931DB8">
        <w:rPr>
          <w:b/>
        </w:rPr>
        <w:t xml:space="preserve">Direct project costs do not include: </w:t>
      </w:r>
    </w:p>
    <w:p w14:paraId="7613C7C1" w14:textId="77777777" w:rsidR="0088504B" w:rsidRPr="00931DB8" w:rsidRDefault="0088504B" w:rsidP="007F2962">
      <w:pPr>
        <w:pStyle w:val="BodyText"/>
        <w:numPr>
          <w:ilvl w:val="0"/>
          <w:numId w:val="31"/>
        </w:numPr>
        <w:spacing w:before="0" w:after="0"/>
        <w:ind w:left="714" w:hanging="357"/>
      </w:pPr>
      <w:r w:rsidRPr="00931DB8">
        <w:t xml:space="preserve">the cost of existing staff time (unless you are transferring an existing member of staff into a new post to deliver the project); </w:t>
      </w:r>
    </w:p>
    <w:p w14:paraId="45C4C8CD" w14:textId="1D8C3E9C" w:rsidR="00BA2E30" w:rsidRPr="00931DB8" w:rsidRDefault="0088504B" w:rsidP="007F2962">
      <w:pPr>
        <w:pStyle w:val="BodyText"/>
        <w:numPr>
          <w:ilvl w:val="0"/>
          <w:numId w:val="31"/>
        </w:numPr>
        <w:spacing w:before="0" w:after="0"/>
        <w:ind w:left="714" w:hanging="357"/>
        <w:rPr>
          <w:b/>
        </w:rPr>
      </w:pPr>
      <w:r w:rsidRPr="00931DB8">
        <w:t>existing organisational costs.</w:t>
      </w:r>
    </w:p>
    <w:p w14:paraId="7D3E15A9" w14:textId="77777777" w:rsidR="0088504B" w:rsidRPr="00931DB8" w:rsidRDefault="0088504B" w:rsidP="003D30D1">
      <w:pPr>
        <w:pStyle w:val="BodyText"/>
        <w:rPr>
          <w:b/>
          <w:color w:val="000000"/>
        </w:rPr>
      </w:pPr>
      <w:r w:rsidRPr="00931DB8">
        <w:rPr>
          <w:b/>
        </w:rPr>
        <w:t>Full Cost Recovery</w:t>
      </w:r>
    </w:p>
    <w:p w14:paraId="15B437AA" w14:textId="77777777" w:rsidR="0088504B" w:rsidRPr="00931DB8" w:rsidRDefault="0088504B" w:rsidP="003D30D1">
      <w:pPr>
        <w:pStyle w:val="BodyText"/>
        <w:rPr>
          <w:b/>
          <w:color w:val="000000"/>
          <w:lang w:eastAsia="en-US"/>
        </w:rPr>
      </w:pPr>
      <w:r w:rsidRPr="00931DB8">
        <w:rPr>
          <w:color w:val="000000"/>
          <w:lang w:eastAsia="en-US"/>
        </w:rPr>
        <w:t xml:space="preserve">For voluntary organisations, we can also accept part of an organisation’s overheads (sometimes called ‘core costs’) as a part of the costs of the project. We expect our contribution to be calculated using Full Cost Recovery. </w:t>
      </w:r>
    </w:p>
    <w:p w14:paraId="3DC83F50" w14:textId="77777777" w:rsidR="0088504B" w:rsidRPr="00931DB8" w:rsidRDefault="0088504B" w:rsidP="003D30D1">
      <w:pPr>
        <w:pStyle w:val="BodyText"/>
        <w:rPr>
          <w:b/>
          <w:color w:val="000000"/>
          <w:lang w:eastAsia="en-US"/>
        </w:rPr>
      </w:pPr>
      <w:r w:rsidRPr="00931DB8">
        <w:rPr>
          <w:color w:val="000000"/>
          <w:lang w:eastAsia="en-US"/>
        </w:rPr>
        <w:t xml:space="preserve">We cannot accept applications for Full Cost Recovery from public sector organisations, such as government-funded museums, local authorities or universities. </w:t>
      </w:r>
    </w:p>
    <w:p w14:paraId="284AA756" w14:textId="2CA6AFF1" w:rsidR="0088504B" w:rsidRPr="00931DB8" w:rsidRDefault="0088504B" w:rsidP="003D30D1">
      <w:pPr>
        <w:pStyle w:val="BodyText"/>
        <w:rPr>
          <w:color w:val="000000"/>
        </w:rPr>
      </w:pPr>
      <w:r w:rsidRPr="00931DB8">
        <w:rPr>
          <w:color w:val="000000"/>
          <w:lang w:eastAsia="en-US"/>
        </w:rPr>
        <w:t xml:space="preserve">Your organisation’s overheads might include overall management, administration and support, or premises costs that relate to the whole organisation. Under Full Cost Recovery, we can pay a proportion of these overheads, commensurate with the time or resources used for your project. We can also cover a proportion of the cost of an existing member of staff, as long as they are not working exclusively on the HLF-funded project. </w:t>
      </w:r>
      <w:r w:rsidRPr="00931DB8">
        <w:rPr>
          <w:color w:val="000000"/>
        </w:rPr>
        <w:t xml:space="preserve"> </w:t>
      </w:r>
    </w:p>
    <w:p w14:paraId="21C05A7D" w14:textId="1A25E8AA" w:rsidR="0088504B" w:rsidRPr="00843791" w:rsidRDefault="0088504B" w:rsidP="003D30D1">
      <w:pPr>
        <w:pStyle w:val="BodyText"/>
        <w:rPr>
          <w:b/>
          <w:color w:val="000000"/>
        </w:rPr>
      </w:pPr>
      <w:r w:rsidRPr="00931DB8">
        <w:rPr>
          <w:color w:val="000000"/>
        </w:rPr>
        <w:lastRenderedPageBreak/>
        <w:t xml:space="preserve">To receive a copy of the FPA </w:t>
      </w:r>
      <w:r w:rsidR="00EE7F9B" w:rsidRPr="00931DB8">
        <w:rPr>
          <w:color w:val="000000"/>
        </w:rPr>
        <w:t xml:space="preserve">Expression of Interest Guidance and the </w:t>
      </w:r>
      <w:r w:rsidRPr="00931DB8">
        <w:rPr>
          <w:color w:val="000000"/>
        </w:rPr>
        <w:t>application guidance</w:t>
      </w:r>
      <w:r w:rsidR="00EE7F9B" w:rsidRPr="00931DB8">
        <w:rPr>
          <w:color w:val="000000"/>
        </w:rPr>
        <w:t xml:space="preserve">  </w:t>
      </w:r>
      <w:r w:rsidRPr="00931DB8">
        <w:rPr>
          <w:color w:val="000000"/>
        </w:rPr>
        <w:t xml:space="preserve"> please email:</w:t>
      </w:r>
      <w:r w:rsidRPr="00931DB8">
        <w:rPr>
          <w:b/>
          <w:color w:val="000000"/>
        </w:rPr>
        <w:t xml:space="preserve"> </w:t>
      </w:r>
      <w:hyperlink r:id="rId9" w:history="1">
        <w:r w:rsidR="00843791" w:rsidRPr="00931DB8">
          <w:rPr>
            <w:rStyle w:val="Hyperlink"/>
            <w:rFonts w:eastAsia="Times New Roman"/>
          </w:rPr>
          <w:t>Asimina.vergou@heritagefund.org.uk</w:t>
        </w:r>
      </w:hyperlink>
      <w:r w:rsidR="00843791">
        <w:rPr>
          <w:b/>
          <w:color w:val="000000"/>
        </w:rPr>
        <w:t xml:space="preserve"> </w:t>
      </w:r>
    </w:p>
    <w:p w14:paraId="0D8B259D" w14:textId="77777777" w:rsidR="008A48BD" w:rsidRDefault="008A48BD" w:rsidP="009D31ED">
      <w:pPr>
        <w:pStyle w:val="Headings2"/>
        <w:keepNext w:val="0"/>
        <w:keepLines w:val="0"/>
        <w:widowControl w:val="0"/>
        <w:autoSpaceDE w:val="0"/>
        <w:autoSpaceDN w:val="0"/>
        <w:outlineLvl w:val="9"/>
      </w:pPr>
      <w:bookmarkStart w:id="1" w:name="_GoBack"/>
      <w:bookmarkEnd w:id="1"/>
    </w:p>
    <w:p w14:paraId="6C4C23B0" w14:textId="29611C65" w:rsidR="00003664" w:rsidRPr="00843791" w:rsidRDefault="00003664" w:rsidP="008A48BD">
      <w:pPr>
        <w:pStyle w:val="Headings2"/>
      </w:pPr>
      <w:r w:rsidRPr="00843791">
        <w:t>Contract’s terms and conditions</w:t>
      </w:r>
    </w:p>
    <w:p w14:paraId="2515416B" w14:textId="7B200FEA" w:rsidR="00700D1F" w:rsidRPr="00843791" w:rsidRDefault="009D0519" w:rsidP="008A48BD">
      <w:pPr>
        <w:pStyle w:val="BodyText"/>
        <w:rPr>
          <w:b/>
        </w:rPr>
      </w:pPr>
      <w:r w:rsidRPr="008A48BD">
        <w:rPr>
          <w:b/>
        </w:rPr>
        <w:t>Q</w:t>
      </w:r>
      <w:r w:rsidR="008A48BD" w:rsidRPr="008A48BD">
        <w:rPr>
          <w:b/>
        </w:rPr>
        <w:t>21</w:t>
      </w:r>
      <w:r w:rsidRPr="008A48BD">
        <w:rPr>
          <w:b/>
        </w:rPr>
        <w:t>.</w:t>
      </w:r>
      <w:r w:rsidR="008A48BD">
        <w:rPr>
          <w:b/>
        </w:rPr>
        <w:t xml:space="preserve"> </w:t>
      </w:r>
      <w:r w:rsidR="00700D1F" w:rsidRPr="00843791">
        <w:t>Regarding the contract's terms and conditions, para 5.4 states that the contract will be based on the Fund' standard terms and conditions - are these available terms and conditions available online?  If not, please could you send us a copy.</w:t>
      </w:r>
    </w:p>
    <w:p w14:paraId="5D805228" w14:textId="67E39EEF" w:rsidR="005034E1" w:rsidRPr="00843791" w:rsidRDefault="009D0519" w:rsidP="008A48BD">
      <w:pPr>
        <w:spacing w:before="100" w:beforeAutospacing="1" w:after="100" w:afterAutospacing="1"/>
        <w:rPr>
          <w:rFonts w:eastAsiaTheme="majorEastAsia"/>
          <w:sz w:val="22"/>
          <w:szCs w:val="22"/>
          <w:lang w:val="en-GB"/>
        </w:rPr>
      </w:pPr>
      <w:r w:rsidRPr="00931DB8">
        <w:rPr>
          <w:rFonts w:eastAsia="Times New Roman"/>
          <w:b w:val="0"/>
          <w:color w:val="000000"/>
          <w:sz w:val="22"/>
          <w:szCs w:val="22"/>
        </w:rPr>
        <w:t xml:space="preserve">Please contact </w:t>
      </w:r>
      <w:hyperlink r:id="rId10" w:history="1">
        <w:r w:rsidR="008A48BD" w:rsidRPr="00931DB8">
          <w:rPr>
            <w:rStyle w:val="Hyperlink"/>
            <w:rFonts w:eastAsia="Times New Roman"/>
            <w:b w:val="0"/>
            <w:sz w:val="22"/>
            <w:szCs w:val="22"/>
          </w:rPr>
          <w:t>Asimina.vergou@heritagefund.org.uk</w:t>
        </w:r>
      </w:hyperlink>
      <w:r w:rsidRPr="00931DB8">
        <w:rPr>
          <w:rFonts w:eastAsia="Times New Roman"/>
          <w:b w:val="0"/>
          <w:color w:val="000000"/>
          <w:sz w:val="22"/>
          <w:szCs w:val="22"/>
        </w:rPr>
        <w:t xml:space="preserve"> to receive a copy of our contract template which includes our terms and conditions.</w:t>
      </w:r>
    </w:p>
    <w:bookmarkEnd w:id="0"/>
    <w:sectPr w:rsidR="005034E1" w:rsidRPr="0084379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6410E" w14:textId="77777777" w:rsidR="003104ED" w:rsidRDefault="003104ED" w:rsidP="00D33F47">
      <w:r>
        <w:separator/>
      </w:r>
    </w:p>
  </w:endnote>
  <w:endnote w:type="continuationSeparator" w:id="0">
    <w:p w14:paraId="2A01A75A" w14:textId="77777777" w:rsidR="003104ED" w:rsidRDefault="003104ED" w:rsidP="00D3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Effra Medium">
    <w:altName w:val="Effra Medium"/>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191435"/>
      <w:docPartObj>
        <w:docPartGallery w:val="Page Numbers (Bottom of Page)"/>
        <w:docPartUnique/>
      </w:docPartObj>
    </w:sdtPr>
    <w:sdtEndPr>
      <w:rPr>
        <w:noProof/>
      </w:rPr>
    </w:sdtEndPr>
    <w:sdtContent>
      <w:p w14:paraId="0D350755" w14:textId="221D60E0" w:rsidR="004A6F35" w:rsidRDefault="004A6F35">
        <w:pPr>
          <w:pStyle w:val="Footer"/>
          <w:jc w:val="right"/>
        </w:pPr>
        <w:r>
          <w:fldChar w:fldCharType="begin"/>
        </w:r>
        <w:r>
          <w:instrText xml:space="preserve"> PAGE   \* MERGEFORMAT </w:instrText>
        </w:r>
        <w:r>
          <w:fldChar w:fldCharType="separate"/>
        </w:r>
        <w:r w:rsidR="009D31ED">
          <w:rPr>
            <w:noProof/>
          </w:rPr>
          <w:t>4</w:t>
        </w:r>
        <w:r>
          <w:rPr>
            <w:noProof/>
          </w:rPr>
          <w:fldChar w:fldCharType="end"/>
        </w:r>
      </w:p>
    </w:sdtContent>
  </w:sdt>
  <w:p w14:paraId="46670CF6" w14:textId="77777777" w:rsidR="004A6F35" w:rsidRDefault="004A6F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DAA27" w14:textId="77777777" w:rsidR="003104ED" w:rsidRDefault="003104ED" w:rsidP="00D33F47">
      <w:r>
        <w:separator/>
      </w:r>
    </w:p>
  </w:footnote>
  <w:footnote w:type="continuationSeparator" w:id="0">
    <w:p w14:paraId="2894617F" w14:textId="77777777" w:rsidR="003104ED" w:rsidRDefault="003104ED" w:rsidP="00D33F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52F4" w14:textId="18A55A28" w:rsidR="004A6F35" w:rsidRDefault="004A6F35" w:rsidP="00AA062F">
    <w:pPr>
      <w:pStyle w:val="Header"/>
      <w:tabs>
        <w:tab w:val="clear" w:pos="4680"/>
        <w:tab w:val="clear" w:pos="9360"/>
        <w:tab w:val="left" w:pos="3104"/>
      </w:tabs>
      <w:jc w:val="right"/>
    </w:pPr>
    <w:r>
      <w:tab/>
    </w:r>
    <w:r w:rsidR="00DA0A4F" w:rsidRPr="007425FB">
      <w:rPr>
        <w:noProof/>
        <w:lang w:eastAsia="en-US"/>
      </w:rPr>
      <w:drawing>
        <wp:inline distT="0" distB="0" distL="0" distR="0" wp14:anchorId="1A8081C2" wp14:editId="09D021BD">
          <wp:extent cx="2513538" cy="667339"/>
          <wp:effectExtent l="0" t="0" r="1270" b="0"/>
          <wp:docPr id="4" name="Picture 4" descr="The National Lottery Heritage Fund logo and The National Trust logo" title="The National Lottery Heritage Fund logo and The National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3_ProgrammeMgm't&amp;Dev't\Parks\Future Parks Accelerator\New Joint FP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9420" cy="687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E35F3"/>
    <w:multiLevelType w:val="multilevel"/>
    <w:tmpl w:val="DE4456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E9141C"/>
    <w:multiLevelType w:val="multilevel"/>
    <w:tmpl w:val="41002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C20A3F"/>
    <w:multiLevelType w:val="hybridMultilevel"/>
    <w:tmpl w:val="808AC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350608"/>
    <w:multiLevelType w:val="hybridMultilevel"/>
    <w:tmpl w:val="18B89120"/>
    <w:lvl w:ilvl="0" w:tplc="F542A08C">
      <w:start w:val="1"/>
      <w:numFmt w:val="decimal"/>
      <w:lvlText w:val="%1."/>
      <w:lvlJc w:val="left"/>
      <w:pPr>
        <w:ind w:left="105" w:hanging="248"/>
      </w:pPr>
      <w:rPr>
        <w:rFonts w:ascii="Arial" w:eastAsia="Arial" w:hAnsi="Arial" w:cs="Arial" w:hint="default"/>
        <w:spacing w:val="-1"/>
        <w:w w:val="100"/>
        <w:sz w:val="22"/>
        <w:szCs w:val="22"/>
        <w:lang w:val="en-GB" w:eastAsia="en-GB" w:bidi="en-GB"/>
      </w:rPr>
    </w:lvl>
    <w:lvl w:ilvl="1" w:tplc="ACFCF360">
      <w:start w:val="1"/>
      <w:numFmt w:val="lowerLetter"/>
      <w:lvlText w:val="%2."/>
      <w:lvlJc w:val="left"/>
      <w:pPr>
        <w:ind w:left="1072" w:hanging="248"/>
      </w:pPr>
      <w:rPr>
        <w:rFonts w:ascii="Arial" w:eastAsia="Arial" w:hAnsi="Arial" w:cs="Arial" w:hint="default"/>
        <w:spacing w:val="-1"/>
        <w:w w:val="100"/>
        <w:sz w:val="22"/>
        <w:szCs w:val="22"/>
        <w:lang w:val="en-GB" w:eastAsia="en-GB" w:bidi="en-GB"/>
      </w:rPr>
    </w:lvl>
    <w:lvl w:ilvl="2" w:tplc="68F63892">
      <w:numFmt w:val="bullet"/>
      <w:lvlText w:val="•"/>
      <w:lvlJc w:val="left"/>
      <w:pPr>
        <w:ind w:left="1080" w:hanging="248"/>
      </w:pPr>
      <w:rPr>
        <w:rFonts w:hint="default"/>
        <w:lang w:val="en-GB" w:eastAsia="en-GB" w:bidi="en-GB"/>
      </w:rPr>
    </w:lvl>
    <w:lvl w:ilvl="3" w:tplc="C8A63DFE">
      <w:numFmt w:val="bullet"/>
      <w:lvlText w:val="•"/>
      <w:lvlJc w:val="left"/>
      <w:pPr>
        <w:ind w:left="2240" w:hanging="248"/>
      </w:pPr>
      <w:rPr>
        <w:rFonts w:hint="default"/>
        <w:lang w:val="en-GB" w:eastAsia="en-GB" w:bidi="en-GB"/>
      </w:rPr>
    </w:lvl>
    <w:lvl w:ilvl="4" w:tplc="8D3E1690">
      <w:numFmt w:val="bullet"/>
      <w:lvlText w:val="•"/>
      <w:lvlJc w:val="left"/>
      <w:pPr>
        <w:ind w:left="3401" w:hanging="248"/>
      </w:pPr>
      <w:rPr>
        <w:rFonts w:hint="default"/>
        <w:lang w:val="en-GB" w:eastAsia="en-GB" w:bidi="en-GB"/>
      </w:rPr>
    </w:lvl>
    <w:lvl w:ilvl="5" w:tplc="D53A9F30">
      <w:numFmt w:val="bullet"/>
      <w:lvlText w:val="•"/>
      <w:lvlJc w:val="left"/>
      <w:pPr>
        <w:ind w:left="4562" w:hanging="248"/>
      </w:pPr>
      <w:rPr>
        <w:rFonts w:hint="default"/>
        <w:lang w:val="en-GB" w:eastAsia="en-GB" w:bidi="en-GB"/>
      </w:rPr>
    </w:lvl>
    <w:lvl w:ilvl="6" w:tplc="6F6E4C32">
      <w:numFmt w:val="bullet"/>
      <w:lvlText w:val="•"/>
      <w:lvlJc w:val="left"/>
      <w:pPr>
        <w:ind w:left="5723" w:hanging="248"/>
      </w:pPr>
      <w:rPr>
        <w:rFonts w:hint="default"/>
        <w:lang w:val="en-GB" w:eastAsia="en-GB" w:bidi="en-GB"/>
      </w:rPr>
    </w:lvl>
    <w:lvl w:ilvl="7" w:tplc="8E7A4FF4">
      <w:numFmt w:val="bullet"/>
      <w:lvlText w:val="•"/>
      <w:lvlJc w:val="left"/>
      <w:pPr>
        <w:ind w:left="6884" w:hanging="248"/>
      </w:pPr>
      <w:rPr>
        <w:rFonts w:hint="default"/>
        <w:lang w:val="en-GB" w:eastAsia="en-GB" w:bidi="en-GB"/>
      </w:rPr>
    </w:lvl>
    <w:lvl w:ilvl="8" w:tplc="A3C66C1C">
      <w:numFmt w:val="bullet"/>
      <w:lvlText w:val="•"/>
      <w:lvlJc w:val="left"/>
      <w:pPr>
        <w:ind w:left="8044" w:hanging="248"/>
      </w:pPr>
      <w:rPr>
        <w:rFonts w:hint="default"/>
        <w:lang w:val="en-GB" w:eastAsia="en-GB" w:bidi="en-GB"/>
      </w:rPr>
    </w:lvl>
  </w:abstractNum>
  <w:abstractNum w:abstractNumId="4" w15:restartNumberingAfterBreak="0">
    <w:nsid w:val="202202E0"/>
    <w:multiLevelType w:val="multilevel"/>
    <w:tmpl w:val="8A16EAE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806918"/>
    <w:multiLevelType w:val="hybridMultilevel"/>
    <w:tmpl w:val="53540F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6A54C9D"/>
    <w:multiLevelType w:val="multilevel"/>
    <w:tmpl w:val="E9DAEE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9210681"/>
    <w:multiLevelType w:val="hybridMultilevel"/>
    <w:tmpl w:val="85DE3F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991639"/>
    <w:multiLevelType w:val="hybridMultilevel"/>
    <w:tmpl w:val="3D88E328"/>
    <w:lvl w:ilvl="0" w:tplc="F7066D9A">
      <w:start w:val="1"/>
      <w:numFmt w:val="bullet"/>
      <w:lvlText w:val="-"/>
      <w:lvlJc w:val="left"/>
      <w:pPr>
        <w:ind w:left="1800" w:hanging="360"/>
      </w:pPr>
      <w:rPr>
        <w:rFonts w:ascii="Calibri" w:eastAsia="Calibr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9" w15:restartNumberingAfterBreak="0">
    <w:nsid w:val="2D29324A"/>
    <w:multiLevelType w:val="hybridMultilevel"/>
    <w:tmpl w:val="DAF80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013DBE"/>
    <w:multiLevelType w:val="hybridMultilevel"/>
    <w:tmpl w:val="3D36A6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23C61ED"/>
    <w:multiLevelType w:val="hybridMultilevel"/>
    <w:tmpl w:val="06FE7A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C749A"/>
    <w:multiLevelType w:val="hybridMultilevel"/>
    <w:tmpl w:val="F978FEF6"/>
    <w:lvl w:ilvl="0" w:tplc="04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A5A5A7D"/>
    <w:multiLevelType w:val="multilevel"/>
    <w:tmpl w:val="59A475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32E0A26"/>
    <w:multiLevelType w:val="hybridMultilevel"/>
    <w:tmpl w:val="EC5E6D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085388"/>
    <w:multiLevelType w:val="hybridMultilevel"/>
    <w:tmpl w:val="653898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CAE7E06"/>
    <w:multiLevelType w:val="hybridMultilevel"/>
    <w:tmpl w:val="E45C34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4725EFC"/>
    <w:multiLevelType w:val="hybridMultilevel"/>
    <w:tmpl w:val="7AC09898"/>
    <w:lvl w:ilvl="0" w:tplc="04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8F74D08"/>
    <w:multiLevelType w:val="hybridMultilevel"/>
    <w:tmpl w:val="FB627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94275D1"/>
    <w:multiLevelType w:val="hybridMultilevel"/>
    <w:tmpl w:val="5906B9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B9A7CAC"/>
    <w:multiLevelType w:val="multilevel"/>
    <w:tmpl w:val="466E7E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6138D8"/>
    <w:multiLevelType w:val="hybridMultilevel"/>
    <w:tmpl w:val="EF82EC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214345"/>
    <w:multiLevelType w:val="hybridMultilevel"/>
    <w:tmpl w:val="D0225426"/>
    <w:lvl w:ilvl="0" w:tplc="04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35625A0"/>
    <w:multiLevelType w:val="hybridMultilevel"/>
    <w:tmpl w:val="296C62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D32C32"/>
    <w:multiLevelType w:val="hybridMultilevel"/>
    <w:tmpl w:val="84A2C3EC"/>
    <w:lvl w:ilvl="0" w:tplc="04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B6C6011"/>
    <w:multiLevelType w:val="hybridMultilevel"/>
    <w:tmpl w:val="70027A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F915FFC"/>
    <w:multiLevelType w:val="multilevel"/>
    <w:tmpl w:val="FE000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620B7D"/>
    <w:multiLevelType w:val="hybridMultilevel"/>
    <w:tmpl w:val="BF42EC24"/>
    <w:lvl w:ilvl="0" w:tplc="04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9810ABF"/>
    <w:multiLevelType w:val="hybridMultilevel"/>
    <w:tmpl w:val="CDAAA5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F5908"/>
    <w:multiLevelType w:val="hybridMultilevel"/>
    <w:tmpl w:val="BC9AD9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4"/>
  </w:num>
  <w:num w:numId="22">
    <w:abstractNumId w:val="23"/>
  </w:num>
  <w:num w:numId="23">
    <w:abstractNumId w:val="12"/>
  </w:num>
  <w:num w:numId="24">
    <w:abstractNumId w:val="21"/>
  </w:num>
  <w:num w:numId="25">
    <w:abstractNumId w:val="28"/>
  </w:num>
  <w:num w:numId="26">
    <w:abstractNumId w:val="17"/>
  </w:num>
  <w:num w:numId="27">
    <w:abstractNumId w:val="27"/>
  </w:num>
  <w:num w:numId="28">
    <w:abstractNumId w:val="22"/>
  </w:num>
  <w:num w:numId="29">
    <w:abstractNumId w:val="11"/>
  </w:num>
  <w:num w:numId="30">
    <w:abstractNumId w:val="1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A37"/>
    <w:rsid w:val="00003664"/>
    <w:rsid w:val="0002094E"/>
    <w:rsid w:val="000244E4"/>
    <w:rsid w:val="00036AFC"/>
    <w:rsid w:val="00044F2C"/>
    <w:rsid w:val="00053A1F"/>
    <w:rsid w:val="00054482"/>
    <w:rsid w:val="000638A1"/>
    <w:rsid w:val="0007382B"/>
    <w:rsid w:val="00075DC7"/>
    <w:rsid w:val="000765C7"/>
    <w:rsid w:val="00081745"/>
    <w:rsid w:val="000A2DFE"/>
    <w:rsid w:val="000A423E"/>
    <w:rsid w:val="000B2BC7"/>
    <w:rsid w:val="000C1D64"/>
    <w:rsid w:val="000C5244"/>
    <w:rsid w:val="000C73FA"/>
    <w:rsid w:val="000F3203"/>
    <w:rsid w:val="000F5B35"/>
    <w:rsid w:val="00106532"/>
    <w:rsid w:val="0011174F"/>
    <w:rsid w:val="00113BC4"/>
    <w:rsid w:val="001478E7"/>
    <w:rsid w:val="00161F4F"/>
    <w:rsid w:val="001643F6"/>
    <w:rsid w:val="00182A5D"/>
    <w:rsid w:val="001A6B81"/>
    <w:rsid w:val="001C4554"/>
    <w:rsid w:val="001D0A33"/>
    <w:rsid w:val="001E79D7"/>
    <w:rsid w:val="001F2AC6"/>
    <w:rsid w:val="00200F78"/>
    <w:rsid w:val="002031E2"/>
    <w:rsid w:val="0020436C"/>
    <w:rsid w:val="002445DD"/>
    <w:rsid w:val="00282E41"/>
    <w:rsid w:val="002A465B"/>
    <w:rsid w:val="002A5E73"/>
    <w:rsid w:val="002A6BF5"/>
    <w:rsid w:val="002B5920"/>
    <w:rsid w:val="002B6EF2"/>
    <w:rsid w:val="002C1E12"/>
    <w:rsid w:val="002E7FAB"/>
    <w:rsid w:val="002F354F"/>
    <w:rsid w:val="003104ED"/>
    <w:rsid w:val="003169C2"/>
    <w:rsid w:val="00316C66"/>
    <w:rsid w:val="00316E92"/>
    <w:rsid w:val="0035627B"/>
    <w:rsid w:val="0036646E"/>
    <w:rsid w:val="00371721"/>
    <w:rsid w:val="0039148F"/>
    <w:rsid w:val="003A4FA2"/>
    <w:rsid w:val="003C7C85"/>
    <w:rsid w:val="003D0872"/>
    <w:rsid w:val="003D1575"/>
    <w:rsid w:val="003D30D1"/>
    <w:rsid w:val="003D7194"/>
    <w:rsid w:val="003E55D2"/>
    <w:rsid w:val="003E5AA8"/>
    <w:rsid w:val="003F07C1"/>
    <w:rsid w:val="0040082A"/>
    <w:rsid w:val="00401914"/>
    <w:rsid w:val="004029E2"/>
    <w:rsid w:val="004058E4"/>
    <w:rsid w:val="00423985"/>
    <w:rsid w:val="00440941"/>
    <w:rsid w:val="00440EE4"/>
    <w:rsid w:val="00442395"/>
    <w:rsid w:val="004428E4"/>
    <w:rsid w:val="00451115"/>
    <w:rsid w:val="00455582"/>
    <w:rsid w:val="004600D5"/>
    <w:rsid w:val="00474F7C"/>
    <w:rsid w:val="004A6F35"/>
    <w:rsid w:val="004B61D7"/>
    <w:rsid w:val="004C2909"/>
    <w:rsid w:val="004E101B"/>
    <w:rsid w:val="004E35D8"/>
    <w:rsid w:val="004F2134"/>
    <w:rsid w:val="004F49C4"/>
    <w:rsid w:val="005034E1"/>
    <w:rsid w:val="00527262"/>
    <w:rsid w:val="005407B0"/>
    <w:rsid w:val="00545CF3"/>
    <w:rsid w:val="005561AF"/>
    <w:rsid w:val="005A1282"/>
    <w:rsid w:val="005A70F5"/>
    <w:rsid w:val="005B0020"/>
    <w:rsid w:val="005B0736"/>
    <w:rsid w:val="005B212C"/>
    <w:rsid w:val="005B427B"/>
    <w:rsid w:val="005E0A7C"/>
    <w:rsid w:val="005E5B21"/>
    <w:rsid w:val="005E68CB"/>
    <w:rsid w:val="005F2385"/>
    <w:rsid w:val="00600D59"/>
    <w:rsid w:val="00613E88"/>
    <w:rsid w:val="00617CD4"/>
    <w:rsid w:val="00622171"/>
    <w:rsid w:val="00643751"/>
    <w:rsid w:val="00644219"/>
    <w:rsid w:val="00667FA5"/>
    <w:rsid w:val="00674D54"/>
    <w:rsid w:val="006752C4"/>
    <w:rsid w:val="00685967"/>
    <w:rsid w:val="006B1E44"/>
    <w:rsid w:val="006B23F8"/>
    <w:rsid w:val="006B58AA"/>
    <w:rsid w:val="006C0930"/>
    <w:rsid w:val="006E586F"/>
    <w:rsid w:val="006E668D"/>
    <w:rsid w:val="006F66B0"/>
    <w:rsid w:val="00700D1F"/>
    <w:rsid w:val="007015A6"/>
    <w:rsid w:val="00703CDD"/>
    <w:rsid w:val="00714AE8"/>
    <w:rsid w:val="00720A50"/>
    <w:rsid w:val="0072740B"/>
    <w:rsid w:val="007463FA"/>
    <w:rsid w:val="00755ABD"/>
    <w:rsid w:val="007768C0"/>
    <w:rsid w:val="00780A58"/>
    <w:rsid w:val="007A0341"/>
    <w:rsid w:val="007C42CA"/>
    <w:rsid w:val="007D215F"/>
    <w:rsid w:val="007D5E9A"/>
    <w:rsid w:val="007F2962"/>
    <w:rsid w:val="007F6E3A"/>
    <w:rsid w:val="00802A8B"/>
    <w:rsid w:val="00802B0B"/>
    <w:rsid w:val="0080370F"/>
    <w:rsid w:val="00814A39"/>
    <w:rsid w:val="0082225C"/>
    <w:rsid w:val="00827DCC"/>
    <w:rsid w:val="00835AE5"/>
    <w:rsid w:val="00841364"/>
    <w:rsid w:val="008435B8"/>
    <w:rsid w:val="00843791"/>
    <w:rsid w:val="008461D9"/>
    <w:rsid w:val="008507AF"/>
    <w:rsid w:val="00862066"/>
    <w:rsid w:val="00866925"/>
    <w:rsid w:val="00872561"/>
    <w:rsid w:val="0088504B"/>
    <w:rsid w:val="008972FE"/>
    <w:rsid w:val="008A48BD"/>
    <w:rsid w:val="008B1CB6"/>
    <w:rsid w:val="008B3AAE"/>
    <w:rsid w:val="008B6788"/>
    <w:rsid w:val="008B6B74"/>
    <w:rsid w:val="008C3D53"/>
    <w:rsid w:val="008D20FB"/>
    <w:rsid w:val="008D5168"/>
    <w:rsid w:val="008E007A"/>
    <w:rsid w:val="008E0A30"/>
    <w:rsid w:val="008F5D0F"/>
    <w:rsid w:val="008F5E27"/>
    <w:rsid w:val="009041D4"/>
    <w:rsid w:val="0091071A"/>
    <w:rsid w:val="00911DA3"/>
    <w:rsid w:val="00931DB8"/>
    <w:rsid w:val="0093655B"/>
    <w:rsid w:val="0094380D"/>
    <w:rsid w:val="0095609E"/>
    <w:rsid w:val="0096594F"/>
    <w:rsid w:val="00966834"/>
    <w:rsid w:val="00980896"/>
    <w:rsid w:val="00991CCF"/>
    <w:rsid w:val="00997BD5"/>
    <w:rsid w:val="009A14AD"/>
    <w:rsid w:val="009A1D5E"/>
    <w:rsid w:val="009A4671"/>
    <w:rsid w:val="009A49A0"/>
    <w:rsid w:val="009B7507"/>
    <w:rsid w:val="009C27A7"/>
    <w:rsid w:val="009D0519"/>
    <w:rsid w:val="009D31ED"/>
    <w:rsid w:val="009D33ED"/>
    <w:rsid w:val="009D5D07"/>
    <w:rsid w:val="009E4917"/>
    <w:rsid w:val="009F0B10"/>
    <w:rsid w:val="009F3BBB"/>
    <w:rsid w:val="00A15714"/>
    <w:rsid w:val="00A2023F"/>
    <w:rsid w:val="00A34CE5"/>
    <w:rsid w:val="00A35D52"/>
    <w:rsid w:val="00A37165"/>
    <w:rsid w:val="00A461FE"/>
    <w:rsid w:val="00A51E33"/>
    <w:rsid w:val="00A71FF3"/>
    <w:rsid w:val="00A814D0"/>
    <w:rsid w:val="00A91967"/>
    <w:rsid w:val="00AA062F"/>
    <w:rsid w:val="00AA3270"/>
    <w:rsid w:val="00AA60DB"/>
    <w:rsid w:val="00AB5D22"/>
    <w:rsid w:val="00AD16F6"/>
    <w:rsid w:val="00AD458D"/>
    <w:rsid w:val="00AE2FEE"/>
    <w:rsid w:val="00AF0EE6"/>
    <w:rsid w:val="00B12A1F"/>
    <w:rsid w:val="00B14EEC"/>
    <w:rsid w:val="00B21067"/>
    <w:rsid w:val="00B2440D"/>
    <w:rsid w:val="00B316CD"/>
    <w:rsid w:val="00B328A4"/>
    <w:rsid w:val="00B366AD"/>
    <w:rsid w:val="00B379F1"/>
    <w:rsid w:val="00B37EC1"/>
    <w:rsid w:val="00B42BE2"/>
    <w:rsid w:val="00B46A37"/>
    <w:rsid w:val="00B52EA2"/>
    <w:rsid w:val="00B6328A"/>
    <w:rsid w:val="00B63EA0"/>
    <w:rsid w:val="00B76862"/>
    <w:rsid w:val="00B779E0"/>
    <w:rsid w:val="00B87266"/>
    <w:rsid w:val="00B94A5F"/>
    <w:rsid w:val="00B95537"/>
    <w:rsid w:val="00B97BD0"/>
    <w:rsid w:val="00BA2E30"/>
    <w:rsid w:val="00BA3EA9"/>
    <w:rsid w:val="00BB1648"/>
    <w:rsid w:val="00BB1B91"/>
    <w:rsid w:val="00BC0A20"/>
    <w:rsid w:val="00BC4CAB"/>
    <w:rsid w:val="00BD0BB3"/>
    <w:rsid w:val="00BE69F8"/>
    <w:rsid w:val="00BF45CA"/>
    <w:rsid w:val="00C00877"/>
    <w:rsid w:val="00C334BA"/>
    <w:rsid w:val="00C53512"/>
    <w:rsid w:val="00C66763"/>
    <w:rsid w:val="00C74166"/>
    <w:rsid w:val="00C95775"/>
    <w:rsid w:val="00CA49F9"/>
    <w:rsid w:val="00CA6477"/>
    <w:rsid w:val="00CC2962"/>
    <w:rsid w:val="00CD4958"/>
    <w:rsid w:val="00CE7C42"/>
    <w:rsid w:val="00D10FCC"/>
    <w:rsid w:val="00D13AE2"/>
    <w:rsid w:val="00D1537D"/>
    <w:rsid w:val="00D15D13"/>
    <w:rsid w:val="00D16098"/>
    <w:rsid w:val="00D20D3F"/>
    <w:rsid w:val="00D33F47"/>
    <w:rsid w:val="00D35B1B"/>
    <w:rsid w:val="00D606C8"/>
    <w:rsid w:val="00D67B3F"/>
    <w:rsid w:val="00D8722A"/>
    <w:rsid w:val="00D95056"/>
    <w:rsid w:val="00D95B70"/>
    <w:rsid w:val="00D97676"/>
    <w:rsid w:val="00DA0A4F"/>
    <w:rsid w:val="00DA4492"/>
    <w:rsid w:val="00DB14F5"/>
    <w:rsid w:val="00DB6EBB"/>
    <w:rsid w:val="00DC0A99"/>
    <w:rsid w:val="00DC18F7"/>
    <w:rsid w:val="00DC5E99"/>
    <w:rsid w:val="00DE404B"/>
    <w:rsid w:val="00DF2584"/>
    <w:rsid w:val="00DF33B0"/>
    <w:rsid w:val="00E0346C"/>
    <w:rsid w:val="00E05960"/>
    <w:rsid w:val="00E14EF7"/>
    <w:rsid w:val="00E31AA1"/>
    <w:rsid w:val="00E33D10"/>
    <w:rsid w:val="00E475E5"/>
    <w:rsid w:val="00E65AFD"/>
    <w:rsid w:val="00EA0233"/>
    <w:rsid w:val="00EC54DE"/>
    <w:rsid w:val="00EC7018"/>
    <w:rsid w:val="00EC7308"/>
    <w:rsid w:val="00ED0E00"/>
    <w:rsid w:val="00ED6FAD"/>
    <w:rsid w:val="00ED716C"/>
    <w:rsid w:val="00EE7F9B"/>
    <w:rsid w:val="00EF19C5"/>
    <w:rsid w:val="00F04145"/>
    <w:rsid w:val="00F1482D"/>
    <w:rsid w:val="00F16ECD"/>
    <w:rsid w:val="00F20AC4"/>
    <w:rsid w:val="00F2145C"/>
    <w:rsid w:val="00F26E2C"/>
    <w:rsid w:val="00F461EB"/>
    <w:rsid w:val="00F53A4F"/>
    <w:rsid w:val="00F56D12"/>
    <w:rsid w:val="00F6259C"/>
    <w:rsid w:val="00F63611"/>
    <w:rsid w:val="00F64732"/>
    <w:rsid w:val="00F72686"/>
    <w:rsid w:val="00F76CC9"/>
    <w:rsid w:val="00F77669"/>
    <w:rsid w:val="00F80463"/>
    <w:rsid w:val="00F8750C"/>
    <w:rsid w:val="00F92E31"/>
    <w:rsid w:val="00FA15B4"/>
    <w:rsid w:val="00FA2031"/>
    <w:rsid w:val="00FC6103"/>
    <w:rsid w:val="00FC7723"/>
    <w:rsid w:val="00FC7B95"/>
    <w:rsid w:val="00FD6985"/>
    <w:rsid w:val="00FE5C00"/>
    <w:rsid w:val="00FF37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DCD9325"/>
  <w15:docId w15:val="{6177538C-9BA2-49EE-9122-9310A8E9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D12"/>
    <w:pPr>
      <w:spacing w:after="0" w:line="240" w:lineRule="auto"/>
    </w:pPr>
    <w:rPr>
      <w:rFonts w:ascii="Arial" w:hAnsi="Arial" w:cs="Arial"/>
      <w:b/>
      <w:sz w:val="28"/>
      <w:szCs w:val="24"/>
      <w:lang w:val="en-US" w:eastAsia="en-GB"/>
    </w:rPr>
  </w:style>
  <w:style w:type="paragraph" w:styleId="Heading1">
    <w:name w:val="heading 1"/>
    <w:basedOn w:val="Normal"/>
    <w:next w:val="Normal"/>
    <w:link w:val="Heading1Char"/>
    <w:uiPriority w:val="9"/>
    <w:qFormat/>
    <w:rsid w:val="00AF0EE6"/>
    <w:pPr>
      <w:keepNext/>
      <w:keepLines/>
      <w:outlineLvl w:val="0"/>
    </w:pPr>
    <w:rPr>
      <w:rFonts w:eastAsiaTheme="majorEastAsia"/>
      <w:sz w:val="32"/>
    </w:rPr>
  </w:style>
  <w:style w:type="paragraph" w:styleId="Heading2">
    <w:name w:val="heading 2"/>
    <w:aliases w:val="Header Row"/>
    <w:basedOn w:val="Normal"/>
    <w:next w:val="Normal"/>
    <w:link w:val="Heading2Char"/>
    <w:uiPriority w:val="9"/>
    <w:unhideWhenUsed/>
    <w:qFormat/>
    <w:rsid w:val="00667FA5"/>
    <w:pPr>
      <w:keepNext/>
      <w:keepLines/>
      <w:spacing w:before="40"/>
      <w:outlineLvl w:val="1"/>
    </w:pPr>
    <w:rPr>
      <w:rFonts w:eastAsiaTheme="majorEastAsia" w:cstheme="majorBidi"/>
      <w:b w:val="0"/>
      <w:color w:val="000000" w:themeColor="text1"/>
      <w:sz w:val="26"/>
      <w:szCs w:val="26"/>
    </w:rPr>
  </w:style>
  <w:style w:type="paragraph" w:styleId="Heading3">
    <w:name w:val="heading 3"/>
    <w:basedOn w:val="Normal"/>
    <w:next w:val="Normal"/>
    <w:link w:val="Heading3Char"/>
    <w:uiPriority w:val="9"/>
    <w:unhideWhenUsed/>
    <w:qFormat/>
    <w:rsid w:val="008972FE"/>
    <w:pPr>
      <w:keepNext/>
      <w:keepLines/>
      <w:spacing w:before="60" w:after="60"/>
      <w:outlineLvl w:val="2"/>
    </w:pPr>
    <w:rPr>
      <w:rFonts w:eastAsiaTheme="majorEastAsia" w:cstheme="majorBidi"/>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14F5"/>
    <w:rPr>
      <w:color w:val="0000FF" w:themeColor="hyperlink"/>
      <w:u w:val="single"/>
    </w:rPr>
  </w:style>
  <w:style w:type="table" w:styleId="TableGrid">
    <w:name w:val="Table Grid"/>
    <w:basedOn w:val="TableNormal"/>
    <w:uiPriority w:val="59"/>
    <w:rsid w:val="002B6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er Row Char"/>
    <w:basedOn w:val="DefaultParagraphFont"/>
    <w:link w:val="Heading2"/>
    <w:uiPriority w:val="9"/>
    <w:rsid w:val="00667FA5"/>
    <w:rPr>
      <w:rFonts w:ascii="Arial" w:eastAsiaTheme="majorEastAsia" w:hAnsi="Arial" w:cstheme="majorBidi"/>
      <w:b/>
      <w:color w:val="000000" w:themeColor="text1"/>
      <w:sz w:val="26"/>
      <w:szCs w:val="26"/>
      <w:lang w:val="en-US" w:eastAsia="en-GB"/>
    </w:rPr>
  </w:style>
  <w:style w:type="character" w:customStyle="1" w:styleId="Heading1Char">
    <w:name w:val="Heading 1 Char"/>
    <w:basedOn w:val="DefaultParagraphFont"/>
    <w:link w:val="Heading1"/>
    <w:uiPriority w:val="9"/>
    <w:rsid w:val="00AF0EE6"/>
    <w:rPr>
      <w:rFonts w:ascii="Arial" w:eastAsiaTheme="majorEastAsia" w:hAnsi="Arial" w:cs="Arial"/>
      <w:b/>
      <w:sz w:val="32"/>
      <w:szCs w:val="24"/>
      <w:lang w:val="en-US" w:eastAsia="en-GB"/>
    </w:rPr>
  </w:style>
  <w:style w:type="character" w:styleId="IntenseEmphasis">
    <w:name w:val="Intense Emphasis"/>
    <w:basedOn w:val="DefaultParagraphFont"/>
    <w:uiPriority w:val="21"/>
    <w:qFormat/>
    <w:rsid w:val="00862066"/>
    <w:rPr>
      <w:i/>
      <w:iCs/>
    </w:rPr>
  </w:style>
  <w:style w:type="character" w:styleId="FollowedHyperlink">
    <w:name w:val="FollowedHyperlink"/>
    <w:basedOn w:val="DefaultParagraphFont"/>
    <w:uiPriority w:val="99"/>
    <w:semiHidden/>
    <w:unhideWhenUsed/>
    <w:rsid w:val="00862066"/>
    <w:rPr>
      <w:color w:val="800080" w:themeColor="followedHyperlink"/>
      <w:u w:val="single"/>
    </w:rPr>
  </w:style>
  <w:style w:type="paragraph" w:styleId="Title">
    <w:name w:val="Title"/>
    <w:basedOn w:val="Normal"/>
    <w:next w:val="Normal"/>
    <w:link w:val="TitleChar"/>
    <w:uiPriority w:val="10"/>
    <w:qFormat/>
    <w:rsid w:val="00282E41"/>
    <w:pPr>
      <w:contextualSpacing/>
    </w:pPr>
    <w:rPr>
      <w:rFonts w:eastAsiaTheme="majorEastAsia"/>
      <w:spacing w:val="-10"/>
      <w:kern w:val="28"/>
      <w:sz w:val="32"/>
      <w:szCs w:val="32"/>
    </w:rPr>
  </w:style>
  <w:style w:type="character" w:customStyle="1" w:styleId="TitleChar">
    <w:name w:val="Title Char"/>
    <w:basedOn w:val="DefaultParagraphFont"/>
    <w:link w:val="Title"/>
    <w:uiPriority w:val="10"/>
    <w:rsid w:val="00282E41"/>
    <w:rPr>
      <w:rFonts w:ascii="Arial" w:eastAsiaTheme="majorEastAsia" w:hAnsi="Arial" w:cs="Arial"/>
      <w:spacing w:val="-10"/>
      <w:kern w:val="28"/>
      <w:sz w:val="32"/>
      <w:szCs w:val="32"/>
      <w:lang w:val="en-US" w:eastAsia="en-GB"/>
    </w:rPr>
  </w:style>
  <w:style w:type="paragraph" w:styleId="TOCHeading">
    <w:name w:val="TOC Heading"/>
    <w:basedOn w:val="Heading1"/>
    <w:next w:val="Normal"/>
    <w:uiPriority w:val="39"/>
    <w:unhideWhenUsed/>
    <w:qFormat/>
    <w:rsid w:val="00282E41"/>
    <w:pPr>
      <w:spacing w:line="259" w:lineRule="auto"/>
      <w:outlineLvl w:val="9"/>
    </w:pPr>
    <w:rPr>
      <w:rFonts w:asciiTheme="majorHAnsi" w:hAnsiTheme="majorHAnsi" w:cstheme="majorBidi"/>
      <w:b w:val="0"/>
      <w:color w:val="365F91" w:themeColor="accent1" w:themeShade="BF"/>
      <w:szCs w:val="32"/>
      <w:lang w:eastAsia="en-US"/>
    </w:rPr>
  </w:style>
  <w:style w:type="paragraph" w:styleId="TOC1">
    <w:name w:val="toc 1"/>
    <w:basedOn w:val="Normal"/>
    <w:next w:val="Normal"/>
    <w:autoRedefine/>
    <w:uiPriority w:val="39"/>
    <w:unhideWhenUsed/>
    <w:rsid w:val="00282E41"/>
    <w:pPr>
      <w:spacing w:after="100"/>
    </w:pPr>
  </w:style>
  <w:style w:type="paragraph" w:styleId="TOC2">
    <w:name w:val="toc 2"/>
    <w:basedOn w:val="Normal"/>
    <w:next w:val="Normal"/>
    <w:autoRedefine/>
    <w:uiPriority w:val="39"/>
    <w:unhideWhenUsed/>
    <w:rsid w:val="00282E41"/>
    <w:pPr>
      <w:spacing w:after="100"/>
      <w:ind w:left="240"/>
    </w:pPr>
  </w:style>
  <w:style w:type="paragraph" w:styleId="BalloonText">
    <w:name w:val="Balloon Text"/>
    <w:basedOn w:val="Normal"/>
    <w:link w:val="BalloonTextChar"/>
    <w:uiPriority w:val="99"/>
    <w:semiHidden/>
    <w:unhideWhenUsed/>
    <w:rsid w:val="00E31A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AA1"/>
    <w:rPr>
      <w:rFonts w:ascii="Segoe UI" w:hAnsi="Segoe UI" w:cs="Segoe UI"/>
      <w:sz w:val="18"/>
      <w:szCs w:val="18"/>
      <w:lang w:val="en-US" w:eastAsia="en-GB"/>
    </w:rPr>
  </w:style>
  <w:style w:type="paragraph" w:customStyle="1" w:styleId="Headings2">
    <w:name w:val="Headings 2"/>
    <w:basedOn w:val="Heading1"/>
    <w:link w:val="Headings2Char"/>
    <w:qFormat/>
    <w:rsid w:val="007463FA"/>
    <w:rPr>
      <w:sz w:val="28"/>
    </w:rPr>
  </w:style>
  <w:style w:type="character" w:customStyle="1" w:styleId="Headings2Char">
    <w:name w:val="Headings 2 Char"/>
    <w:basedOn w:val="Heading1Char"/>
    <w:link w:val="Headings2"/>
    <w:rsid w:val="007463FA"/>
    <w:rPr>
      <w:rFonts w:ascii="Arial" w:eastAsiaTheme="majorEastAsia" w:hAnsi="Arial" w:cs="Arial"/>
      <w:b/>
      <w:sz w:val="28"/>
      <w:szCs w:val="24"/>
      <w:lang w:val="en-US" w:eastAsia="en-GB"/>
    </w:rPr>
  </w:style>
  <w:style w:type="character" w:customStyle="1" w:styleId="A3">
    <w:name w:val="A3"/>
    <w:uiPriority w:val="99"/>
    <w:rsid w:val="00AA3270"/>
    <w:rPr>
      <w:rFonts w:cs="Effra Medium"/>
      <w:color w:val="000000"/>
      <w:sz w:val="22"/>
      <w:szCs w:val="22"/>
    </w:rPr>
  </w:style>
  <w:style w:type="paragraph" w:customStyle="1" w:styleId="Default">
    <w:name w:val="Default"/>
    <w:rsid w:val="00AA3270"/>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uiPriority w:val="34"/>
    <w:qFormat/>
    <w:rsid w:val="00F2145C"/>
    <w:pPr>
      <w:widowControl w:val="0"/>
      <w:autoSpaceDE w:val="0"/>
      <w:autoSpaceDN w:val="0"/>
      <w:ind w:left="104"/>
    </w:pPr>
    <w:rPr>
      <w:rFonts w:eastAsia="Arial"/>
      <w:sz w:val="22"/>
      <w:szCs w:val="22"/>
      <w:lang w:val="en-GB" w:bidi="en-GB"/>
    </w:rPr>
  </w:style>
  <w:style w:type="paragraph" w:styleId="BodyText">
    <w:name w:val="Body Text"/>
    <w:basedOn w:val="Normal"/>
    <w:link w:val="BodyTextChar"/>
    <w:uiPriority w:val="1"/>
    <w:qFormat/>
    <w:rsid w:val="00A91967"/>
    <w:pPr>
      <w:widowControl w:val="0"/>
      <w:autoSpaceDE w:val="0"/>
      <w:autoSpaceDN w:val="0"/>
      <w:spacing w:before="120" w:after="120"/>
    </w:pPr>
    <w:rPr>
      <w:rFonts w:eastAsia="Arial"/>
      <w:b w:val="0"/>
      <w:sz w:val="22"/>
      <w:szCs w:val="22"/>
      <w:lang w:val="en-GB" w:bidi="en-GB"/>
    </w:rPr>
  </w:style>
  <w:style w:type="character" w:customStyle="1" w:styleId="BodyTextChar">
    <w:name w:val="Body Text Char"/>
    <w:basedOn w:val="DefaultParagraphFont"/>
    <w:link w:val="BodyText"/>
    <w:uiPriority w:val="1"/>
    <w:rsid w:val="00A91967"/>
    <w:rPr>
      <w:rFonts w:ascii="Arial" w:eastAsia="Arial" w:hAnsi="Arial" w:cs="Arial"/>
      <w:lang w:eastAsia="en-GB" w:bidi="en-GB"/>
    </w:rPr>
  </w:style>
  <w:style w:type="paragraph" w:styleId="Header">
    <w:name w:val="header"/>
    <w:basedOn w:val="Normal"/>
    <w:link w:val="HeaderChar"/>
    <w:uiPriority w:val="99"/>
    <w:unhideWhenUsed/>
    <w:rsid w:val="00D33F47"/>
    <w:pPr>
      <w:tabs>
        <w:tab w:val="center" w:pos="4680"/>
        <w:tab w:val="right" w:pos="9360"/>
      </w:tabs>
    </w:pPr>
  </w:style>
  <w:style w:type="character" w:customStyle="1" w:styleId="HeaderChar">
    <w:name w:val="Header Char"/>
    <w:basedOn w:val="DefaultParagraphFont"/>
    <w:link w:val="Header"/>
    <w:uiPriority w:val="99"/>
    <w:rsid w:val="00D33F47"/>
    <w:rPr>
      <w:rFonts w:ascii="Arial" w:hAnsi="Arial" w:cs="Arial"/>
      <w:sz w:val="24"/>
      <w:szCs w:val="24"/>
      <w:lang w:val="en-US" w:eastAsia="en-GB"/>
    </w:rPr>
  </w:style>
  <w:style w:type="paragraph" w:styleId="Footer">
    <w:name w:val="footer"/>
    <w:basedOn w:val="Normal"/>
    <w:link w:val="FooterChar"/>
    <w:uiPriority w:val="99"/>
    <w:unhideWhenUsed/>
    <w:rsid w:val="00D33F47"/>
    <w:pPr>
      <w:tabs>
        <w:tab w:val="center" w:pos="4680"/>
        <w:tab w:val="right" w:pos="9360"/>
      </w:tabs>
    </w:pPr>
  </w:style>
  <w:style w:type="character" w:customStyle="1" w:styleId="FooterChar">
    <w:name w:val="Footer Char"/>
    <w:basedOn w:val="DefaultParagraphFont"/>
    <w:link w:val="Footer"/>
    <w:uiPriority w:val="99"/>
    <w:rsid w:val="00D33F47"/>
    <w:rPr>
      <w:rFonts w:ascii="Arial" w:hAnsi="Arial" w:cs="Arial"/>
      <w:sz w:val="24"/>
      <w:szCs w:val="24"/>
      <w:lang w:val="en-US" w:eastAsia="en-GB"/>
    </w:rPr>
  </w:style>
  <w:style w:type="character" w:styleId="CommentReference">
    <w:name w:val="annotation reference"/>
    <w:basedOn w:val="DefaultParagraphFont"/>
    <w:uiPriority w:val="99"/>
    <w:semiHidden/>
    <w:unhideWhenUsed/>
    <w:rsid w:val="00423985"/>
    <w:rPr>
      <w:sz w:val="16"/>
      <w:szCs w:val="16"/>
    </w:rPr>
  </w:style>
  <w:style w:type="paragraph" w:styleId="CommentText">
    <w:name w:val="annotation text"/>
    <w:basedOn w:val="Normal"/>
    <w:link w:val="CommentTextChar"/>
    <w:uiPriority w:val="99"/>
    <w:unhideWhenUsed/>
    <w:rsid w:val="00423985"/>
    <w:rPr>
      <w:sz w:val="20"/>
      <w:szCs w:val="20"/>
    </w:rPr>
  </w:style>
  <w:style w:type="character" w:customStyle="1" w:styleId="CommentTextChar">
    <w:name w:val="Comment Text Char"/>
    <w:basedOn w:val="DefaultParagraphFont"/>
    <w:link w:val="CommentText"/>
    <w:uiPriority w:val="99"/>
    <w:rsid w:val="00423985"/>
    <w:rPr>
      <w:rFonts w:ascii="Arial" w:hAnsi="Arial" w:cs="Arial"/>
      <w:b/>
      <w:sz w:val="20"/>
      <w:szCs w:val="20"/>
      <w:lang w:val="en-US" w:eastAsia="en-GB"/>
    </w:rPr>
  </w:style>
  <w:style w:type="paragraph" w:styleId="CommentSubject">
    <w:name w:val="annotation subject"/>
    <w:basedOn w:val="CommentText"/>
    <w:next w:val="CommentText"/>
    <w:link w:val="CommentSubjectChar"/>
    <w:uiPriority w:val="99"/>
    <w:semiHidden/>
    <w:unhideWhenUsed/>
    <w:rsid w:val="00423985"/>
    <w:rPr>
      <w:bCs/>
    </w:rPr>
  </w:style>
  <w:style w:type="character" w:customStyle="1" w:styleId="CommentSubjectChar">
    <w:name w:val="Comment Subject Char"/>
    <w:basedOn w:val="CommentTextChar"/>
    <w:link w:val="CommentSubject"/>
    <w:uiPriority w:val="99"/>
    <w:semiHidden/>
    <w:rsid w:val="00423985"/>
    <w:rPr>
      <w:rFonts w:ascii="Arial" w:hAnsi="Arial" w:cs="Arial"/>
      <w:b/>
      <w:bCs/>
      <w:sz w:val="20"/>
      <w:szCs w:val="20"/>
      <w:lang w:val="en-US" w:eastAsia="en-GB"/>
    </w:rPr>
  </w:style>
  <w:style w:type="paragraph" w:styleId="FootnoteText">
    <w:name w:val="footnote text"/>
    <w:basedOn w:val="Normal"/>
    <w:link w:val="FootnoteTextChar"/>
    <w:uiPriority w:val="99"/>
    <w:semiHidden/>
    <w:unhideWhenUsed/>
    <w:rsid w:val="00440941"/>
    <w:rPr>
      <w:sz w:val="20"/>
      <w:szCs w:val="20"/>
    </w:rPr>
  </w:style>
  <w:style w:type="character" w:customStyle="1" w:styleId="FootnoteTextChar">
    <w:name w:val="Footnote Text Char"/>
    <w:basedOn w:val="DefaultParagraphFont"/>
    <w:link w:val="FootnoteText"/>
    <w:uiPriority w:val="99"/>
    <w:semiHidden/>
    <w:rsid w:val="00440941"/>
    <w:rPr>
      <w:rFonts w:ascii="Arial" w:hAnsi="Arial" w:cs="Arial"/>
      <w:b/>
      <w:sz w:val="20"/>
      <w:szCs w:val="20"/>
      <w:lang w:val="en-US" w:eastAsia="en-GB"/>
    </w:rPr>
  </w:style>
  <w:style w:type="character" w:styleId="FootnoteReference">
    <w:name w:val="footnote reference"/>
    <w:basedOn w:val="DefaultParagraphFont"/>
    <w:uiPriority w:val="99"/>
    <w:semiHidden/>
    <w:unhideWhenUsed/>
    <w:rsid w:val="00440941"/>
    <w:rPr>
      <w:vertAlign w:val="superscript"/>
    </w:rPr>
  </w:style>
  <w:style w:type="character" w:customStyle="1" w:styleId="Heading3Char">
    <w:name w:val="Heading 3 Char"/>
    <w:basedOn w:val="DefaultParagraphFont"/>
    <w:link w:val="Heading3"/>
    <w:uiPriority w:val="9"/>
    <w:rsid w:val="008972FE"/>
    <w:rPr>
      <w:rFonts w:ascii="Arial" w:eastAsiaTheme="majorEastAsia" w:hAnsi="Arial" w:cstheme="majorBidi"/>
      <w:b/>
      <w:bCs/>
      <w:szCs w:val="24"/>
      <w:lang w:val="en-US" w:eastAsia="en-GB"/>
    </w:rPr>
  </w:style>
  <w:style w:type="character" w:styleId="Strong">
    <w:name w:val="Strong"/>
    <w:basedOn w:val="DefaultParagraphFont"/>
    <w:uiPriority w:val="22"/>
    <w:qFormat/>
    <w:rsid w:val="008972FE"/>
    <w:rPr>
      <w:b/>
      <w:bCs/>
    </w:rPr>
  </w:style>
  <w:style w:type="character" w:styleId="Emphasis">
    <w:name w:val="Emphasis"/>
    <w:basedOn w:val="DefaultParagraphFont"/>
    <w:uiPriority w:val="20"/>
    <w:qFormat/>
    <w:rsid w:val="009D05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5713">
      <w:bodyDiv w:val="1"/>
      <w:marLeft w:val="0"/>
      <w:marRight w:val="0"/>
      <w:marTop w:val="0"/>
      <w:marBottom w:val="0"/>
      <w:divBdr>
        <w:top w:val="none" w:sz="0" w:space="0" w:color="auto"/>
        <w:left w:val="none" w:sz="0" w:space="0" w:color="auto"/>
        <w:bottom w:val="none" w:sz="0" w:space="0" w:color="auto"/>
        <w:right w:val="none" w:sz="0" w:space="0" w:color="auto"/>
      </w:divBdr>
    </w:div>
    <w:div w:id="80299986">
      <w:bodyDiv w:val="1"/>
      <w:marLeft w:val="0"/>
      <w:marRight w:val="0"/>
      <w:marTop w:val="0"/>
      <w:marBottom w:val="0"/>
      <w:divBdr>
        <w:top w:val="none" w:sz="0" w:space="0" w:color="auto"/>
        <w:left w:val="none" w:sz="0" w:space="0" w:color="auto"/>
        <w:bottom w:val="none" w:sz="0" w:space="0" w:color="auto"/>
        <w:right w:val="none" w:sz="0" w:space="0" w:color="auto"/>
      </w:divBdr>
    </w:div>
    <w:div w:id="100540425">
      <w:bodyDiv w:val="1"/>
      <w:marLeft w:val="0"/>
      <w:marRight w:val="0"/>
      <w:marTop w:val="0"/>
      <w:marBottom w:val="0"/>
      <w:divBdr>
        <w:top w:val="none" w:sz="0" w:space="0" w:color="auto"/>
        <w:left w:val="none" w:sz="0" w:space="0" w:color="auto"/>
        <w:bottom w:val="none" w:sz="0" w:space="0" w:color="auto"/>
        <w:right w:val="none" w:sz="0" w:space="0" w:color="auto"/>
      </w:divBdr>
    </w:div>
    <w:div w:id="118495548">
      <w:bodyDiv w:val="1"/>
      <w:marLeft w:val="0"/>
      <w:marRight w:val="0"/>
      <w:marTop w:val="0"/>
      <w:marBottom w:val="0"/>
      <w:divBdr>
        <w:top w:val="none" w:sz="0" w:space="0" w:color="auto"/>
        <w:left w:val="none" w:sz="0" w:space="0" w:color="auto"/>
        <w:bottom w:val="none" w:sz="0" w:space="0" w:color="auto"/>
        <w:right w:val="none" w:sz="0" w:space="0" w:color="auto"/>
      </w:divBdr>
    </w:div>
    <w:div w:id="155344811">
      <w:bodyDiv w:val="1"/>
      <w:marLeft w:val="0"/>
      <w:marRight w:val="0"/>
      <w:marTop w:val="0"/>
      <w:marBottom w:val="0"/>
      <w:divBdr>
        <w:top w:val="none" w:sz="0" w:space="0" w:color="auto"/>
        <w:left w:val="none" w:sz="0" w:space="0" w:color="auto"/>
        <w:bottom w:val="none" w:sz="0" w:space="0" w:color="auto"/>
        <w:right w:val="none" w:sz="0" w:space="0" w:color="auto"/>
      </w:divBdr>
    </w:div>
    <w:div w:id="156967776">
      <w:bodyDiv w:val="1"/>
      <w:marLeft w:val="0"/>
      <w:marRight w:val="0"/>
      <w:marTop w:val="0"/>
      <w:marBottom w:val="0"/>
      <w:divBdr>
        <w:top w:val="none" w:sz="0" w:space="0" w:color="auto"/>
        <w:left w:val="none" w:sz="0" w:space="0" w:color="auto"/>
        <w:bottom w:val="none" w:sz="0" w:space="0" w:color="auto"/>
        <w:right w:val="none" w:sz="0" w:space="0" w:color="auto"/>
      </w:divBdr>
    </w:div>
    <w:div w:id="172687622">
      <w:bodyDiv w:val="1"/>
      <w:marLeft w:val="0"/>
      <w:marRight w:val="0"/>
      <w:marTop w:val="0"/>
      <w:marBottom w:val="0"/>
      <w:divBdr>
        <w:top w:val="none" w:sz="0" w:space="0" w:color="auto"/>
        <w:left w:val="none" w:sz="0" w:space="0" w:color="auto"/>
        <w:bottom w:val="none" w:sz="0" w:space="0" w:color="auto"/>
        <w:right w:val="none" w:sz="0" w:space="0" w:color="auto"/>
      </w:divBdr>
    </w:div>
    <w:div w:id="226646797">
      <w:bodyDiv w:val="1"/>
      <w:marLeft w:val="0"/>
      <w:marRight w:val="0"/>
      <w:marTop w:val="0"/>
      <w:marBottom w:val="0"/>
      <w:divBdr>
        <w:top w:val="none" w:sz="0" w:space="0" w:color="auto"/>
        <w:left w:val="none" w:sz="0" w:space="0" w:color="auto"/>
        <w:bottom w:val="none" w:sz="0" w:space="0" w:color="auto"/>
        <w:right w:val="none" w:sz="0" w:space="0" w:color="auto"/>
      </w:divBdr>
    </w:div>
    <w:div w:id="267271759">
      <w:bodyDiv w:val="1"/>
      <w:marLeft w:val="0"/>
      <w:marRight w:val="0"/>
      <w:marTop w:val="0"/>
      <w:marBottom w:val="0"/>
      <w:divBdr>
        <w:top w:val="none" w:sz="0" w:space="0" w:color="auto"/>
        <w:left w:val="none" w:sz="0" w:space="0" w:color="auto"/>
        <w:bottom w:val="none" w:sz="0" w:space="0" w:color="auto"/>
        <w:right w:val="none" w:sz="0" w:space="0" w:color="auto"/>
      </w:divBdr>
    </w:div>
    <w:div w:id="287276881">
      <w:bodyDiv w:val="1"/>
      <w:marLeft w:val="0"/>
      <w:marRight w:val="0"/>
      <w:marTop w:val="0"/>
      <w:marBottom w:val="0"/>
      <w:divBdr>
        <w:top w:val="none" w:sz="0" w:space="0" w:color="auto"/>
        <w:left w:val="none" w:sz="0" w:space="0" w:color="auto"/>
        <w:bottom w:val="none" w:sz="0" w:space="0" w:color="auto"/>
        <w:right w:val="none" w:sz="0" w:space="0" w:color="auto"/>
      </w:divBdr>
    </w:div>
    <w:div w:id="325934736">
      <w:bodyDiv w:val="1"/>
      <w:marLeft w:val="0"/>
      <w:marRight w:val="0"/>
      <w:marTop w:val="0"/>
      <w:marBottom w:val="0"/>
      <w:divBdr>
        <w:top w:val="none" w:sz="0" w:space="0" w:color="auto"/>
        <w:left w:val="none" w:sz="0" w:space="0" w:color="auto"/>
        <w:bottom w:val="none" w:sz="0" w:space="0" w:color="auto"/>
        <w:right w:val="none" w:sz="0" w:space="0" w:color="auto"/>
      </w:divBdr>
    </w:div>
    <w:div w:id="414283230">
      <w:bodyDiv w:val="1"/>
      <w:marLeft w:val="0"/>
      <w:marRight w:val="0"/>
      <w:marTop w:val="0"/>
      <w:marBottom w:val="0"/>
      <w:divBdr>
        <w:top w:val="none" w:sz="0" w:space="0" w:color="auto"/>
        <w:left w:val="none" w:sz="0" w:space="0" w:color="auto"/>
        <w:bottom w:val="none" w:sz="0" w:space="0" w:color="auto"/>
        <w:right w:val="none" w:sz="0" w:space="0" w:color="auto"/>
      </w:divBdr>
    </w:div>
    <w:div w:id="454568017">
      <w:bodyDiv w:val="1"/>
      <w:marLeft w:val="0"/>
      <w:marRight w:val="0"/>
      <w:marTop w:val="0"/>
      <w:marBottom w:val="0"/>
      <w:divBdr>
        <w:top w:val="none" w:sz="0" w:space="0" w:color="auto"/>
        <w:left w:val="none" w:sz="0" w:space="0" w:color="auto"/>
        <w:bottom w:val="none" w:sz="0" w:space="0" w:color="auto"/>
        <w:right w:val="none" w:sz="0" w:space="0" w:color="auto"/>
      </w:divBdr>
    </w:div>
    <w:div w:id="469445386">
      <w:bodyDiv w:val="1"/>
      <w:marLeft w:val="0"/>
      <w:marRight w:val="0"/>
      <w:marTop w:val="0"/>
      <w:marBottom w:val="0"/>
      <w:divBdr>
        <w:top w:val="none" w:sz="0" w:space="0" w:color="auto"/>
        <w:left w:val="none" w:sz="0" w:space="0" w:color="auto"/>
        <w:bottom w:val="none" w:sz="0" w:space="0" w:color="auto"/>
        <w:right w:val="none" w:sz="0" w:space="0" w:color="auto"/>
      </w:divBdr>
    </w:div>
    <w:div w:id="527916400">
      <w:bodyDiv w:val="1"/>
      <w:marLeft w:val="0"/>
      <w:marRight w:val="0"/>
      <w:marTop w:val="0"/>
      <w:marBottom w:val="0"/>
      <w:divBdr>
        <w:top w:val="none" w:sz="0" w:space="0" w:color="auto"/>
        <w:left w:val="none" w:sz="0" w:space="0" w:color="auto"/>
        <w:bottom w:val="none" w:sz="0" w:space="0" w:color="auto"/>
        <w:right w:val="none" w:sz="0" w:space="0" w:color="auto"/>
      </w:divBdr>
    </w:div>
    <w:div w:id="637346485">
      <w:bodyDiv w:val="1"/>
      <w:marLeft w:val="0"/>
      <w:marRight w:val="0"/>
      <w:marTop w:val="0"/>
      <w:marBottom w:val="0"/>
      <w:divBdr>
        <w:top w:val="none" w:sz="0" w:space="0" w:color="auto"/>
        <w:left w:val="none" w:sz="0" w:space="0" w:color="auto"/>
        <w:bottom w:val="none" w:sz="0" w:space="0" w:color="auto"/>
        <w:right w:val="none" w:sz="0" w:space="0" w:color="auto"/>
      </w:divBdr>
    </w:div>
    <w:div w:id="809710511">
      <w:bodyDiv w:val="1"/>
      <w:marLeft w:val="0"/>
      <w:marRight w:val="0"/>
      <w:marTop w:val="0"/>
      <w:marBottom w:val="0"/>
      <w:divBdr>
        <w:top w:val="none" w:sz="0" w:space="0" w:color="auto"/>
        <w:left w:val="none" w:sz="0" w:space="0" w:color="auto"/>
        <w:bottom w:val="none" w:sz="0" w:space="0" w:color="auto"/>
        <w:right w:val="none" w:sz="0" w:space="0" w:color="auto"/>
      </w:divBdr>
    </w:div>
    <w:div w:id="834614487">
      <w:bodyDiv w:val="1"/>
      <w:marLeft w:val="0"/>
      <w:marRight w:val="0"/>
      <w:marTop w:val="0"/>
      <w:marBottom w:val="0"/>
      <w:divBdr>
        <w:top w:val="none" w:sz="0" w:space="0" w:color="auto"/>
        <w:left w:val="none" w:sz="0" w:space="0" w:color="auto"/>
        <w:bottom w:val="none" w:sz="0" w:space="0" w:color="auto"/>
        <w:right w:val="none" w:sz="0" w:space="0" w:color="auto"/>
      </w:divBdr>
    </w:div>
    <w:div w:id="987201505">
      <w:bodyDiv w:val="1"/>
      <w:marLeft w:val="0"/>
      <w:marRight w:val="0"/>
      <w:marTop w:val="0"/>
      <w:marBottom w:val="0"/>
      <w:divBdr>
        <w:top w:val="none" w:sz="0" w:space="0" w:color="auto"/>
        <w:left w:val="none" w:sz="0" w:space="0" w:color="auto"/>
        <w:bottom w:val="none" w:sz="0" w:space="0" w:color="auto"/>
        <w:right w:val="none" w:sz="0" w:space="0" w:color="auto"/>
      </w:divBdr>
    </w:div>
    <w:div w:id="994842945">
      <w:bodyDiv w:val="1"/>
      <w:marLeft w:val="0"/>
      <w:marRight w:val="0"/>
      <w:marTop w:val="0"/>
      <w:marBottom w:val="0"/>
      <w:divBdr>
        <w:top w:val="none" w:sz="0" w:space="0" w:color="auto"/>
        <w:left w:val="none" w:sz="0" w:space="0" w:color="auto"/>
        <w:bottom w:val="none" w:sz="0" w:space="0" w:color="auto"/>
        <w:right w:val="none" w:sz="0" w:space="0" w:color="auto"/>
      </w:divBdr>
    </w:div>
    <w:div w:id="1040401985">
      <w:bodyDiv w:val="1"/>
      <w:marLeft w:val="0"/>
      <w:marRight w:val="0"/>
      <w:marTop w:val="0"/>
      <w:marBottom w:val="0"/>
      <w:divBdr>
        <w:top w:val="none" w:sz="0" w:space="0" w:color="auto"/>
        <w:left w:val="none" w:sz="0" w:space="0" w:color="auto"/>
        <w:bottom w:val="none" w:sz="0" w:space="0" w:color="auto"/>
        <w:right w:val="none" w:sz="0" w:space="0" w:color="auto"/>
      </w:divBdr>
    </w:div>
    <w:div w:id="1066298796">
      <w:bodyDiv w:val="1"/>
      <w:marLeft w:val="0"/>
      <w:marRight w:val="0"/>
      <w:marTop w:val="0"/>
      <w:marBottom w:val="0"/>
      <w:divBdr>
        <w:top w:val="none" w:sz="0" w:space="0" w:color="auto"/>
        <w:left w:val="none" w:sz="0" w:space="0" w:color="auto"/>
        <w:bottom w:val="none" w:sz="0" w:space="0" w:color="auto"/>
        <w:right w:val="none" w:sz="0" w:space="0" w:color="auto"/>
      </w:divBdr>
    </w:div>
    <w:div w:id="1072846235">
      <w:bodyDiv w:val="1"/>
      <w:marLeft w:val="0"/>
      <w:marRight w:val="0"/>
      <w:marTop w:val="0"/>
      <w:marBottom w:val="0"/>
      <w:divBdr>
        <w:top w:val="none" w:sz="0" w:space="0" w:color="auto"/>
        <w:left w:val="none" w:sz="0" w:space="0" w:color="auto"/>
        <w:bottom w:val="none" w:sz="0" w:space="0" w:color="auto"/>
        <w:right w:val="none" w:sz="0" w:space="0" w:color="auto"/>
      </w:divBdr>
    </w:div>
    <w:div w:id="1077172906">
      <w:bodyDiv w:val="1"/>
      <w:marLeft w:val="0"/>
      <w:marRight w:val="0"/>
      <w:marTop w:val="0"/>
      <w:marBottom w:val="0"/>
      <w:divBdr>
        <w:top w:val="none" w:sz="0" w:space="0" w:color="auto"/>
        <w:left w:val="none" w:sz="0" w:space="0" w:color="auto"/>
        <w:bottom w:val="none" w:sz="0" w:space="0" w:color="auto"/>
        <w:right w:val="none" w:sz="0" w:space="0" w:color="auto"/>
      </w:divBdr>
    </w:div>
    <w:div w:id="1087921777">
      <w:bodyDiv w:val="1"/>
      <w:marLeft w:val="0"/>
      <w:marRight w:val="0"/>
      <w:marTop w:val="0"/>
      <w:marBottom w:val="0"/>
      <w:divBdr>
        <w:top w:val="none" w:sz="0" w:space="0" w:color="auto"/>
        <w:left w:val="none" w:sz="0" w:space="0" w:color="auto"/>
        <w:bottom w:val="none" w:sz="0" w:space="0" w:color="auto"/>
        <w:right w:val="none" w:sz="0" w:space="0" w:color="auto"/>
      </w:divBdr>
    </w:div>
    <w:div w:id="1190335977">
      <w:bodyDiv w:val="1"/>
      <w:marLeft w:val="0"/>
      <w:marRight w:val="0"/>
      <w:marTop w:val="0"/>
      <w:marBottom w:val="0"/>
      <w:divBdr>
        <w:top w:val="none" w:sz="0" w:space="0" w:color="auto"/>
        <w:left w:val="none" w:sz="0" w:space="0" w:color="auto"/>
        <w:bottom w:val="none" w:sz="0" w:space="0" w:color="auto"/>
        <w:right w:val="none" w:sz="0" w:space="0" w:color="auto"/>
      </w:divBdr>
    </w:div>
    <w:div w:id="1253314414">
      <w:bodyDiv w:val="1"/>
      <w:marLeft w:val="0"/>
      <w:marRight w:val="0"/>
      <w:marTop w:val="0"/>
      <w:marBottom w:val="0"/>
      <w:divBdr>
        <w:top w:val="none" w:sz="0" w:space="0" w:color="auto"/>
        <w:left w:val="none" w:sz="0" w:space="0" w:color="auto"/>
        <w:bottom w:val="none" w:sz="0" w:space="0" w:color="auto"/>
        <w:right w:val="none" w:sz="0" w:space="0" w:color="auto"/>
      </w:divBdr>
    </w:div>
    <w:div w:id="1260720078">
      <w:bodyDiv w:val="1"/>
      <w:marLeft w:val="0"/>
      <w:marRight w:val="0"/>
      <w:marTop w:val="0"/>
      <w:marBottom w:val="0"/>
      <w:divBdr>
        <w:top w:val="none" w:sz="0" w:space="0" w:color="auto"/>
        <w:left w:val="none" w:sz="0" w:space="0" w:color="auto"/>
        <w:bottom w:val="none" w:sz="0" w:space="0" w:color="auto"/>
        <w:right w:val="none" w:sz="0" w:space="0" w:color="auto"/>
      </w:divBdr>
    </w:div>
    <w:div w:id="1295406734">
      <w:bodyDiv w:val="1"/>
      <w:marLeft w:val="0"/>
      <w:marRight w:val="0"/>
      <w:marTop w:val="0"/>
      <w:marBottom w:val="0"/>
      <w:divBdr>
        <w:top w:val="none" w:sz="0" w:space="0" w:color="auto"/>
        <w:left w:val="none" w:sz="0" w:space="0" w:color="auto"/>
        <w:bottom w:val="none" w:sz="0" w:space="0" w:color="auto"/>
        <w:right w:val="none" w:sz="0" w:space="0" w:color="auto"/>
      </w:divBdr>
    </w:div>
    <w:div w:id="1410345398">
      <w:bodyDiv w:val="1"/>
      <w:marLeft w:val="0"/>
      <w:marRight w:val="0"/>
      <w:marTop w:val="0"/>
      <w:marBottom w:val="0"/>
      <w:divBdr>
        <w:top w:val="none" w:sz="0" w:space="0" w:color="auto"/>
        <w:left w:val="none" w:sz="0" w:space="0" w:color="auto"/>
        <w:bottom w:val="none" w:sz="0" w:space="0" w:color="auto"/>
        <w:right w:val="none" w:sz="0" w:space="0" w:color="auto"/>
      </w:divBdr>
    </w:div>
    <w:div w:id="1467965425">
      <w:bodyDiv w:val="1"/>
      <w:marLeft w:val="0"/>
      <w:marRight w:val="0"/>
      <w:marTop w:val="0"/>
      <w:marBottom w:val="0"/>
      <w:divBdr>
        <w:top w:val="none" w:sz="0" w:space="0" w:color="auto"/>
        <w:left w:val="none" w:sz="0" w:space="0" w:color="auto"/>
        <w:bottom w:val="none" w:sz="0" w:space="0" w:color="auto"/>
        <w:right w:val="none" w:sz="0" w:space="0" w:color="auto"/>
      </w:divBdr>
    </w:div>
    <w:div w:id="1528563787">
      <w:bodyDiv w:val="1"/>
      <w:marLeft w:val="0"/>
      <w:marRight w:val="0"/>
      <w:marTop w:val="0"/>
      <w:marBottom w:val="0"/>
      <w:divBdr>
        <w:top w:val="none" w:sz="0" w:space="0" w:color="auto"/>
        <w:left w:val="none" w:sz="0" w:space="0" w:color="auto"/>
        <w:bottom w:val="none" w:sz="0" w:space="0" w:color="auto"/>
        <w:right w:val="none" w:sz="0" w:space="0" w:color="auto"/>
      </w:divBdr>
    </w:div>
    <w:div w:id="1616791867">
      <w:bodyDiv w:val="1"/>
      <w:marLeft w:val="0"/>
      <w:marRight w:val="0"/>
      <w:marTop w:val="0"/>
      <w:marBottom w:val="0"/>
      <w:divBdr>
        <w:top w:val="none" w:sz="0" w:space="0" w:color="auto"/>
        <w:left w:val="none" w:sz="0" w:space="0" w:color="auto"/>
        <w:bottom w:val="none" w:sz="0" w:space="0" w:color="auto"/>
        <w:right w:val="none" w:sz="0" w:space="0" w:color="auto"/>
      </w:divBdr>
    </w:div>
    <w:div w:id="1636062432">
      <w:bodyDiv w:val="1"/>
      <w:marLeft w:val="0"/>
      <w:marRight w:val="0"/>
      <w:marTop w:val="0"/>
      <w:marBottom w:val="0"/>
      <w:divBdr>
        <w:top w:val="none" w:sz="0" w:space="0" w:color="auto"/>
        <w:left w:val="none" w:sz="0" w:space="0" w:color="auto"/>
        <w:bottom w:val="none" w:sz="0" w:space="0" w:color="auto"/>
        <w:right w:val="none" w:sz="0" w:space="0" w:color="auto"/>
      </w:divBdr>
    </w:div>
    <w:div w:id="1693023358">
      <w:bodyDiv w:val="1"/>
      <w:marLeft w:val="0"/>
      <w:marRight w:val="0"/>
      <w:marTop w:val="0"/>
      <w:marBottom w:val="0"/>
      <w:divBdr>
        <w:top w:val="none" w:sz="0" w:space="0" w:color="auto"/>
        <w:left w:val="none" w:sz="0" w:space="0" w:color="auto"/>
        <w:bottom w:val="none" w:sz="0" w:space="0" w:color="auto"/>
        <w:right w:val="none" w:sz="0" w:space="0" w:color="auto"/>
      </w:divBdr>
    </w:div>
    <w:div w:id="1734161646">
      <w:bodyDiv w:val="1"/>
      <w:marLeft w:val="0"/>
      <w:marRight w:val="0"/>
      <w:marTop w:val="0"/>
      <w:marBottom w:val="0"/>
      <w:divBdr>
        <w:top w:val="none" w:sz="0" w:space="0" w:color="auto"/>
        <w:left w:val="none" w:sz="0" w:space="0" w:color="auto"/>
        <w:bottom w:val="none" w:sz="0" w:space="0" w:color="auto"/>
        <w:right w:val="none" w:sz="0" w:space="0" w:color="auto"/>
      </w:divBdr>
    </w:div>
    <w:div w:id="1748310502">
      <w:bodyDiv w:val="1"/>
      <w:marLeft w:val="0"/>
      <w:marRight w:val="0"/>
      <w:marTop w:val="0"/>
      <w:marBottom w:val="0"/>
      <w:divBdr>
        <w:top w:val="none" w:sz="0" w:space="0" w:color="auto"/>
        <w:left w:val="none" w:sz="0" w:space="0" w:color="auto"/>
        <w:bottom w:val="none" w:sz="0" w:space="0" w:color="auto"/>
        <w:right w:val="none" w:sz="0" w:space="0" w:color="auto"/>
      </w:divBdr>
    </w:div>
    <w:div w:id="1782459051">
      <w:bodyDiv w:val="1"/>
      <w:marLeft w:val="0"/>
      <w:marRight w:val="0"/>
      <w:marTop w:val="0"/>
      <w:marBottom w:val="0"/>
      <w:divBdr>
        <w:top w:val="none" w:sz="0" w:space="0" w:color="auto"/>
        <w:left w:val="none" w:sz="0" w:space="0" w:color="auto"/>
        <w:bottom w:val="none" w:sz="0" w:space="0" w:color="auto"/>
        <w:right w:val="none" w:sz="0" w:space="0" w:color="auto"/>
      </w:divBdr>
    </w:div>
    <w:div w:id="1818839201">
      <w:bodyDiv w:val="1"/>
      <w:marLeft w:val="0"/>
      <w:marRight w:val="0"/>
      <w:marTop w:val="0"/>
      <w:marBottom w:val="0"/>
      <w:divBdr>
        <w:top w:val="none" w:sz="0" w:space="0" w:color="auto"/>
        <w:left w:val="none" w:sz="0" w:space="0" w:color="auto"/>
        <w:bottom w:val="none" w:sz="0" w:space="0" w:color="auto"/>
        <w:right w:val="none" w:sz="0" w:space="0" w:color="auto"/>
      </w:divBdr>
    </w:div>
    <w:div w:id="1878347186">
      <w:bodyDiv w:val="1"/>
      <w:marLeft w:val="0"/>
      <w:marRight w:val="0"/>
      <w:marTop w:val="0"/>
      <w:marBottom w:val="0"/>
      <w:divBdr>
        <w:top w:val="none" w:sz="0" w:space="0" w:color="auto"/>
        <w:left w:val="none" w:sz="0" w:space="0" w:color="auto"/>
        <w:bottom w:val="none" w:sz="0" w:space="0" w:color="auto"/>
        <w:right w:val="none" w:sz="0" w:space="0" w:color="auto"/>
      </w:divBdr>
    </w:div>
    <w:div w:id="1908151160">
      <w:bodyDiv w:val="1"/>
      <w:marLeft w:val="0"/>
      <w:marRight w:val="0"/>
      <w:marTop w:val="0"/>
      <w:marBottom w:val="0"/>
      <w:divBdr>
        <w:top w:val="none" w:sz="0" w:space="0" w:color="auto"/>
        <w:left w:val="none" w:sz="0" w:space="0" w:color="auto"/>
        <w:bottom w:val="none" w:sz="0" w:space="0" w:color="auto"/>
        <w:right w:val="none" w:sz="0" w:space="0" w:color="auto"/>
      </w:divBdr>
    </w:div>
    <w:div w:id="1953243599">
      <w:bodyDiv w:val="1"/>
      <w:marLeft w:val="0"/>
      <w:marRight w:val="0"/>
      <w:marTop w:val="0"/>
      <w:marBottom w:val="0"/>
      <w:divBdr>
        <w:top w:val="none" w:sz="0" w:space="0" w:color="auto"/>
        <w:left w:val="none" w:sz="0" w:space="0" w:color="auto"/>
        <w:bottom w:val="none" w:sz="0" w:space="0" w:color="auto"/>
        <w:right w:val="none" w:sz="0" w:space="0" w:color="auto"/>
      </w:divBdr>
    </w:div>
    <w:div w:id="2006083414">
      <w:bodyDiv w:val="1"/>
      <w:marLeft w:val="0"/>
      <w:marRight w:val="0"/>
      <w:marTop w:val="0"/>
      <w:marBottom w:val="0"/>
      <w:divBdr>
        <w:top w:val="none" w:sz="0" w:space="0" w:color="auto"/>
        <w:left w:val="none" w:sz="0" w:space="0" w:color="auto"/>
        <w:bottom w:val="none" w:sz="0" w:space="0" w:color="auto"/>
        <w:right w:val="none" w:sz="0" w:space="0" w:color="auto"/>
      </w:divBdr>
    </w:div>
    <w:div w:id="2007630494">
      <w:bodyDiv w:val="1"/>
      <w:marLeft w:val="0"/>
      <w:marRight w:val="0"/>
      <w:marTop w:val="0"/>
      <w:marBottom w:val="0"/>
      <w:divBdr>
        <w:top w:val="none" w:sz="0" w:space="0" w:color="auto"/>
        <w:left w:val="none" w:sz="0" w:space="0" w:color="auto"/>
        <w:bottom w:val="none" w:sz="0" w:space="0" w:color="auto"/>
        <w:right w:val="none" w:sz="0" w:space="0" w:color="auto"/>
      </w:divBdr>
    </w:div>
    <w:div w:id="202901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imina.vergou@heritagefund.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simina.vergou@heritagefund.org.uk" TargetMode="External"/><Relationship Id="rId4" Type="http://schemas.openxmlformats.org/officeDocument/2006/relationships/settings" Target="settings.xml"/><Relationship Id="rId9" Type="http://schemas.openxmlformats.org/officeDocument/2006/relationships/hyperlink" Target="mailto:Asimina.vergou@heritagefund.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A61ED-97B7-49BA-A651-1225430A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Pages>
  <Words>1887</Words>
  <Characters>10758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HERITAGE LOTTERY FUND</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Leavy</dc:creator>
  <cp:lastModifiedBy>Asimina Vergou</cp:lastModifiedBy>
  <cp:revision>65</cp:revision>
  <cp:lastPrinted>2019-01-15T23:08:00Z</cp:lastPrinted>
  <dcterms:created xsi:type="dcterms:W3CDTF">2019-04-16T15:27:00Z</dcterms:created>
  <dcterms:modified xsi:type="dcterms:W3CDTF">2019-04-17T15:19:00Z</dcterms:modified>
</cp:coreProperties>
</file>