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2A" w:rsidRPr="00F61436" w:rsidRDefault="00AF18C4" w:rsidP="000E2F2A">
      <w:pPr>
        <w:tabs>
          <w:tab w:val="left" w:pos="-709"/>
        </w:tabs>
        <w:spacing w:after="0"/>
        <w:ind w:left="11907"/>
        <w:rPr>
          <w:rFonts w:ascii="Arial" w:hAnsi="Arial" w:cs="Arial"/>
          <w:b/>
          <w:sz w:val="24"/>
          <w:szCs w:val="24"/>
        </w:rPr>
      </w:pPr>
      <w:r w:rsidRPr="00F61436">
        <w:rPr>
          <w:rFonts w:ascii="Arial" w:hAnsi="Arial" w:cs="Arial"/>
          <w:b/>
          <w:sz w:val="24"/>
          <w:szCs w:val="24"/>
        </w:rPr>
        <w:t>Annex C</w:t>
      </w:r>
      <w:r w:rsidR="00B27000">
        <w:rPr>
          <w:rFonts w:ascii="Arial" w:hAnsi="Arial" w:cs="Arial"/>
          <w:b/>
          <w:sz w:val="24"/>
          <w:szCs w:val="24"/>
        </w:rPr>
        <w:t xml:space="preserve"> </w:t>
      </w:r>
      <w:r w:rsidR="00947DA5" w:rsidRPr="00F61436">
        <w:rPr>
          <w:rFonts w:ascii="Arial" w:hAnsi="Arial" w:cs="Arial"/>
          <w:b/>
          <w:sz w:val="24"/>
          <w:szCs w:val="24"/>
        </w:rPr>
        <w:t xml:space="preserve"> </w:t>
      </w:r>
    </w:p>
    <w:p w:rsidR="00947DA5" w:rsidRPr="00F61436" w:rsidRDefault="00B27000" w:rsidP="000E2F2A">
      <w:pPr>
        <w:tabs>
          <w:tab w:val="left" w:pos="-709"/>
        </w:tabs>
        <w:spacing w:after="0"/>
        <w:ind w:left="11907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947DA5" w:rsidRPr="00F61436">
        <w:rPr>
          <w:rFonts w:ascii="Arial" w:hAnsi="Arial" w:cs="Arial"/>
          <w:b/>
          <w:sz w:val="24"/>
          <w:szCs w:val="24"/>
        </w:rPr>
        <w:t>DEFFORM 47</w:t>
      </w:r>
    </w:p>
    <w:p w:rsidR="000E2F2A" w:rsidRDefault="000E2F2A" w:rsidP="000E2F2A">
      <w:pPr>
        <w:tabs>
          <w:tab w:val="left" w:pos="-709"/>
        </w:tabs>
        <w:spacing w:after="0"/>
        <w:ind w:left="11907"/>
        <w:rPr>
          <w:rFonts w:ascii="Arial" w:hAnsi="Arial" w:cs="Arial"/>
        </w:rPr>
      </w:pPr>
    </w:p>
    <w:p w:rsidR="000E2F2A" w:rsidRPr="00F61436" w:rsidRDefault="000E2F2A" w:rsidP="000E2F2A">
      <w:pPr>
        <w:tabs>
          <w:tab w:val="left" w:pos="-709"/>
        </w:tabs>
        <w:spacing w:after="0"/>
        <w:ind w:left="11907"/>
        <w:rPr>
          <w:rFonts w:ascii="Arial" w:hAnsi="Arial" w:cs="Arial"/>
          <w:sz w:val="28"/>
          <w:szCs w:val="28"/>
        </w:rPr>
      </w:pPr>
    </w:p>
    <w:p w:rsidR="000E2F2A" w:rsidRPr="00F61436" w:rsidRDefault="008A5A01" w:rsidP="000E2F2A">
      <w:pPr>
        <w:tabs>
          <w:tab w:val="left" w:pos="-709"/>
        </w:tabs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61436">
        <w:rPr>
          <w:rFonts w:ascii="Arial" w:hAnsi="Arial" w:cs="Arial"/>
          <w:b/>
          <w:sz w:val="28"/>
          <w:szCs w:val="28"/>
        </w:rPr>
        <w:t>COMPLIANCY AND PRICING</w:t>
      </w:r>
    </w:p>
    <w:p w:rsidR="009D3321" w:rsidRDefault="009D3321" w:rsidP="000E2F2A">
      <w:pPr>
        <w:tabs>
          <w:tab w:val="left" w:pos="-709"/>
        </w:tabs>
        <w:spacing w:after="0"/>
        <w:jc w:val="center"/>
        <w:rPr>
          <w:rFonts w:ascii="Arial" w:hAnsi="Arial" w:cs="Arial"/>
          <w:b/>
        </w:rPr>
      </w:pPr>
    </w:p>
    <w:p w:rsidR="009D3321" w:rsidRDefault="009D3321" w:rsidP="000E2F2A">
      <w:pPr>
        <w:tabs>
          <w:tab w:val="left" w:pos="-709"/>
        </w:tabs>
        <w:spacing w:after="0"/>
        <w:jc w:val="center"/>
        <w:rPr>
          <w:rFonts w:ascii="Arial" w:hAnsi="Arial" w:cs="Arial"/>
          <w:b/>
        </w:rPr>
      </w:pPr>
    </w:p>
    <w:p w:rsidR="000E2F2A" w:rsidRDefault="009D3321" w:rsidP="000E2F2A">
      <w:pPr>
        <w:pStyle w:val="ListParagraph"/>
        <w:numPr>
          <w:ilvl w:val="0"/>
          <w:numId w:val="1"/>
        </w:numPr>
        <w:tabs>
          <w:tab w:val="left" w:pos="-70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Annex details the compli</w:t>
      </w:r>
      <w:r w:rsidR="00B95FA6">
        <w:rPr>
          <w:rFonts w:ascii="Arial" w:hAnsi="Arial" w:cs="Arial"/>
        </w:rPr>
        <w:t>a</w:t>
      </w:r>
      <w:r>
        <w:rPr>
          <w:rFonts w:ascii="Arial" w:hAnsi="Arial" w:cs="Arial"/>
        </w:rPr>
        <w:t>ncy requirements for Commercial and Technical requirements</w:t>
      </w:r>
      <w:r w:rsidR="00E566B3">
        <w:rPr>
          <w:rFonts w:ascii="Arial" w:hAnsi="Arial" w:cs="Arial"/>
        </w:rPr>
        <w:t xml:space="preserve"> which </w:t>
      </w:r>
      <w:proofErr w:type="gramStart"/>
      <w:r w:rsidR="00E566B3">
        <w:rPr>
          <w:rFonts w:ascii="Arial" w:hAnsi="Arial" w:cs="Arial"/>
        </w:rPr>
        <w:t>is</w:t>
      </w:r>
      <w:proofErr w:type="gramEnd"/>
      <w:r w:rsidR="00E566B3">
        <w:rPr>
          <w:rFonts w:ascii="Arial" w:hAnsi="Arial" w:cs="Arial"/>
        </w:rPr>
        <w:t xml:space="preserve"> linked to the evaluation criteria at Section D of DEFFORM47</w:t>
      </w:r>
      <w:r>
        <w:rPr>
          <w:rFonts w:ascii="Arial" w:hAnsi="Arial" w:cs="Arial"/>
        </w:rPr>
        <w:t>.</w:t>
      </w:r>
    </w:p>
    <w:p w:rsidR="009D3321" w:rsidRDefault="009D3321" w:rsidP="009D3321">
      <w:pPr>
        <w:pStyle w:val="ListParagraph"/>
        <w:tabs>
          <w:tab w:val="left" w:pos="-709"/>
        </w:tabs>
        <w:spacing w:after="0"/>
        <w:rPr>
          <w:rFonts w:ascii="Arial" w:hAnsi="Arial" w:cs="Arial"/>
        </w:rPr>
      </w:pPr>
    </w:p>
    <w:p w:rsidR="009D3321" w:rsidRDefault="00B95FA6" w:rsidP="000E2F2A">
      <w:pPr>
        <w:pStyle w:val="ListParagraph"/>
        <w:numPr>
          <w:ilvl w:val="0"/>
          <w:numId w:val="1"/>
        </w:numPr>
        <w:tabs>
          <w:tab w:val="left" w:pos="-70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Commercial Compliancy Statement is</w:t>
      </w:r>
      <w:r w:rsidR="009D3321">
        <w:rPr>
          <w:rFonts w:ascii="Arial" w:hAnsi="Arial" w:cs="Arial"/>
        </w:rPr>
        <w:t xml:space="preserve"> at Appendix 1 to this Annex and Tenderer is to confirm </w:t>
      </w:r>
      <w:proofErr w:type="gramStart"/>
      <w:r w:rsidR="009D3321">
        <w:rPr>
          <w:rFonts w:ascii="Arial" w:hAnsi="Arial" w:cs="Arial"/>
        </w:rPr>
        <w:t>Compliant</w:t>
      </w:r>
      <w:proofErr w:type="gramEnd"/>
      <w:r w:rsidR="009D3321">
        <w:rPr>
          <w:rFonts w:ascii="Arial" w:hAnsi="Arial" w:cs="Arial"/>
        </w:rPr>
        <w:t xml:space="preserve"> or Non-Compliant and reasons if Non-Compliant.</w:t>
      </w:r>
    </w:p>
    <w:p w:rsidR="009D3321" w:rsidRDefault="009D3321" w:rsidP="009D3321">
      <w:pPr>
        <w:pStyle w:val="ListParagraph"/>
        <w:tabs>
          <w:tab w:val="left" w:pos="-709"/>
        </w:tabs>
        <w:spacing w:after="0"/>
        <w:rPr>
          <w:rFonts w:ascii="Arial" w:hAnsi="Arial" w:cs="Arial"/>
        </w:rPr>
      </w:pPr>
    </w:p>
    <w:p w:rsidR="009D3321" w:rsidRDefault="008A5A01" w:rsidP="000E2F2A">
      <w:pPr>
        <w:pStyle w:val="ListParagraph"/>
        <w:numPr>
          <w:ilvl w:val="0"/>
          <w:numId w:val="1"/>
        </w:numPr>
        <w:tabs>
          <w:tab w:val="left" w:pos="-70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The T</w:t>
      </w:r>
      <w:r w:rsidR="009D3321">
        <w:rPr>
          <w:rFonts w:ascii="Arial" w:hAnsi="Arial" w:cs="Arial"/>
        </w:rPr>
        <w:t>echnical Compliancy Matrix requirement</w:t>
      </w:r>
      <w:r w:rsidR="001F5A71">
        <w:rPr>
          <w:rFonts w:ascii="Arial" w:hAnsi="Arial" w:cs="Arial"/>
        </w:rPr>
        <w:t>s are at Ap</w:t>
      </w:r>
      <w:r w:rsidR="001260B7">
        <w:rPr>
          <w:rFonts w:ascii="Arial" w:hAnsi="Arial" w:cs="Arial"/>
        </w:rPr>
        <w:t>p</w:t>
      </w:r>
      <w:r w:rsidR="001F5A71">
        <w:rPr>
          <w:rFonts w:ascii="Arial" w:hAnsi="Arial" w:cs="Arial"/>
        </w:rPr>
        <w:t>endix 2 to this</w:t>
      </w:r>
      <w:r w:rsidR="009D3321">
        <w:rPr>
          <w:rFonts w:ascii="Arial" w:hAnsi="Arial" w:cs="Arial"/>
        </w:rPr>
        <w:t xml:space="preserve"> Annex and Tenderer is to confirm </w:t>
      </w:r>
      <w:r w:rsidR="00B95FA6">
        <w:rPr>
          <w:rFonts w:ascii="Arial" w:hAnsi="Arial" w:cs="Arial"/>
        </w:rPr>
        <w:t xml:space="preserve">under Confirmation of Compliancy if they are </w:t>
      </w:r>
      <w:r w:rsidR="009D3321">
        <w:rPr>
          <w:rFonts w:ascii="Arial" w:hAnsi="Arial" w:cs="Arial"/>
        </w:rPr>
        <w:t>Compliant</w:t>
      </w:r>
      <w:r w:rsidR="00A71817">
        <w:rPr>
          <w:rFonts w:ascii="Arial" w:hAnsi="Arial" w:cs="Arial"/>
        </w:rPr>
        <w:t>,</w:t>
      </w:r>
      <w:r w:rsidR="00D745A7">
        <w:rPr>
          <w:rFonts w:ascii="Arial" w:hAnsi="Arial" w:cs="Arial"/>
        </w:rPr>
        <w:t xml:space="preserve"> </w:t>
      </w:r>
      <w:r w:rsidR="00A71817">
        <w:rPr>
          <w:rFonts w:ascii="Arial" w:hAnsi="Arial" w:cs="Arial"/>
        </w:rPr>
        <w:t>Partially</w:t>
      </w:r>
      <w:r w:rsidR="009D3321">
        <w:rPr>
          <w:rFonts w:ascii="Arial" w:hAnsi="Arial" w:cs="Arial"/>
        </w:rPr>
        <w:t xml:space="preserve"> </w:t>
      </w:r>
      <w:r w:rsidR="00D745A7">
        <w:rPr>
          <w:rFonts w:ascii="Arial" w:hAnsi="Arial" w:cs="Arial"/>
        </w:rPr>
        <w:t xml:space="preserve">Compliant </w:t>
      </w:r>
      <w:r w:rsidR="009D3321">
        <w:rPr>
          <w:rFonts w:ascii="Arial" w:hAnsi="Arial" w:cs="Arial"/>
        </w:rPr>
        <w:t xml:space="preserve">or Non-Compliant and reasons if </w:t>
      </w:r>
      <w:r w:rsidR="001260B7">
        <w:rPr>
          <w:rFonts w:ascii="Arial" w:hAnsi="Arial" w:cs="Arial"/>
        </w:rPr>
        <w:t xml:space="preserve">Partially or </w:t>
      </w:r>
      <w:r w:rsidR="009D3321">
        <w:rPr>
          <w:rFonts w:ascii="Arial" w:hAnsi="Arial" w:cs="Arial"/>
        </w:rPr>
        <w:t>Non-Compliant</w:t>
      </w:r>
      <w:r w:rsidR="00B95FA6">
        <w:rPr>
          <w:rFonts w:ascii="Arial" w:hAnsi="Arial" w:cs="Arial"/>
        </w:rPr>
        <w:t xml:space="preserve"> and detail how they will meet the requirements under </w:t>
      </w:r>
      <w:r w:rsidR="00003319">
        <w:rPr>
          <w:rFonts w:ascii="Arial" w:hAnsi="Arial" w:cs="Arial"/>
        </w:rPr>
        <w:t xml:space="preserve">a </w:t>
      </w:r>
      <w:r w:rsidR="00B95FA6">
        <w:rPr>
          <w:rFonts w:ascii="Arial" w:hAnsi="Arial" w:cs="Arial"/>
        </w:rPr>
        <w:t xml:space="preserve">Statement of Compliance </w:t>
      </w:r>
      <w:r w:rsidR="009D3321">
        <w:rPr>
          <w:rFonts w:ascii="Arial" w:hAnsi="Arial" w:cs="Arial"/>
        </w:rPr>
        <w:t>.</w:t>
      </w:r>
    </w:p>
    <w:p w:rsidR="008A5A01" w:rsidRPr="008A5A01" w:rsidRDefault="008A5A01" w:rsidP="008A5A01">
      <w:pPr>
        <w:pStyle w:val="ListParagraph"/>
        <w:rPr>
          <w:rFonts w:ascii="Arial" w:hAnsi="Arial" w:cs="Arial"/>
        </w:rPr>
      </w:pPr>
    </w:p>
    <w:p w:rsidR="009D3321" w:rsidRPr="001F5A71" w:rsidRDefault="00003319" w:rsidP="009D3321">
      <w:pPr>
        <w:pStyle w:val="ListParagraph"/>
        <w:numPr>
          <w:ilvl w:val="0"/>
          <w:numId w:val="1"/>
        </w:numPr>
        <w:tabs>
          <w:tab w:val="left" w:pos="-70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Pricing</w:t>
      </w:r>
      <w:r w:rsidR="008A5A01" w:rsidRPr="001F5A71">
        <w:rPr>
          <w:rFonts w:ascii="Arial" w:hAnsi="Arial" w:cs="Arial"/>
        </w:rPr>
        <w:t xml:space="preserve"> </w:t>
      </w:r>
      <w:proofErr w:type="spellStart"/>
      <w:r w:rsidR="00E566B3">
        <w:rPr>
          <w:rFonts w:ascii="Arial" w:hAnsi="Arial" w:cs="Arial"/>
        </w:rPr>
        <w:t>detaild</w:t>
      </w:r>
      <w:proofErr w:type="spellEnd"/>
      <w:r w:rsidR="00E566B3">
        <w:rPr>
          <w:rFonts w:ascii="Arial" w:hAnsi="Arial" w:cs="Arial"/>
        </w:rPr>
        <w:t xml:space="preserve"> in </w:t>
      </w:r>
      <w:r w:rsidR="008A5A01" w:rsidRPr="001F5A71">
        <w:rPr>
          <w:rFonts w:ascii="Arial" w:hAnsi="Arial" w:cs="Arial"/>
        </w:rPr>
        <w:t>Sched</w:t>
      </w:r>
      <w:r w:rsidR="001F5A71" w:rsidRPr="001F5A71">
        <w:rPr>
          <w:rFonts w:ascii="Arial" w:hAnsi="Arial" w:cs="Arial"/>
        </w:rPr>
        <w:t>ule 1</w:t>
      </w:r>
      <w:r w:rsidR="008A5A01" w:rsidRPr="001F5A71">
        <w:rPr>
          <w:rFonts w:ascii="Arial" w:hAnsi="Arial" w:cs="Arial"/>
        </w:rPr>
        <w:t xml:space="preserve"> of the proposed Contract is detailed in Appendix 3 to this Annex.  </w:t>
      </w:r>
      <w:r w:rsidR="00B95FA6">
        <w:rPr>
          <w:rFonts w:ascii="Arial" w:hAnsi="Arial" w:cs="Arial"/>
        </w:rPr>
        <w:t>The Tenderer shall populate all tables</w:t>
      </w:r>
      <w:r w:rsidR="008A5A01" w:rsidRPr="001F5A71">
        <w:rPr>
          <w:rFonts w:ascii="Arial" w:hAnsi="Arial" w:cs="Arial"/>
        </w:rPr>
        <w:t xml:space="preserve"> with their </w:t>
      </w:r>
      <w:r>
        <w:rPr>
          <w:rFonts w:ascii="Arial" w:hAnsi="Arial" w:cs="Arial"/>
        </w:rPr>
        <w:t>Firm</w:t>
      </w:r>
      <w:r w:rsidR="00E566B3">
        <w:rPr>
          <w:rFonts w:ascii="Arial" w:hAnsi="Arial" w:cs="Arial"/>
        </w:rPr>
        <w:t xml:space="preserve">, </w:t>
      </w:r>
      <w:proofErr w:type="gramStart"/>
      <w:r w:rsidR="00E566B3">
        <w:rPr>
          <w:rFonts w:ascii="Arial" w:hAnsi="Arial" w:cs="Arial"/>
        </w:rPr>
        <w:t xml:space="preserve">Fixed </w:t>
      </w:r>
      <w:r>
        <w:rPr>
          <w:rFonts w:ascii="Arial" w:hAnsi="Arial" w:cs="Arial"/>
        </w:rPr>
        <w:t xml:space="preserve"> and</w:t>
      </w:r>
      <w:proofErr w:type="gramEnd"/>
      <w:r>
        <w:rPr>
          <w:rFonts w:ascii="Arial" w:hAnsi="Arial" w:cs="Arial"/>
        </w:rPr>
        <w:t xml:space="preserve"> I</w:t>
      </w:r>
      <w:r w:rsidR="00E566B3">
        <w:rPr>
          <w:rFonts w:ascii="Arial" w:hAnsi="Arial" w:cs="Arial"/>
        </w:rPr>
        <w:t>llustrative</w:t>
      </w:r>
      <w:r>
        <w:rPr>
          <w:rFonts w:ascii="Arial" w:hAnsi="Arial" w:cs="Arial"/>
        </w:rPr>
        <w:t xml:space="preserve"> </w:t>
      </w:r>
      <w:r w:rsidR="008A5A01" w:rsidRPr="001F5A71">
        <w:rPr>
          <w:rFonts w:ascii="Arial" w:hAnsi="Arial" w:cs="Arial"/>
        </w:rPr>
        <w:t>pricing</w:t>
      </w:r>
      <w:r w:rsidR="001F5A71" w:rsidRPr="001F5A71">
        <w:rPr>
          <w:rFonts w:ascii="Arial" w:hAnsi="Arial" w:cs="Arial"/>
        </w:rPr>
        <w:t xml:space="preserve">. </w:t>
      </w:r>
      <w:r w:rsidR="00E566B3">
        <w:rPr>
          <w:rFonts w:ascii="Arial" w:hAnsi="Arial" w:cs="Arial"/>
        </w:rPr>
        <w:t xml:space="preserve"> </w:t>
      </w:r>
    </w:p>
    <w:p w:rsidR="009D3321" w:rsidRDefault="009D332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D3321" w:rsidRPr="009D3321" w:rsidRDefault="009D3321" w:rsidP="009D3321">
      <w:pPr>
        <w:tabs>
          <w:tab w:val="left" w:pos="-709"/>
        </w:tabs>
        <w:spacing w:after="0"/>
        <w:rPr>
          <w:rFonts w:ascii="Arial" w:hAnsi="Arial" w:cs="Arial"/>
        </w:rPr>
      </w:pPr>
    </w:p>
    <w:p w:rsidR="009D3321" w:rsidRPr="00F61436" w:rsidRDefault="009D3321" w:rsidP="009D3321">
      <w:pPr>
        <w:tabs>
          <w:tab w:val="left" w:pos="-709"/>
        </w:tabs>
        <w:spacing w:after="0"/>
        <w:rPr>
          <w:rFonts w:ascii="Arial" w:hAnsi="Arial" w:cs="Arial"/>
          <w:b/>
          <w:sz w:val="24"/>
          <w:szCs w:val="24"/>
        </w:rPr>
      </w:pPr>
    </w:p>
    <w:p w:rsidR="009D3321" w:rsidRPr="00F61436" w:rsidRDefault="009D3321" w:rsidP="009D3321">
      <w:pPr>
        <w:tabs>
          <w:tab w:val="left" w:pos="-709"/>
        </w:tabs>
        <w:spacing w:after="0"/>
        <w:ind w:left="11907"/>
        <w:rPr>
          <w:rFonts w:ascii="Arial" w:hAnsi="Arial" w:cs="Arial"/>
          <w:b/>
          <w:sz w:val="24"/>
          <w:szCs w:val="24"/>
        </w:rPr>
      </w:pPr>
      <w:r w:rsidRPr="00F61436">
        <w:rPr>
          <w:rFonts w:ascii="Arial" w:hAnsi="Arial" w:cs="Arial"/>
          <w:b/>
          <w:sz w:val="24"/>
          <w:szCs w:val="24"/>
        </w:rPr>
        <w:t xml:space="preserve">Appendix 1 </w:t>
      </w:r>
    </w:p>
    <w:p w:rsidR="009D3321" w:rsidRPr="00F61436" w:rsidRDefault="00B27000" w:rsidP="009D3321">
      <w:pPr>
        <w:tabs>
          <w:tab w:val="left" w:pos="-709"/>
        </w:tabs>
        <w:spacing w:after="0"/>
        <w:ind w:left="11907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</w:t>
      </w:r>
      <w:r w:rsidR="009D3321" w:rsidRPr="00F61436">
        <w:rPr>
          <w:rFonts w:ascii="Arial" w:hAnsi="Arial" w:cs="Arial"/>
          <w:b/>
          <w:sz w:val="24"/>
          <w:szCs w:val="24"/>
        </w:rPr>
        <w:t>o</w:t>
      </w:r>
      <w:proofErr w:type="gramEnd"/>
      <w:r w:rsidR="009D3321" w:rsidRPr="00F61436">
        <w:rPr>
          <w:rFonts w:ascii="Arial" w:hAnsi="Arial" w:cs="Arial"/>
          <w:b/>
          <w:sz w:val="24"/>
          <w:szCs w:val="24"/>
        </w:rPr>
        <w:t xml:space="preserve"> Annex C</w:t>
      </w:r>
    </w:p>
    <w:p w:rsidR="009D3321" w:rsidRDefault="009D3321" w:rsidP="009D3321">
      <w:pPr>
        <w:tabs>
          <w:tab w:val="left" w:pos="-709"/>
        </w:tabs>
        <w:spacing w:after="0"/>
        <w:ind w:left="11907"/>
        <w:rPr>
          <w:rFonts w:ascii="Arial" w:hAnsi="Arial" w:cs="Arial"/>
        </w:rPr>
      </w:pPr>
    </w:p>
    <w:p w:rsidR="009D3321" w:rsidRPr="009D3321" w:rsidRDefault="009D3321" w:rsidP="009D3321">
      <w:pPr>
        <w:tabs>
          <w:tab w:val="left" w:pos="-709"/>
        </w:tabs>
        <w:spacing w:after="0"/>
        <w:ind w:left="12049"/>
        <w:rPr>
          <w:rFonts w:ascii="Arial" w:hAnsi="Arial" w:cs="Arial"/>
        </w:rPr>
      </w:pPr>
    </w:p>
    <w:p w:rsidR="000E2F2A" w:rsidRPr="005C3E52" w:rsidRDefault="000E2F2A" w:rsidP="000E2F2A">
      <w:pPr>
        <w:tabs>
          <w:tab w:val="left" w:pos="-709"/>
        </w:tabs>
        <w:spacing w:after="0"/>
        <w:ind w:left="11907"/>
        <w:rPr>
          <w:rFonts w:ascii="Arial" w:hAnsi="Arial" w:cs="Arial"/>
        </w:rPr>
      </w:pPr>
    </w:p>
    <w:p w:rsidR="0007647B" w:rsidRPr="00F61436" w:rsidRDefault="005C3E52" w:rsidP="00947DA5">
      <w:pPr>
        <w:jc w:val="center"/>
        <w:rPr>
          <w:rFonts w:ascii="Arial" w:hAnsi="Arial" w:cs="Arial"/>
          <w:b/>
          <w:sz w:val="28"/>
          <w:szCs w:val="28"/>
        </w:rPr>
      </w:pPr>
      <w:r w:rsidRPr="00F61436">
        <w:rPr>
          <w:rFonts w:ascii="Arial" w:hAnsi="Arial" w:cs="Arial"/>
          <w:b/>
          <w:sz w:val="28"/>
          <w:szCs w:val="28"/>
        </w:rPr>
        <w:t xml:space="preserve">COMMERCIAL COMPLIANCE </w:t>
      </w:r>
      <w:r w:rsidR="00D745A7" w:rsidRPr="00F61436">
        <w:rPr>
          <w:rFonts w:ascii="Arial" w:hAnsi="Arial" w:cs="Arial"/>
          <w:b/>
          <w:sz w:val="28"/>
          <w:szCs w:val="28"/>
        </w:rPr>
        <w:t>STATEMENT</w:t>
      </w:r>
    </w:p>
    <w:p w:rsidR="002139BB" w:rsidRPr="00B27000" w:rsidRDefault="00B27000" w:rsidP="00B27000">
      <w:pPr>
        <w:ind w:left="709" w:hanging="283"/>
      </w:pPr>
      <w:r w:rsidRPr="00B27000">
        <w:rPr>
          <w:rFonts w:ascii="Arial" w:hAnsi="Arial" w:cs="Arial"/>
        </w:rPr>
        <w:t xml:space="preserve">1.  </w:t>
      </w:r>
      <w:r w:rsidR="003B6A59" w:rsidRPr="00B27000">
        <w:rPr>
          <w:rFonts w:ascii="Arial" w:hAnsi="Arial" w:cs="Arial"/>
        </w:rPr>
        <w:t>Tenderer shall confirm if they are Compliant or</w:t>
      </w:r>
      <w:r w:rsidR="001C175F" w:rsidRPr="00B27000">
        <w:rPr>
          <w:rFonts w:ascii="Arial" w:hAnsi="Arial" w:cs="Arial"/>
        </w:rPr>
        <w:t xml:space="preserve"> Non-Compliant with all of the T</w:t>
      </w:r>
      <w:r w:rsidR="003B6A59" w:rsidRPr="00B27000">
        <w:rPr>
          <w:rFonts w:ascii="Arial" w:hAnsi="Arial" w:cs="Arial"/>
        </w:rPr>
        <w:t>erms and</w:t>
      </w:r>
      <w:r w:rsidR="001C175F" w:rsidRPr="00B27000">
        <w:rPr>
          <w:rFonts w:ascii="Arial" w:hAnsi="Arial" w:cs="Arial"/>
        </w:rPr>
        <w:t xml:space="preserve"> Conditions </w:t>
      </w:r>
      <w:r w:rsidR="007B2143" w:rsidRPr="00B27000">
        <w:rPr>
          <w:rFonts w:ascii="Arial" w:hAnsi="Arial" w:cs="Arial"/>
        </w:rPr>
        <w:t xml:space="preserve">of the Draft </w:t>
      </w:r>
      <w:proofErr w:type="gramStart"/>
      <w:r w:rsidR="007B2143" w:rsidRPr="00B27000">
        <w:rPr>
          <w:rFonts w:ascii="Arial" w:hAnsi="Arial" w:cs="Arial"/>
        </w:rPr>
        <w:t>Contract</w:t>
      </w:r>
      <w:r w:rsidR="001C175F" w:rsidRPr="00B27000">
        <w:rPr>
          <w:rFonts w:ascii="Arial" w:hAnsi="Arial" w:cs="Arial"/>
        </w:rPr>
        <w:t xml:space="preserve">  at</w:t>
      </w:r>
      <w:proofErr w:type="gramEnd"/>
      <w:r w:rsidR="001C175F" w:rsidRPr="00B27000">
        <w:rPr>
          <w:rFonts w:ascii="Arial" w:hAnsi="Arial" w:cs="Arial"/>
        </w:rPr>
        <w:t xml:space="preserve"> Annex E</w:t>
      </w:r>
      <w:r w:rsidR="003B6A59" w:rsidRPr="00B27000">
        <w:rPr>
          <w:rFonts w:ascii="Arial" w:hAnsi="Arial" w:cs="Arial"/>
        </w:rPr>
        <w:t>, which consists of Part 1 Defence Conditions (DEFCONs) and Part 2 Special Conditions</w:t>
      </w:r>
      <w:r w:rsidR="00A71817" w:rsidRPr="00B27000">
        <w:rPr>
          <w:rFonts w:ascii="Arial" w:hAnsi="Arial" w:cs="Arial"/>
        </w:rPr>
        <w:t xml:space="preserve"> and </w:t>
      </w:r>
      <w:r w:rsidR="001260B7" w:rsidRPr="00B27000">
        <w:rPr>
          <w:rFonts w:ascii="Arial" w:hAnsi="Arial" w:cs="Arial"/>
        </w:rPr>
        <w:t>all</w:t>
      </w:r>
      <w:r w:rsidR="00A71817" w:rsidRPr="00B27000">
        <w:rPr>
          <w:rFonts w:ascii="Arial" w:hAnsi="Arial" w:cs="Arial"/>
        </w:rPr>
        <w:t xml:space="preserve"> Schedules referenced therein less Schedule 2 (Statement of Requirement)</w:t>
      </w:r>
      <w:r w:rsidR="008B4484" w:rsidRPr="00B27000">
        <w:rPr>
          <w:rFonts w:ascii="Arial" w:hAnsi="Arial" w:cs="Arial"/>
        </w:rPr>
        <w:t>.</w:t>
      </w:r>
    </w:p>
    <w:p w:rsidR="002139BB" w:rsidRPr="00B27000" w:rsidRDefault="002139BB" w:rsidP="00B27000">
      <w:pPr>
        <w:pStyle w:val="ListParagraph"/>
        <w:ind w:left="709"/>
      </w:pPr>
    </w:p>
    <w:p w:rsidR="00981B65" w:rsidRPr="002139BB" w:rsidRDefault="00B27000" w:rsidP="00B27000">
      <w:pPr>
        <w:pStyle w:val="ListParagraph"/>
        <w:ind w:left="851" w:hanging="425"/>
      </w:pPr>
      <w:r>
        <w:rPr>
          <w:rFonts w:ascii="Arial" w:hAnsi="Arial" w:cs="Arial"/>
        </w:rPr>
        <w:t xml:space="preserve">2. </w:t>
      </w:r>
      <w:r w:rsidR="001C175F" w:rsidRPr="00B27000">
        <w:rPr>
          <w:rFonts w:ascii="Arial" w:hAnsi="Arial" w:cs="Arial"/>
        </w:rPr>
        <w:t xml:space="preserve"> If Non-Compliant they are to advise reasons why they are non</w:t>
      </w:r>
      <w:r w:rsidR="003246B1" w:rsidRPr="00B27000">
        <w:rPr>
          <w:rFonts w:ascii="Arial" w:hAnsi="Arial" w:cs="Arial"/>
        </w:rPr>
        <w:t>-</w:t>
      </w:r>
      <w:r w:rsidR="001C175F" w:rsidRPr="00B27000">
        <w:rPr>
          <w:rFonts w:ascii="Arial" w:hAnsi="Arial" w:cs="Arial"/>
        </w:rPr>
        <w:t>compliant, referencing the applicable clause(s)</w:t>
      </w:r>
      <w:r w:rsidR="008B4484" w:rsidRPr="00B27000">
        <w:rPr>
          <w:rFonts w:ascii="Arial" w:hAnsi="Arial" w:cs="Arial"/>
        </w:rPr>
        <w:t xml:space="preserve"> and Schedules</w:t>
      </w:r>
      <w:r w:rsidR="001C175F" w:rsidRPr="00B27000">
        <w:rPr>
          <w:rFonts w:ascii="Arial" w:hAnsi="Arial" w:cs="Arial"/>
        </w:rPr>
        <w:t>.</w:t>
      </w:r>
    </w:p>
    <w:p w:rsidR="003B6A59" w:rsidRDefault="003B6A59">
      <w:pPr>
        <w:rPr>
          <w:rFonts w:ascii="Arial" w:hAnsi="Arial" w:cs="Arial"/>
        </w:rPr>
      </w:pPr>
    </w:p>
    <w:p w:rsidR="009D3321" w:rsidRPr="00B27000" w:rsidRDefault="003B6A59" w:rsidP="00B27000">
      <w:pPr>
        <w:spacing w:after="0"/>
        <w:ind w:left="11907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591CC8" w:rsidRPr="00F61436">
        <w:rPr>
          <w:rFonts w:ascii="Arial" w:hAnsi="Arial" w:cs="Arial"/>
          <w:b/>
          <w:sz w:val="24"/>
          <w:szCs w:val="24"/>
        </w:rPr>
        <w:lastRenderedPageBreak/>
        <w:t>Appendix 2</w:t>
      </w:r>
      <w:r w:rsidR="009D3321" w:rsidRPr="00F61436">
        <w:rPr>
          <w:rFonts w:ascii="Arial" w:hAnsi="Arial" w:cs="Arial"/>
          <w:b/>
          <w:sz w:val="24"/>
          <w:szCs w:val="24"/>
        </w:rPr>
        <w:t xml:space="preserve"> </w:t>
      </w:r>
    </w:p>
    <w:p w:rsidR="009D3321" w:rsidRPr="00F61436" w:rsidRDefault="00B27000" w:rsidP="00B27000">
      <w:pPr>
        <w:tabs>
          <w:tab w:val="left" w:pos="-709"/>
        </w:tabs>
        <w:spacing w:after="0"/>
        <w:ind w:left="11907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</w:t>
      </w:r>
      <w:r w:rsidR="009D3321" w:rsidRPr="00F61436">
        <w:rPr>
          <w:rFonts w:ascii="Arial" w:hAnsi="Arial" w:cs="Arial"/>
          <w:b/>
          <w:sz w:val="24"/>
          <w:szCs w:val="24"/>
        </w:rPr>
        <w:t>o</w:t>
      </w:r>
      <w:proofErr w:type="gramEnd"/>
      <w:r w:rsidR="009D3321" w:rsidRPr="00F61436">
        <w:rPr>
          <w:rFonts w:ascii="Arial" w:hAnsi="Arial" w:cs="Arial"/>
          <w:b/>
          <w:sz w:val="24"/>
          <w:szCs w:val="24"/>
        </w:rPr>
        <w:t xml:space="preserve"> Annex C</w:t>
      </w:r>
    </w:p>
    <w:p w:rsidR="009D3321" w:rsidRPr="00F61436" w:rsidRDefault="009D3321" w:rsidP="009D3321">
      <w:pPr>
        <w:jc w:val="center"/>
        <w:rPr>
          <w:rFonts w:ascii="Arial" w:hAnsi="Arial" w:cs="Arial"/>
          <w:b/>
          <w:sz w:val="28"/>
          <w:szCs w:val="28"/>
        </w:rPr>
      </w:pPr>
      <w:r w:rsidRPr="00F61436">
        <w:rPr>
          <w:rFonts w:ascii="Arial" w:hAnsi="Arial" w:cs="Arial"/>
          <w:b/>
          <w:sz w:val="28"/>
          <w:szCs w:val="28"/>
        </w:rPr>
        <w:t>TECHNICAL COMPLIANCY</w:t>
      </w:r>
    </w:p>
    <w:p w:rsidR="0024661B" w:rsidRPr="0024661B" w:rsidRDefault="005B054C" w:rsidP="00B27000">
      <w:pPr>
        <w:pStyle w:val="ListParagraph"/>
        <w:numPr>
          <w:ilvl w:val="1"/>
          <w:numId w:val="2"/>
        </w:numPr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  <w:r w:rsidRPr="0024661B">
        <w:rPr>
          <w:rFonts w:ascii="Arial" w:eastAsia="Times New Roman" w:hAnsi="Arial" w:cs="Times New Roman"/>
          <w:szCs w:val="24"/>
          <w:lang w:eastAsia="en-GB"/>
        </w:rPr>
        <w:t xml:space="preserve">The Tenderer shall </w:t>
      </w:r>
      <w:r w:rsidR="00B76A4F" w:rsidRPr="0024661B">
        <w:rPr>
          <w:rFonts w:ascii="Arial" w:eastAsia="Times New Roman" w:hAnsi="Arial" w:cs="Times New Roman"/>
          <w:szCs w:val="24"/>
          <w:lang w:eastAsia="en-GB"/>
        </w:rPr>
        <w:t>include in their Tender response</w:t>
      </w:r>
      <w:r w:rsidR="0024661B" w:rsidRPr="0024661B">
        <w:rPr>
          <w:rFonts w:ascii="Arial" w:eastAsia="Times New Roman" w:hAnsi="Arial" w:cs="Times New Roman"/>
          <w:szCs w:val="24"/>
          <w:lang w:eastAsia="en-GB"/>
        </w:rPr>
        <w:t>:</w:t>
      </w:r>
    </w:p>
    <w:p w:rsidR="0024661B" w:rsidRDefault="0024661B" w:rsidP="00B27000">
      <w:pPr>
        <w:pStyle w:val="ListParagraph"/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</w:p>
    <w:p w:rsidR="0024661B" w:rsidRDefault="0024661B" w:rsidP="00B27000">
      <w:pPr>
        <w:pStyle w:val="ListParagraph"/>
        <w:numPr>
          <w:ilvl w:val="1"/>
          <w:numId w:val="7"/>
        </w:numPr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  <w:r>
        <w:rPr>
          <w:rFonts w:ascii="Arial" w:eastAsia="Times New Roman" w:hAnsi="Arial" w:cs="Times New Roman"/>
          <w:szCs w:val="24"/>
          <w:lang w:eastAsia="en-GB"/>
        </w:rPr>
        <w:t>A</w:t>
      </w:r>
      <w:r w:rsidR="005B054C" w:rsidRPr="00F61436">
        <w:rPr>
          <w:rFonts w:ascii="Arial" w:eastAsia="Times New Roman" w:hAnsi="Arial" w:cs="Times New Roman"/>
          <w:szCs w:val="24"/>
          <w:lang w:eastAsia="en-GB"/>
        </w:rPr>
        <w:t xml:space="preserve"> </w:t>
      </w:r>
      <w:r w:rsidR="00B76A4F">
        <w:rPr>
          <w:rFonts w:ascii="Arial" w:eastAsia="Times New Roman" w:hAnsi="Arial" w:cs="Times New Roman"/>
          <w:szCs w:val="24"/>
          <w:lang w:eastAsia="en-GB"/>
        </w:rPr>
        <w:t xml:space="preserve">Confirmation of Compliance </w:t>
      </w:r>
      <w:r>
        <w:rPr>
          <w:rFonts w:ascii="Arial" w:eastAsia="Times New Roman" w:hAnsi="Arial" w:cs="Times New Roman"/>
          <w:szCs w:val="24"/>
          <w:lang w:eastAsia="en-GB"/>
        </w:rPr>
        <w:t>by populating the</w:t>
      </w:r>
      <w:r w:rsidR="002E6196">
        <w:rPr>
          <w:rFonts w:ascii="Arial" w:eastAsia="Times New Roman" w:hAnsi="Arial" w:cs="Times New Roman"/>
          <w:szCs w:val="24"/>
          <w:lang w:eastAsia="en-GB"/>
        </w:rPr>
        <w:t xml:space="preserve"> column Confirmation of Compliance at Schedule 2 (Statement of Technical Requirement)</w:t>
      </w:r>
      <w:r>
        <w:rPr>
          <w:rFonts w:ascii="Arial" w:eastAsia="Times New Roman" w:hAnsi="Arial" w:cs="Times New Roman"/>
          <w:szCs w:val="24"/>
          <w:lang w:eastAsia="en-GB"/>
        </w:rPr>
        <w:t xml:space="preserve"> in accordance with Section D of DEFFORM 47</w:t>
      </w:r>
      <w:r w:rsidR="000020B9">
        <w:rPr>
          <w:rFonts w:ascii="Arial" w:eastAsia="Times New Roman" w:hAnsi="Arial" w:cs="Times New Roman"/>
          <w:szCs w:val="24"/>
          <w:lang w:eastAsia="en-GB"/>
        </w:rPr>
        <w:t xml:space="preserve"> with whether they are Compliant, Partially Compliant or Non-Compliant.</w:t>
      </w:r>
      <w:r>
        <w:rPr>
          <w:rFonts w:ascii="Arial" w:eastAsia="Times New Roman" w:hAnsi="Arial" w:cs="Times New Roman"/>
          <w:szCs w:val="24"/>
          <w:lang w:eastAsia="en-GB"/>
        </w:rPr>
        <w:t>.</w:t>
      </w:r>
    </w:p>
    <w:p w:rsidR="002E6196" w:rsidRDefault="002E6196" w:rsidP="00B27000">
      <w:pPr>
        <w:pStyle w:val="ListParagraph"/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</w:p>
    <w:p w:rsidR="0024661B" w:rsidRDefault="0024661B" w:rsidP="00B27000">
      <w:pPr>
        <w:pStyle w:val="ListParagraph"/>
        <w:numPr>
          <w:ilvl w:val="1"/>
          <w:numId w:val="7"/>
        </w:numPr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  <w:r>
        <w:rPr>
          <w:rFonts w:ascii="Arial" w:eastAsia="Times New Roman" w:hAnsi="Arial" w:cs="Times New Roman"/>
          <w:szCs w:val="24"/>
          <w:lang w:eastAsia="en-GB"/>
        </w:rPr>
        <w:t>A cr</w:t>
      </w:r>
      <w:r w:rsidR="00902D9F">
        <w:rPr>
          <w:rFonts w:ascii="Arial" w:eastAsia="Times New Roman" w:hAnsi="Arial" w:cs="Times New Roman"/>
          <w:szCs w:val="24"/>
          <w:lang w:eastAsia="en-GB"/>
        </w:rPr>
        <w:t xml:space="preserve">oss reference under heading Statement of </w:t>
      </w:r>
      <w:r>
        <w:rPr>
          <w:rFonts w:ascii="Arial" w:eastAsia="Times New Roman" w:hAnsi="Arial" w:cs="Times New Roman"/>
          <w:szCs w:val="24"/>
          <w:lang w:eastAsia="en-GB"/>
        </w:rPr>
        <w:t>Compliance Reference</w:t>
      </w:r>
      <w:r w:rsidR="005B054C" w:rsidRPr="0024661B">
        <w:rPr>
          <w:rFonts w:ascii="Arial" w:eastAsia="Times New Roman" w:hAnsi="Arial" w:cs="Times New Roman"/>
          <w:szCs w:val="24"/>
          <w:lang w:eastAsia="en-GB"/>
        </w:rPr>
        <w:t>,</w:t>
      </w:r>
      <w:r w:rsidR="002E6196">
        <w:rPr>
          <w:rFonts w:ascii="Arial" w:eastAsia="Times New Roman" w:hAnsi="Arial" w:cs="Times New Roman"/>
          <w:szCs w:val="24"/>
          <w:lang w:eastAsia="en-GB"/>
        </w:rPr>
        <w:t xml:space="preserve"> at Schedule 2 (Statement of Technical Requirement) </w:t>
      </w:r>
      <w:r>
        <w:rPr>
          <w:rFonts w:ascii="Arial" w:eastAsia="Times New Roman" w:hAnsi="Arial" w:cs="Times New Roman"/>
          <w:szCs w:val="24"/>
          <w:lang w:eastAsia="en-GB"/>
        </w:rPr>
        <w:t xml:space="preserve">to identify where in Tenderer’s response they have provided their Statement of Technical Compliance , </w:t>
      </w:r>
      <w:r w:rsidR="005B054C" w:rsidRPr="0024661B">
        <w:rPr>
          <w:rFonts w:ascii="Arial" w:eastAsia="Times New Roman" w:hAnsi="Arial" w:cs="Times New Roman"/>
          <w:szCs w:val="24"/>
          <w:lang w:eastAsia="en-GB"/>
        </w:rPr>
        <w:t xml:space="preserve">as per </w:t>
      </w:r>
      <w:r w:rsidR="002E6196">
        <w:rPr>
          <w:rFonts w:ascii="Arial" w:eastAsia="Times New Roman" w:hAnsi="Arial" w:cs="Times New Roman"/>
          <w:szCs w:val="24"/>
          <w:lang w:eastAsia="en-GB"/>
        </w:rPr>
        <w:t>Section D of DEFFORM 47.</w:t>
      </w:r>
      <w:r w:rsidR="000020B9">
        <w:rPr>
          <w:rFonts w:ascii="Arial" w:eastAsia="Times New Roman" w:hAnsi="Arial" w:cs="Times New Roman"/>
          <w:szCs w:val="24"/>
          <w:lang w:eastAsia="en-GB"/>
        </w:rPr>
        <w:t xml:space="preserve"> </w:t>
      </w:r>
    </w:p>
    <w:p w:rsidR="0024661B" w:rsidRPr="002E6196" w:rsidRDefault="0024661B" w:rsidP="00B27000">
      <w:pPr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</w:p>
    <w:p w:rsidR="002E6196" w:rsidRDefault="002E6196" w:rsidP="00B27000">
      <w:pPr>
        <w:pStyle w:val="ListParagraph"/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</w:p>
    <w:p w:rsidR="0024661B" w:rsidRDefault="0024661B" w:rsidP="00B27000">
      <w:pPr>
        <w:pStyle w:val="ListParagraph"/>
        <w:numPr>
          <w:ilvl w:val="1"/>
          <w:numId w:val="7"/>
        </w:numPr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  <w:r w:rsidRPr="0024661B">
        <w:rPr>
          <w:rFonts w:ascii="Arial" w:eastAsia="Times New Roman" w:hAnsi="Arial" w:cs="Times New Roman"/>
          <w:szCs w:val="24"/>
          <w:lang w:eastAsia="en-GB"/>
        </w:rPr>
        <w:t xml:space="preserve">In </w:t>
      </w:r>
      <w:r w:rsidR="002E6196">
        <w:rPr>
          <w:rFonts w:ascii="Arial" w:eastAsia="Times New Roman" w:hAnsi="Arial" w:cs="Times New Roman"/>
          <w:szCs w:val="24"/>
          <w:lang w:eastAsia="en-GB"/>
        </w:rPr>
        <w:t>providing their compliancy response, the Tenderer shall detail</w:t>
      </w:r>
      <w:r w:rsidR="005B054C" w:rsidRPr="0024661B">
        <w:rPr>
          <w:rFonts w:ascii="Arial" w:eastAsia="Times New Roman" w:hAnsi="Arial" w:cs="Times New Roman"/>
          <w:szCs w:val="24"/>
          <w:lang w:eastAsia="en-GB"/>
        </w:rPr>
        <w:t xml:space="preserve"> how they </w:t>
      </w:r>
      <w:r w:rsidR="00B76A4F" w:rsidRPr="0024661B">
        <w:rPr>
          <w:rFonts w:ascii="Arial" w:eastAsia="Times New Roman" w:hAnsi="Arial" w:cs="Times New Roman"/>
          <w:szCs w:val="24"/>
          <w:lang w:eastAsia="en-GB"/>
        </w:rPr>
        <w:t>will</w:t>
      </w:r>
      <w:r w:rsidR="005B054C" w:rsidRPr="0024661B">
        <w:rPr>
          <w:rFonts w:ascii="Arial" w:eastAsia="Times New Roman" w:hAnsi="Arial" w:cs="Times New Roman"/>
          <w:szCs w:val="24"/>
          <w:lang w:eastAsia="en-GB"/>
        </w:rPr>
        <w:t xml:space="preserve"> meet and deliver the requirements</w:t>
      </w:r>
      <w:r w:rsidR="002E6196">
        <w:rPr>
          <w:rFonts w:ascii="Arial" w:eastAsia="Times New Roman" w:hAnsi="Arial" w:cs="Times New Roman"/>
          <w:szCs w:val="24"/>
          <w:lang w:eastAsia="en-GB"/>
        </w:rPr>
        <w:t xml:space="preserve"> against the following</w:t>
      </w:r>
      <w:r w:rsidRPr="0024661B">
        <w:rPr>
          <w:rFonts w:ascii="Arial" w:eastAsia="Times New Roman" w:hAnsi="Arial" w:cs="Times New Roman"/>
          <w:szCs w:val="24"/>
          <w:lang w:eastAsia="en-GB"/>
        </w:rPr>
        <w:t>:</w:t>
      </w:r>
    </w:p>
    <w:p w:rsidR="0024661B" w:rsidRDefault="0024661B" w:rsidP="0024661B">
      <w:pPr>
        <w:pStyle w:val="ListParagraph"/>
        <w:spacing w:after="0" w:line="240" w:lineRule="auto"/>
        <w:ind w:left="2520"/>
        <w:rPr>
          <w:rFonts w:ascii="Arial" w:eastAsia="Times New Roman" w:hAnsi="Arial" w:cs="Times New Roman"/>
          <w:szCs w:val="24"/>
          <w:lang w:eastAsia="en-GB"/>
        </w:rPr>
      </w:pPr>
    </w:p>
    <w:p w:rsidR="0024661B" w:rsidRPr="0024661B" w:rsidRDefault="0024661B" w:rsidP="00B27000">
      <w:pPr>
        <w:pStyle w:val="ListParagraph"/>
        <w:numPr>
          <w:ilvl w:val="2"/>
          <w:numId w:val="7"/>
        </w:numPr>
        <w:spacing w:after="0" w:line="240" w:lineRule="auto"/>
        <w:ind w:left="1418" w:hanging="567"/>
        <w:rPr>
          <w:rFonts w:ascii="Arial" w:eastAsia="Times New Roman" w:hAnsi="Arial" w:cs="Times New Roman"/>
          <w:szCs w:val="24"/>
          <w:lang w:eastAsia="en-GB"/>
        </w:rPr>
      </w:pPr>
      <w:r w:rsidRPr="0024661B">
        <w:rPr>
          <w:rFonts w:ascii="Arial" w:hAnsi="Arial"/>
          <w:spacing w:val="-2"/>
        </w:rPr>
        <w:t>Delivery Plan / Strategy – For the statement of requirement in question, th</w:t>
      </w:r>
      <w:r w:rsidR="002E6196">
        <w:rPr>
          <w:rFonts w:ascii="Arial" w:hAnsi="Arial"/>
          <w:spacing w:val="-2"/>
        </w:rPr>
        <w:t>e Tenderer</w:t>
      </w:r>
      <w:r w:rsidRPr="0024661B">
        <w:rPr>
          <w:rFonts w:ascii="Arial" w:hAnsi="Arial"/>
          <w:spacing w:val="-2"/>
        </w:rPr>
        <w:t xml:space="preserve"> shall provide a breakdown of activities that will be undertaken and how they intend managing and delivering the requirement in full.  </w:t>
      </w:r>
    </w:p>
    <w:p w:rsidR="0024661B" w:rsidRPr="004643B0" w:rsidRDefault="0024661B" w:rsidP="00B27000">
      <w:pPr>
        <w:spacing w:after="0"/>
        <w:ind w:left="1418" w:hanging="567"/>
        <w:rPr>
          <w:spacing w:val="-2"/>
        </w:rPr>
      </w:pPr>
    </w:p>
    <w:p w:rsidR="0024661B" w:rsidRPr="004643B0" w:rsidRDefault="0024661B" w:rsidP="00B27000">
      <w:pPr>
        <w:pStyle w:val="ListParagraph"/>
        <w:numPr>
          <w:ilvl w:val="2"/>
          <w:numId w:val="7"/>
        </w:numPr>
        <w:spacing w:after="0"/>
        <w:ind w:left="1418" w:hanging="567"/>
        <w:rPr>
          <w:rFonts w:ascii="Arial" w:hAnsi="Arial"/>
          <w:spacing w:val="-2"/>
        </w:rPr>
      </w:pPr>
      <w:r w:rsidRPr="004643B0">
        <w:rPr>
          <w:rFonts w:ascii="Arial" w:hAnsi="Arial"/>
          <w:spacing w:val="-2"/>
        </w:rPr>
        <w:t>Schedule of Activities – For the statement of require</w:t>
      </w:r>
      <w:r w:rsidR="002E6196">
        <w:rPr>
          <w:rFonts w:ascii="Arial" w:hAnsi="Arial"/>
          <w:spacing w:val="-2"/>
        </w:rPr>
        <w:t>ment in question, the Tenderer</w:t>
      </w:r>
      <w:r w:rsidRPr="004643B0">
        <w:rPr>
          <w:rFonts w:ascii="Arial" w:hAnsi="Arial"/>
          <w:spacing w:val="-2"/>
        </w:rPr>
        <w:t xml:space="preserve"> shall provide a delivery schedule for the key activities. This should be linked to the activities identified in the delivery plan / strategy</w:t>
      </w:r>
    </w:p>
    <w:p w:rsidR="0024661B" w:rsidRPr="004643B0" w:rsidRDefault="0024661B" w:rsidP="00B27000">
      <w:pPr>
        <w:spacing w:after="0"/>
        <w:ind w:left="1418" w:hanging="567"/>
        <w:rPr>
          <w:spacing w:val="-2"/>
        </w:rPr>
      </w:pPr>
    </w:p>
    <w:p w:rsidR="0024661B" w:rsidRDefault="0024661B" w:rsidP="00B27000">
      <w:pPr>
        <w:pStyle w:val="ListParagraph"/>
        <w:numPr>
          <w:ilvl w:val="2"/>
          <w:numId w:val="7"/>
        </w:numPr>
        <w:spacing w:after="0"/>
        <w:ind w:left="1418" w:hanging="567"/>
        <w:rPr>
          <w:rFonts w:ascii="Arial" w:hAnsi="Arial"/>
          <w:spacing w:val="-2"/>
        </w:rPr>
      </w:pPr>
      <w:r w:rsidRPr="004643B0">
        <w:rPr>
          <w:rFonts w:ascii="Arial" w:hAnsi="Arial"/>
          <w:spacing w:val="-2"/>
        </w:rPr>
        <w:t>Resources – For the statement of requireme</w:t>
      </w:r>
      <w:r w:rsidR="002E6196">
        <w:rPr>
          <w:rFonts w:ascii="Arial" w:hAnsi="Arial"/>
          <w:spacing w:val="-2"/>
        </w:rPr>
        <w:t xml:space="preserve">nts in question, the Tenderer </w:t>
      </w:r>
      <w:r w:rsidRPr="004643B0">
        <w:rPr>
          <w:rFonts w:ascii="Arial" w:hAnsi="Arial"/>
          <w:spacing w:val="-2"/>
        </w:rPr>
        <w:t xml:space="preserve">shall identify the resourced required </w:t>
      </w:r>
      <w:proofErr w:type="gramStart"/>
      <w:r w:rsidRPr="004643B0">
        <w:rPr>
          <w:rFonts w:ascii="Arial" w:hAnsi="Arial"/>
          <w:spacing w:val="-2"/>
        </w:rPr>
        <w:t>to deliver</w:t>
      </w:r>
      <w:proofErr w:type="gramEnd"/>
      <w:r w:rsidRPr="004643B0">
        <w:rPr>
          <w:rFonts w:ascii="Arial" w:hAnsi="Arial"/>
          <w:spacing w:val="-2"/>
        </w:rPr>
        <w:t xml:space="preserve"> it in full. The Contractor shall provide a maximum of 3 CV’s for </w:t>
      </w:r>
      <w:r>
        <w:rPr>
          <w:rFonts w:ascii="Arial" w:hAnsi="Arial"/>
          <w:spacing w:val="-2"/>
        </w:rPr>
        <w:t>lead</w:t>
      </w:r>
      <w:r w:rsidRPr="004643B0">
        <w:rPr>
          <w:rFonts w:ascii="Arial" w:hAnsi="Arial"/>
          <w:spacing w:val="-2"/>
        </w:rPr>
        <w:t xml:space="preserve"> personnel that will be involved in delivering the task.</w:t>
      </w:r>
      <w:r>
        <w:rPr>
          <w:rFonts w:ascii="Arial" w:hAnsi="Arial"/>
          <w:spacing w:val="-2"/>
        </w:rPr>
        <w:t xml:space="preserve"> CV’s should be restricted to no more than 2 pages and provide only one copy of a CV where an individual will be supporting more than one task.</w:t>
      </w:r>
    </w:p>
    <w:p w:rsidR="0024661B" w:rsidRPr="0024661B" w:rsidRDefault="0024661B" w:rsidP="0024661B">
      <w:pPr>
        <w:pStyle w:val="ListParagraph"/>
        <w:ind w:left="1080"/>
        <w:rPr>
          <w:rFonts w:ascii="Arial" w:hAnsi="Arial"/>
          <w:spacing w:val="-2"/>
        </w:rPr>
      </w:pPr>
    </w:p>
    <w:p w:rsidR="0024661B" w:rsidRDefault="0024661B" w:rsidP="00B27000">
      <w:pPr>
        <w:pStyle w:val="ListParagraph"/>
        <w:numPr>
          <w:ilvl w:val="1"/>
          <w:numId w:val="7"/>
        </w:numPr>
        <w:spacing w:after="0"/>
        <w:ind w:left="851" w:hanging="567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Tenderer shall also provide in Microsoft Project a Contract Schedule for undertaking the work detailed in Schedule 2 (Statement of Technical Requirement) within the timescales identified</w:t>
      </w:r>
      <w:proofErr w:type="gramStart"/>
      <w:r>
        <w:rPr>
          <w:rFonts w:ascii="Arial" w:hAnsi="Arial"/>
          <w:spacing w:val="-2"/>
        </w:rPr>
        <w:t>..</w:t>
      </w:r>
      <w:proofErr w:type="gramEnd"/>
    </w:p>
    <w:p w:rsidR="0024661B" w:rsidRDefault="0024661B" w:rsidP="00B27000">
      <w:pPr>
        <w:pStyle w:val="ListParagraph"/>
        <w:spacing w:after="0"/>
        <w:ind w:left="851" w:hanging="567"/>
        <w:rPr>
          <w:rFonts w:ascii="Arial" w:hAnsi="Arial"/>
          <w:spacing w:val="-2"/>
        </w:rPr>
      </w:pPr>
    </w:p>
    <w:p w:rsidR="009D3321" w:rsidRPr="002139BB" w:rsidRDefault="00B27000" w:rsidP="00B27000">
      <w:pPr>
        <w:pStyle w:val="ListParagraph"/>
        <w:spacing w:after="0" w:line="240" w:lineRule="auto"/>
        <w:ind w:left="851" w:hanging="567"/>
        <w:rPr>
          <w:rFonts w:ascii="Arial" w:eastAsia="Times New Roman" w:hAnsi="Arial" w:cs="Times New Roman"/>
          <w:szCs w:val="24"/>
          <w:lang w:eastAsia="en-GB"/>
        </w:rPr>
      </w:pPr>
      <w:r>
        <w:rPr>
          <w:rFonts w:ascii="Arial" w:hAnsi="Arial"/>
          <w:spacing w:val="-2"/>
        </w:rPr>
        <w:t xml:space="preserve">1.6    </w:t>
      </w:r>
      <w:r w:rsidR="0024661B" w:rsidRPr="002139BB">
        <w:rPr>
          <w:rFonts w:ascii="Arial" w:hAnsi="Arial"/>
          <w:spacing w:val="-2"/>
        </w:rPr>
        <w:t>Tende</w:t>
      </w:r>
      <w:r w:rsidR="002E6196" w:rsidRPr="002139BB">
        <w:rPr>
          <w:rFonts w:ascii="Arial" w:hAnsi="Arial"/>
          <w:spacing w:val="-2"/>
        </w:rPr>
        <w:t xml:space="preserve">rer’s should note that </w:t>
      </w:r>
      <w:r>
        <w:rPr>
          <w:rFonts w:ascii="Arial" w:hAnsi="Arial"/>
          <w:spacing w:val="-2"/>
        </w:rPr>
        <w:t xml:space="preserve">the assumed start date of </w:t>
      </w:r>
      <w:proofErr w:type="gramStart"/>
      <w:r>
        <w:rPr>
          <w:rFonts w:ascii="Arial" w:hAnsi="Arial"/>
          <w:spacing w:val="-2"/>
        </w:rPr>
        <w:t>any</w:t>
      </w:r>
      <w:r w:rsidR="008137FB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 xml:space="preserve"> resultant</w:t>
      </w:r>
      <w:proofErr w:type="gramEnd"/>
      <w:r>
        <w:rPr>
          <w:rFonts w:ascii="Arial" w:hAnsi="Arial"/>
          <w:spacing w:val="-2"/>
        </w:rPr>
        <w:t xml:space="preserve"> contract is</w:t>
      </w:r>
      <w:r w:rsidR="0024661B" w:rsidRPr="002139BB">
        <w:rPr>
          <w:rFonts w:ascii="Arial" w:hAnsi="Arial"/>
          <w:spacing w:val="-2"/>
        </w:rPr>
        <w:t xml:space="preserve"> 14 Aug 2017, , dates will be amended pro-rata</w:t>
      </w:r>
      <w:r w:rsidR="00B25482">
        <w:rPr>
          <w:rFonts w:ascii="Arial" w:hAnsi="Arial"/>
          <w:spacing w:val="-2"/>
        </w:rPr>
        <w:t xml:space="preserve"> at contract award following discussion with the successful Tenderer</w:t>
      </w:r>
      <w:r w:rsidR="0024661B" w:rsidRPr="002139BB">
        <w:rPr>
          <w:rFonts w:ascii="Arial" w:hAnsi="Arial"/>
          <w:spacing w:val="-2"/>
        </w:rPr>
        <w:t>.</w:t>
      </w:r>
      <w:r w:rsidR="00B76A4F" w:rsidRPr="002139BB">
        <w:rPr>
          <w:rFonts w:ascii="Arial" w:eastAsia="Times New Roman" w:hAnsi="Arial" w:cs="Times New Roman"/>
          <w:szCs w:val="24"/>
          <w:lang w:eastAsia="en-GB"/>
        </w:rPr>
        <w:t xml:space="preserve"> </w:t>
      </w:r>
    </w:p>
    <w:p w:rsidR="009570D8" w:rsidRPr="00B27000" w:rsidRDefault="00B76A4F" w:rsidP="00B27000">
      <w:pPr>
        <w:spacing w:after="0"/>
        <w:ind w:left="10206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9570D8" w:rsidRPr="009570D8">
        <w:rPr>
          <w:rFonts w:ascii="Arial" w:eastAsia="Times New Roman" w:hAnsi="Arial" w:cs="Arial"/>
          <w:b/>
          <w:sz w:val="24"/>
          <w:szCs w:val="24"/>
        </w:rPr>
        <w:lastRenderedPageBreak/>
        <w:t xml:space="preserve">Appendix 3 </w:t>
      </w:r>
    </w:p>
    <w:p w:rsidR="009570D8" w:rsidRPr="009570D8" w:rsidRDefault="00B27000" w:rsidP="009570D8">
      <w:pPr>
        <w:tabs>
          <w:tab w:val="left" w:pos="-709"/>
        </w:tabs>
        <w:spacing w:after="0" w:line="240" w:lineRule="auto"/>
        <w:ind w:left="10206"/>
        <w:rPr>
          <w:rFonts w:ascii="Arial" w:eastAsia="Times New Roman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</w:rPr>
        <w:t>t</w:t>
      </w:r>
      <w:r w:rsidR="009570D8" w:rsidRPr="009570D8">
        <w:rPr>
          <w:rFonts w:ascii="Arial" w:eastAsia="Times New Roman" w:hAnsi="Arial" w:cs="Arial"/>
          <w:b/>
          <w:sz w:val="24"/>
          <w:szCs w:val="24"/>
        </w:rPr>
        <w:t>o</w:t>
      </w:r>
      <w:proofErr w:type="gramEnd"/>
      <w:r w:rsidR="009570D8" w:rsidRPr="009570D8">
        <w:rPr>
          <w:rFonts w:ascii="Arial" w:eastAsia="Times New Roman" w:hAnsi="Arial" w:cs="Arial"/>
          <w:b/>
          <w:sz w:val="24"/>
          <w:szCs w:val="24"/>
        </w:rPr>
        <w:t xml:space="preserve"> Annex C</w:t>
      </w:r>
    </w:p>
    <w:p w:rsidR="009570D8" w:rsidRPr="009570D8" w:rsidRDefault="009570D8" w:rsidP="009570D8">
      <w:pPr>
        <w:tabs>
          <w:tab w:val="left" w:pos="-709"/>
        </w:tabs>
        <w:spacing w:after="0" w:line="240" w:lineRule="auto"/>
        <w:ind w:left="7371"/>
        <w:rPr>
          <w:rFonts w:ascii="Arial" w:eastAsia="Times New Roman" w:hAnsi="Arial" w:cs="Arial"/>
          <w:szCs w:val="24"/>
        </w:rPr>
      </w:pPr>
    </w:p>
    <w:p w:rsidR="009570D8" w:rsidRPr="009570D8" w:rsidRDefault="009570D8" w:rsidP="009570D8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9570D8">
        <w:rPr>
          <w:rFonts w:ascii="Arial" w:eastAsia="Times New Roman" w:hAnsi="Arial" w:cs="Arial"/>
          <w:b/>
          <w:sz w:val="28"/>
          <w:szCs w:val="28"/>
        </w:rPr>
        <w:t>PRICING AND DELIVERY</w:t>
      </w: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Arial"/>
          <w:szCs w:val="24"/>
        </w:rPr>
      </w:pPr>
    </w:p>
    <w:p w:rsidR="009570D8" w:rsidRPr="009570D8" w:rsidRDefault="009570D8" w:rsidP="009570D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 xml:space="preserve"> Tender</w:t>
      </w:r>
      <w:r w:rsidR="000020B9">
        <w:rPr>
          <w:rFonts w:ascii="Arial" w:eastAsia="Times New Roman" w:hAnsi="Arial" w:cs="Times New Roman"/>
          <w:szCs w:val="24"/>
        </w:rPr>
        <w:t>er</w:t>
      </w:r>
      <w:r w:rsidRPr="009570D8">
        <w:rPr>
          <w:rFonts w:ascii="Arial" w:eastAsia="Times New Roman" w:hAnsi="Arial" w:cs="Times New Roman"/>
          <w:szCs w:val="24"/>
        </w:rPr>
        <w:t xml:space="preserve"> is to populate this Appendix </w:t>
      </w:r>
      <w:r w:rsidR="00B27000">
        <w:rPr>
          <w:rFonts w:ascii="Arial" w:eastAsia="Times New Roman" w:hAnsi="Arial" w:cs="Times New Roman"/>
          <w:szCs w:val="24"/>
        </w:rPr>
        <w:t xml:space="preserve">as follows </w:t>
      </w:r>
      <w:r w:rsidRPr="009570D8">
        <w:rPr>
          <w:rFonts w:ascii="Arial" w:eastAsia="Times New Roman" w:hAnsi="Arial" w:cs="Times New Roman"/>
          <w:szCs w:val="24"/>
        </w:rPr>
        <w:t xml:space="preserve">with pricing which </w:t>
      </w:r>
      <w:r w:rsidR="00B27000">
        <w:rPr>
          <w:rFonts w:ascii="Arial" w:eastAsia="Times New Roman" w:hAnsi="Arial" w:cs="Times New Roman"/>
          <w:szCs w:val="24"/>
        </w:rPr>
        <w:t xml:space="preserve">shall </w:t>
      </w:r>
      <w:r w:rsidR="008137FB">
        <w:rPr>
          <w:rFonts w:ascii="Arial" w:eastAsia="Times New Roman" w:hAnsi="Arial" w:cs="Times New Roman"/>
          <w:szCs w:val="24"/>
        </w:rPr>
        <w:t xml:space="preserve">in part </w:t>
      </w:r>
      <w:r w:rsidRPr="009570D8">
        <w:rPr>
          <w:rFonts w:ascii="Arial" w:eastAsia="Times New Roman" w:hAnsi="Arial" w:cs="Times New Roman"/>
          <w:szCs w:val="24"/>
        </w:rPr>
        <w:t xml:space="preserve"> fo</w:t>
      </w:r>
      <w:r w:rsidR="00E53DDF">
        <w:rPr>
          <w:rFonts w:ascii="Arial" w:eastAsia="Times New Roman" w:hAnsi="Arial" w:cs="Times New Roman"/>
          <w:szCs w:val="24"/>
        </w:rPr>
        <w:t>r</w:t>
      </w:r>
      <w:r w:rsidRPr="009570D8">
        <w:rPr>
          <w:rFonts w:ascii="Arial" w:eastAsia="Times New Roman" w:hAnsi="Arial" w:cs="Times New Roman"/>
          <w:szCs w:val="24"/>
        </w:rPr>
        <w:t xml:space="preserve">m Schedule 1 </w:t>
      </w:r>
      <w:r w:rsidR="008137FB">
        <w:rPr>
          <w:rFonts w:ascii="Arial" w:eastAsia="Times New Roman" w:hAnsi="Arial" w:cs="Times New Roman"/>
          <w:szCs w:val="24"/>
        </w:rPr>
        <w:t>(Schedule of Requirements)</w:t>
      </w:r>
      <w:r w:rsidR="00DB42E7">
        <w:rPr>
          <w:rFonts w:ascii="Arial" w:eastAsia="Times New Roman" w:hAnsi="Arial" w:cs="Times New Roman"/>
          <w:szCs w:val="24"/>
        </w:rPr>
        <w:t xml:space="preserve"> </w:t>
      </w:r>
      <w:r w:rsidRPr="009570D8">
        <w:rPr>
          <w:rFonts w:ascii="Arial" w:eastAsia="Times New Roman" w:hAnsi="Arial" w:cs="Times New Roman"/>
          <w:szCs w:val="24"/>
        </w:rPr>
        <w:t>of the Draft Contract.</w:t>
      </w:r>
    </w:p>
    <w:p w:rsidR="009570D8" w:rsidRPr="009570D8" w:rsidRDefault="009570D8" w:rsidP="009570D8">
      <w:pPr>
        <w:spacing w:after="0" w:line="240" w:lineRule="auto"/>
        <w:ind w:left="720"/>
        <w:contextualSpacing/>
        <w:rPr>
          <w:rFonts w:ascii="Arial" w:eastAsia="Times New Roman" w:hAnsi="Arial" w:cs="Times New Roman"/>
          <w:szCs w:val="24"/>
        </w:rPr>
      </w:pPr>
    </w:p>
    <w:p w:rsidR="00B27000" w:rsidRDefault="009570D8" w:rsidP="00844E4B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>This Appendix covers</w:t>
      </w:r>
      <w:r w:rsidR="00B27000">
        <w:rPr>
          <w:rFonts w:ascii="Arial" w:eastAsia="Times New Roman" w:hAnsi="Arial" w:cs="Times New Roman"/>
          <w:szCs w:val="24"/>
        </w:rPr>
        <w:t>:</w:t>
      </w:r>
    </w:p>
    <w:p w:rsidR="00B27000" w:rsidRDefault="00B27000" w:rsidP="00844E4B">
      <w:pPr>
        <w:pStyle w:val="ListParagraph"/>
        <w:spacing w:after="0"/>
        <w:rPr>
          <w:rFonts w:ascii="Arial" w:eastAsia="Times New Roman" w:hAnsi="Arial" w:cs="Times New Roman"/>
          <w:szCs w:val="24"/>
        </w:rPr>
      </w:pPr>
    </w:p>
    <w:p w:rsidR="00B27000" w:rsidRDefault="009570D8" w:rsidP="00844E4B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 xml:space="preserve"> the Firm Pricing for the Firm Tasks (Table 1), </w:t>
      </w:r>
    </w:p>
    <w:p w:rsidR="00B27000" w:rsidRDefault="009570D8" w:rsidP="00844E4B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 xml:space="preserve">Firm &amp; Fixed Hourly Rates (Table 2), </w:t>
      </w:r>
    </w:p>
    <w:p w:rsidR="00B27000" w:rsidRDefault="009570D8" w:rsidP="00844E4B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>Firm Subsistence and Travel rates (Table 3),</w:t>
      </w:r>
    </w:p>
    <w:p w:rsidR="00B27000" w:rsidRDefault="009570D8" w:rsidP="00844E4B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 xml:space="preserve"> Firm Uplift on Sub-Contract work (£y x </w:t>
      </w:r>
      <w:proofErr w:type="gramStart"/>
      <w:r w:rsidRPr="009570D8">
        <w:rPr>
          <w:rFonts w:ascii="Arial" w:eastAsia="Times New Roman" w:hAnsi="Arial" w:cs="Times New Roman"/>
          <w:szCs w:val="24"/>
        </w:rPr>
        <w:t>1.0X%</w:t>
      </w:r>
      <w:proofErr w:type="gramEnd"/>
      <w:r w:rsidRPr="009570D8">
        <w:rPr>
          <w:rFonts w:ascii="Arial" w:eastAsia="Times New Roman" w:hAnsi="Arial" w:cs="Times New Roman"/>
          <w:szCs w:val="24"/>
        </w:rPr>
        <w:t xml:space="preserve">) (Table 4), </w:t>
      </w:r>
    </w:p>
    <w:p w:rsidR="00B27000" w:rsidRDefault="009570D8" w:rsidP="00844E4B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 xml:space="preserve">Firm Discounts on Generic Tasks Table 5), </w:t>
      </w:r>
    </w:p>
    <w:p w:rsidR="00B27000" w:rsidRDefault="009570D8" w:rsidP="00844E4B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 xml:space="preserve">Illustrative Pricing of Generic Tasks based on Firm </w:t>
      </w:r>
      <w:r w:rsidR="00FF7099">
        <w:rPr>
          <w:rFonts w:ascii="Arial" w:eastAsia="Times New Roman" w:hAnsi="Arial" w:cs="Times New Roman"/>
          <w:szCs w:val="24"/>
        </w:rPr>
        <w:t xml:space="preserve">Hourly </w:t>
      </w:r>
      <w:r w:rsidRPr="009570D8">
        <w:rPr>
          <w:rFonts w:ascii="Arial" w:eastAsia="Times New Roman" w:hAnsi="Arial" w:cs="Times New Roman"/>
          <w:szCs w:val="24"/>
        </w:rPr>
        <w:t>Rates (Table 6)</w:t>
      </w:r>
      <w:r w:rsidR="00003319">
        <w:rPr>
          <w:rFonts w:ascii="Arial" w:eastAsia="Times New Roman" w:hAnsi="Arial" w:cs="Times New Roman"/>
          <w:szCs w:val="24"/>
        </w:rPr>
        <w:t xml:space="preserve"> </w:t>
      </w:r>
    </w:p>
    <w:p w:rsidR="009570D8" w:rsidRPr="009570D8" w:rsidRDefault="009570D8" w:rsidP="009570D8">
      <w:pPr>
        <w:spacing w:after="0" w:line="240" w:lineRule="auto"/>
        <w:ind w:left="720"/>
        <w:contextualSpacing/>
        <w:rPr>
          <w:rFonts w:ascii="Arial" w:eastAsia="Times New Roman" w:hAnsi="Arial" w:cs="Times New Roman"/>
          <w:szCs w:val="24"/>
        </w:rPr>
      </w:pPr>
    </w:p>
    <w:p w:rsidR="00003319" w:rsidRDefault="00865558" w:rsidP="009570D8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t>Tenderer is to p</w:t>
      </w:r>
      <w:r w:rsidR="009570D8" w:rsidRPr="009570D8">
        <w:rPr>
          <w:rFonts w:ascii="Arial" w:eastAsia="Times New Roman" w:hAnsi="Arial" w:cs="Times New Roman"/>
          <w:szCs w:val="24"/>
        </w:rPr>
        <w:t xml:space="preserve">opulate the tables below and submit these with their response to this Invitation to Negotiate. </w:t>
      </w:r>
      <w:r w:rsidR="00003319">
        <w:rPr>
          <w:rFonts w:ascii="Arial" w:eastAsia="Times New Roman" w:hAnsi="Arial" w:cs="Times New Roman"/>
          <w:szCs w:val="24"/>
        </w:rPr>
        <w:t>As you will note in Schedule 2 we have inserted dates based on an assumed start date of 14 Aug 2017.  The following guidance is provided:</w:t>
      </w:r>
    </w:p>
    <w:p w:rsidR="00003319" w:rsidRDefault="00003319" w:rsidP="00003319">
      <w:pPr>
        <w:spacing w:after="0" w:line="240" w:lineRule="auto"/>
        <w:ind w:left="720"/>
        <w:contextualSpacing/>
        <w:rPr>
          <w:rFonts w:ascii="Arial" w:eastAsia="Times New Roman" w:hAnsi="Arial" w:cs="Times New Roman"/>
          <w:szCs w:val="24"/>
        </w:rPr>
      </w:pPr>
    </w:p>
    <w:p w:rsidR="000020B9" w:rsidRPr="00FF7099" w:rsidRDefault="00003319" w:rsidP="00FF7099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Times New Roman"/>
          <w:szCs w:val="24"/>
        </w:rPr>
      </w:pPr>
      <w:r w:rsidRPr="00FF7099">
        <w:rPr>
          <w:rFonts w:ascii="Arial" w:eastAsia="Times New Roman" w:hAnsi="Arial" w:cs="Times New Roman"/>
          <w:szCs w:val="24"/>
        </w:rPr>
        <w:t>Table 1 – Requires Firm Prices for Firm Tasks</w:t>
      </w:r>
      <w:r w:rsidR="009570D8" w:rsidRPr="00FF7099">
        <w:rPr>
          <w:rFonts w:ascii="Arial" w:eastAsia="Times New Roman" w:hAnsi="Arial" w:cs="Times New Roman"/>
          <w:szCs w:val="24"/>
        </w:rPr>
        <w:t xml:space="preserve"> </w:t>
      </w:r>
      <w:r w:rsidRPr="00FF7099">
        <w:rPr>
          <w:rFonts w:ascii="Arial" w:eastAsia="Times New Roman" w:hAnsi="Arial" w:cs="Times New Roman"/>
          <w:szCs w:val="24"/>
        </w:rPr>
        <w:t>detailed at Schedule 2 (Statement of Technical Requirement) taking specifically into account the Requirement, Deliverables, Acceptance Criteria, dates, and other requirements within this ITN.</w:t>
      </w:r>
      <w:r w:rsidR="000020B9" w:rsidRPr="00FF7099">
        <w:rPr>
          <w:rFonts w:ascii="Arial" w:eastAsia="Times New Roman" w:hAnsi="Arial" w:cs="Times New Roman"/>
          <w:szCs w:val="24"/>
        </w:rPr>
        <w:t xml:space="preserve"> In addition to the Firm Prices, the Authority would request you provide as an Attachment to your response to this Annex, a breakdown for each Firm Task’s Firm Price for Table 1 </w:t>
      </w:r>
      <w:r w:rsidR="00F518E8" w:rsidRPr="00FF7099">
        <w:rPr>
          <w:rFonts w:ascii="Arial" w:eastAsia="Times New Roman" w:hAnsi="Arial" w:cs="Times New Roman"/>
          <w:szCs w:val="24"/>
        </w:rPr>
        <w:t>showing: Labour Type</w:t>
      </w:r>
      <w:r w:rsidR="000020B9" w:rsidRPr="00FF7099">
        <w:rPr>
          <w:rFonts w:ascii="Arial" w:eastAsia="Times New Roman" w:hAnsi="Arial" w:cs="Times New Roman"/>
          <w:szCs w:val="24"/>
        </w:rPr>
        <w:t>, number of hours, hourly rates, subcontract</w:t>
      </w:r>
      <w:r w:rsidR="00F518E8" w:rsidRPr="00FF7099">
        <w:rPr>
          <w:rFonts w:ascii="Arial" w:eastAsia="Times New Roman" w:hAnsi="Arial" w:cs="Times New Roman"/>
          <w:szCs w:val="24"/>
        </w:rPr>
        <w:t xml:space="preserve"> value</w:t>
      </w:r>
      <w:r w:rsidR="000020B9" w:rsidRPr="00FF7099">
        <w:rPr>
          <w:rFonts w:ascii="Arial" w:eastAsia="Times New Roman" w:hAnsi="Arial" w:cs="Times New Roman"/>
          <w:szCs w:val="24"/>
        </w:rPr>
        <w:t xml:space="preserve">, subcontract uplift, subsistence and travel (where additional to inclusive subsistence and travel). This should be provided as an attachment to your response to this Appendix. </w:t>
      </w:r>
      <w:r w:rsidR="00F518E8" w:rsidRPr="00FF7099">
        <w:rPr>
          <w:rFonts w:ascii="Arial" w:eastAsia="Times New Roman" w:hAnsi="Arial" w:cs="Times New Roman"/>
          <w:szCs w:val="24"/>
        </w:rPr>
        <w:t xml:space="preserve"> Labour rate shall include travel to MoD Abbey Wood or Corsham.</w:t>
      </w:r>
    </w:p>
    <w:p w:rsidR="001B4F7D" w:rsidRPr="001B4F7D" w:rsidRDefault="00003319" w:rsidP="001B4F7D">
      <w:pPr>
        <w:spacing w:after="0" w:line="240" w:lineRule="auto"/>
        <w:ind w:left="1701"/>
        <w:contextualSpacing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t>Note</w:t>
      </w:r>
      <w:r w:rsidR="0023642A">
        <w:rPr>
          <w:rFonts w:ascii="Arial" w:eastAsia="Times New Roman" w:hAnsi="Arial" w:cs="Times New Roman"/>
          <w:szCs w:val="24"/>
        </w:rPr>
        <w:t>: 1</w:t>
      </w:r>
      <w:proofErr w:type="gramStart"/>
      <w:r w:rsidR="0023642A">
        <w:rPr>
          <w:rFonts w:ascii="Arial" w:eastAsia="Times New Roman" w:hAnsi="Arial" w:cs="Times New Roman"/>
          <w:szCs w:val="24"/>
        </w:rPr>
        <w:t xml:space="preserve">. </w:t>
      </w:r>
      <w:r>
        <w:rPr>
          <w:rFonts w:ascii="Arial" w:eastAsia="Times New Roman" w:hAnsi="Arial" w:cs="Times New Roman"/>
          <w:szCs w:val="24"/>
        </w:rPr>
        <w:t xml:space="preserve"> Item</w:t>
      </w:r>
      <w:proofErr w:type="gramEnd"/>
      <w:r>
        <w:rPr>
          <w:rFonts w:ascii="Arial" w:eastAsia="Times New Roman" w:hAnsi="Arial" w:cs="Times New Roman"/>
          <w:szCs w:val="24"/>
        </w:rPr>
        <w:t xml:space="preserve"> 1</w:t>
      </w:r>
      <w:r w:rsidR="0023642A">
        <w:rPr>
          <w:rFonts w:ascii="Arial" w:eastAsia="Times New Roman" w:hAnsi="Arial" w:cs="Times New Roman"/>
          <w:szCs w:val="24"/>
        </w:rPr>
        <w:t>.1</w:t>
      </w:r>
      <w:r>
        <w:rPr>
          <w:rFonts w:ascii="Arial" w:eastAsia="Times New Roman" w:hAnsi="Arial" w:cs="Times New Roman"/>
          <w:szCs w:val="24"/>
        </w:rPr>
        <w:t xml:space="preserve"> </w:t>
      </w:r>
      <w:r w:rsidR="00F518E8">
        <w:rPr>
          <w:rFonts w:ascii="Arial" w:eastAsia="Times New Roman" w:hAnsi="Arial" w:cs="Times New Roman"/>
          <w:szCs w:val="24"/>
        </w:rPr>
        <w:t xml:space="preserve">in Schedule 1 (Schedule of Requirement) </w:t>
      </w:r>
      <w:r>
        <w:rPr>
          <w:rFonts w:ascii="Arial" w:eastAsia="Times New Roman" w:hAnsi="Arial" w:cs="Times New Roman"/>
          <w:szCs w:val="24"/>
        </w:rPr>
        <w:t xml:space="preserve">does not required to be priced as this will be calculated as a </w:t>
      </w:r>
      <w:r w:rsidRPr="001B4F7D">
        <w:rPr>
          <w:rFonts w:ascii="Arial" w:eastAsia="Times New Roman" w:hAnsi="Arial" w:cs="Times New Roman"/>
          <w:szCs w:val="24"/>
        </w:rPr>
        <w:t>management fee in addition to the Task Price.</w:t>
      </w:r>
    </w:p>
    <w:p w:rsidR="00003319" w:rsidRPr="001B4F7D" w:rsidRDefault="00003319" w:rsidP="00003319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1B4F7D">
        <w:rPr>
          <w:rFonts w:ascii="Arial" w:eastAsia="Times New Roman" w:hAnsi="Arial" w:cs="Times New Roman"/>
          <w:szCs w:val="24"/>
        </w:rPr>
        <w:t xml:space="preserve">Table 2 – Firm labour rates for the first 4 years of the Contract, </w:t>
      </w:r>
      <w:r w:rsidR="00FD7F42">
        <w:rPr>
          <w:rFonts w:ascii="Arial" w:eastAsia="Times New Roman" w:hAnsi="Arial" w:cs="Times New Roman"/>
          <w:szCs w:val="24"/>
        </w:rPr>
        <w:t>Option</w:t>
      </w:r>
      <w:r w:rsidR="00844E4B">
        <w:rPr>
          <w:rFonts w:ascii="Arial" w:eastAsia="Times New Roman" w:hAnsi="Arial" w:cs="Times New Roman"/>
          <w:szCs w:val="24"/>
        </w:rPr>
        <w:t xml:space="preserve"> 1 </w:t>
      </w:r>
      <w:r w:rsidR="00FD7F42">
        <w:rPr>
          <w:rFonts w:ascii="Arial" w:eastAsia="Times New Roman" w:hAnsi="Arial" w:cs="Times New Roman"/>
          <w:szCs w:val="24"/>
        </w:rPr>
        <w:t>and</w:t>
      </w:r>
      <w:r w:rsidR="00844E4B">
        <w:rPr>
          <w:rFonts w:ascii="Arial" w:eastAsia="Times New Roman" w:hAnsi="Arial" w:cs="Times New Roman"/>
          <w:szCs w:val="24"/>
        </w:rPr>
        <w:t xml:space="preserve"> 2 Year 1 and 2 Extensions</w:t>
      </w:r>
      <w:r w:rsidRPr="001B4F7D">
        <w:rPr>
          <w:rFonts w:ascii="Arial" w:eastAsia="Times New Roman" w:hAnsi="Arial" w:cs="Times New Roman"/>
          <w:szCs w:val="24"/>
        </w:rPr>
        <w:t xml:space="preserve"> and Fixed Price (subject to VOP) for </w:t>
      </w:r>
      <w:proofErr w:type="gramStart"/>
      <w:r w:rsidRPr="001B4F7D">
        <w:rPr>
          <w:rFonts w:ascii="Arial" w:eastAsia="Times New Roman" w:hAnsi="Arial" w:cs="Times New Roman"/>
          <w:szCs w:val="24"/>
        </w:rPr>
        <w:t xml:space="preserve">the </w:t>
      </w:r>
      <w:r w:rsidR="00844E4B">
        <w:rPr>
          <w:rFonts w:ascii="Arial" w:eastAsia="Times New Roman" w:hAnsi="Arial" w:cs="Times New Roman"/>
          <w:szCs w:val="24"/>
          <w:vertAlign w:val="superscript"/>
        </w:rPr>
        <w:t xml:space="preserve"> </w:t>
      </w:r>
      <w:r w:rsidR="00FD7F42">
        <w:rPr>
          <w:rFonts w:ascii="Arial" w:eastAsia="Times New Roman" w:hAnsi="Arial" w:cs="Times New Roman"/>
          <w:szCs w:val="24"/>
        </w:rPr>
        <w:t>Option3</w:t>
      </w:r>
      <w:proofErr w:type="gramEnd"/>
      <w:r w:rsidR="00844E4B">
        <w:rPr>
          <w:rFonts w:ascii="Arial" w:eastAsia="Times New Roman" w:hAnsi="Arial" w:cs="Times New Roman"/>
          <w:szCs w:val="24"/>
        </w:rPr>
        <w:t xml:space="preserve"> Year 3 Extension</w:t>
      </w:r>
      <w:r w:rsidRPr="001B4F7D">
        <w:rPr>
          <w:rFonts w:ascii="Arial" w:eastAsia="Times New Roman" w:hAnsi="Arial" w:cs="Times New Roman"/>
          <w:szCs w:val="24"/>
        </w:rPr>
        <w:t>,  based on an hourly rate</w:t>
      </w:r>
      <w:r w:rsidR="006D7162" w:rsidRPr="001B4F7D">
        <w:rPr>
          <w:rFonts w:ascii="Arial" w:eastAsia="Times New Roman" w:hAnsi="Arial" w:cs="Times New Roman"/>
          <w:szCs w:val="24"/>
        </w:rPr>
        <w:t>. The Firm rate should be fully inclusive, overheads, profit etc.,</w:t>
      </w:r>
      <w:r w:rsidR="001B4F7D">
        <w:rPr>
          <w:rFonts w:ascii="Arial" w:eastAsia="Times New Roman" w:hAnsi="Arial" w:cs="Times New Roman"/>
          <w:szCs w:val="24"/>
        </w:rPr>
        <w:t xml:space="preserve"> </w:t>
      </w:r>
      <w:r w:rsidR="006D7162" w:rsidRPr="001B4F7D">
        <w:rPr>
          <w:rFonts w:ascii="Arial" w:eastAsia="Times New Roman" w:hAnsi="Arial" w:cs="Times New Roman"/>
          <w:szCs w:val="24"/>
        </w:rPr>
        <w:t>and travel and subsi</w:t>
      </w:r>
      <w:r w:rsidR="001B4F7D" w:rsidRPr="001B4F7D">
        <w:rPr>
          <w:rFonts w:ascii="Arial" w:eastAsia="Times New Roman" w:hAnsi="Arial" w:cs="Times New Roman"/>
          <w:szCs w:val="24"/>
        </w:rPr>
        <w:t>s</w:t>
      </w:r>
      <w:r w:rsidR="006D7162" w:rsidRPr="001B4F7D">
        <w:rPr>
          <w:rFonts w:ascii="Arial" w:eastAsia="Times New Roman" w:hAnsi="Arial" w:cs="Times New Roman"/>
          <w:szCs w:val="24"/>
        </w:rPr>
        <w:t>tence</w:t>
      </w:r>
      <w:r w:rsidR="00F518E8" w:rsidRPr="001B4F7D">
        <w:rPr>
          <w:rFonts w:ascii="Arial" w:eastAsia="Times New Roman" w:hAnsi="Arial" w:cs="Times New Roman"/>
          <w:szCs w:val="24"/>
        </w:rPr>
        <w:t xml:space="preserve"> (for travel to MoD Abbey Wood and Corsham).</w:t>
      </w:r>
    </w:p>
    <w:p w:rsidR="00003319" w:rsidRPr="006D7162" w:rsidRDefault="00003319" w:rsidP="00003319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 w:rsidRPr="006D7162">
        <w:rPr>
          <w:rFonts w:ascii="Arial" w:eastAsia="Times New Roman" w:hAnsi="Arial" w:cs="Times New Roman"/>
          <w:szCs w:val="24"/>
        </w:rPr>
        <w:t>Table 3 –</w:t>
      </w:r>
      <w:r w:rsidR="00B27000" w:rsidRPr="006D7162">
        <w:rPr>
          <w:rFonts w:ascii="Arial" w:eastAsia="Times New Roman" w:hAnsi="Arial" w:cs="Times New Roman"/>
          <w:szCs w:val="24"/>
        </w:rPr>
        <w:t xml:space="preserve"> Firm</w:t>
      </w:r>
      <w:r w:rsidRPr="006D7162">
        <w:rPr>
          <w:rFonts w:ascii="Arial" w:eastAsia="Times New Roman" w:hAnsi="Arial" w:cs="Times New Roman"/>
          <w:szCs w:val="24"/>
        </w:rPr>
        <w:t xml:space="preserve"> Subsistence and Travel rates, </w:t>
      </w:r>
      <w:r w:rsidR="00B27000" w:rsidRPr="006D7162">
        <w:rPr>
          <w:rFonts w:ascii="Arial" w:eastAsia="Times New Roman" w:hAnsi="Arial" w:cs="Times New Roman"/>
          <w:szCs w:val="24"/>
        </w:rPr>
        <w:t xml:space="preserve">for all </w:t>
      </w:r>
      <w:proofErr w:type="gramStart"/>
      <w:r w:rsidR="00B27000" w:rsidRPr="006D7162">
        <w:rPr>
          <w:rFonts w:ascii="Arial" w:eastAsia="Times New Roman" w:hAnsi="Arial" w:cs="Times New Roman"/>
          <w:szCs w:val="24"/>
        </w:rPr>
        <w:t xml:space="preserve">periods </w:t>
      </w:r>
      <w:r w:rsidRPr="006D7162">
        <w:rPr>
          <w:rFonts w:ascii="Arial" w:eastAsia="Times New Roman" w:hAnsi="Arial" w:cs="Times New Roman"/>
          <w:szCs w:val="24"/>
        </w:rPr>
        <w:t>.</w:t>
      </w:r>
      <w:proofErr w:type="gramEnd"/>
    </w:p>
    <w:p w:rsidR="00003319" w:rsidRDefault="00003319" w:rsidP="00003319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t>Table 4 – Firm percentage uplift on sub-contract work</w:t>
      </w:r>
    </w:p>
    <w:p w:rsidR="00003319" w:rsidRDefault="00003319" w:rsidP="00003319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lastRenderedPageBreak/>
        <w:t xml:space="preserve">Table 5 – </w:t>
      </w:r>
      <w:r w:rsidR="007C1637">
        <w:rPr>
          <w:rFonts w:ascii="Arial" w:eastAsia="Times New Roman" w:hAnsi="Arial" w:cs="Times New Roman"/>
          <w:szCs w:val="24"/>
        </w:rPr>
        <w:t xml:space="preserve">requires Tenderer to provide a </w:t>
      </w:r>
      <w:r>
        <w:rPr>
          <w:rFonts w:ascii="Arial" w:eastAsia="Times New Roman" w:hAnsi="Arial" w:cs="Times New Roman"/>
          <w:szCs w:val="24"/>
        </w:rPr>
        <w:t>Discount</w:t>
      </w:r>
      <w:r w:rsidR="007C1637">
        <w:rPr>
          <w:rFonts w:ascii="Arial" w:eastAsia="Times New Roman" w:hAnsi="Arial" w:cs="Times New Roman"/>
          <w:szCs w:val="24"/>
        </w:rPr>
        <w:t xml:space="preserve"> for</w:t>
      </w:r>
      <w:r>
        <w:rPr>
          <w:rFonts w:ascii="Arial" w:eastAsia="Times New Roman" w:hAnsi="Arial" w:cs="Times New Roman"/>
          <w:szCs w:val="24"/>
        </w:rPr>
        <w:t xml:space="preserve"> additional work contracted for (Generic Tasks) </w:t>
      </w:r>
      <w:r w:rsidR="007C1637">
        <w:rPr>
          <w:rFonts w:ascii="Arial" w:eastAsia="Times New Roman" w:hAnsi="Arial" w:cs="Times New Roman"/>
          <w:szCs w:val="24"/>
        </w:rPr>
        <w:t>for any 12mth period (or part thereof) following contract award.</w:t>
      </w:r>
    </w:p>
    <w:p w:rsidR="007C1637" w:rsidRDefault="007C1637" w:rsidP="00003319">
      <w:pPr>
        <w:numPr>
          <w:ilvl w:val="1"/>
          <w:numId w:val="4"/>
        </w:numPr>
        <w:spacing w:after="0" w:line="240" w:lineRule="auto"/>
        <w:contextualSpacing/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t>Table 6 – Illustrative Pricing – Contractor shall populate the day rates and other values for sub-contract uplift and subsistence and travel based on the values and descriptions in Table 6. This Table</w:t>
      </w:r>
      <w:r w:rsidR="00865558">
        <w:rPr>
          <w:rFonts w:ascii="Arial" w:eastAsia="Times New Roman" w:hAnsi="Arial" w:cs="Times New Roman"/>
          <w:szCs w:val="24"/>
        </w:rPr>
        <w:t xml:space="preserve"> is provided in Excel; </w:t>
      </w:r>
      <w:r>
        <w:rPr>
          <w:rFonts w:ascii="Arial" w:eastAsia="Times New Roman" w:hAnsi="Arial" w:cs="Times New Roman"/>
          <w:szCs w:val="24"/>
        </w:rPr>
        <w:t>you should delete the descriptors and insert the value associated with the sub-contract value (</w:t>
      </w:r>
      <w:proofErr w:type="spellStart"/>
      <w:r>
        <w:rPr>
          <w:rFonts w:ascii="Arial" w:eastAsia="Times New Roman" w:hAnsi="Arial" w:cs="Times New Roman"/>
          <w:szCs w:val="24"/>
        </w:rPr>
        <w:t>incl</w:t>
      </w:r>
      <w:proofErr w:type="spellEnd"/>
      <w:r>
        <w:rPr>
          <w:rFonts w:ascii="Arial" w:eastAsia="Times New Roman" w:hAnsi="Arial" w:cs="Times New Roman"/>
          <w:szCs w:val="24"/>
        </w:rPr>
        <w:t xml:space="preserve"> uplift) and total subsistence and travel (and provide explanation of the calculation separately</w:t>
      </w:r>
      <w:r w:rsidR="00865558">
        <w:rPr>
          <w:rFonts w:ascii="Arial" w:eastAsia="Times New Roman" w:hAnsi="Arial" w:cs="Times New Roman"/>
          <w:szCs w:val="24"/>
        </w:rPr>
        <w:t>)</w:t>
      </w:r>
      <w:r>
        <w:rPr>
          <w:rFonts w:ascii="Arial" w:eastAsia="Times New Roman" w:hAnsi="Arial" w:cs="Times New Roman"/>
          <w:szCs w:val="24"/>
        </w:rPr>
        <w:t>.</w:t>
      </w:r>
    </w:p>
    <w:p w:rsidR="00865558" w:rsidRDefault="00865558">
      <w:pPr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br w:type="page"/>
      </w: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tbl>
      <w:tblPr>
        <w:tblStyle w:val="TableGrid"/>
        <w:tblW w:w="0" w:type="auto"/>
        <w:tblInd w:w="1814" w:type="dxa"/>
        <w:tblLook w:val="04A0" w:firstRow="1" w:lastRow="0" w:firstColumn="1" w:lastColumn="0" w:noHBand="0" w:noVBand="1"/>
      </w:tblPr>
      <w:tblGrid>
        <w:gridCol w:w="776"/>
        <w:gridCol w:w="7826"/>
        <w:gridCol w:w="2126"/>
      </w:tblGrid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b/>
                <w:szCs w:val="24"/>
              </w:rPr>
            </w:pPr>
            <w:r w:rsidRPr="009570D8">
              <w:rPr>
                <w:rFonts w:ascii="Arial" w:eastAsia="Times New Roman" w:hAnsi="Arial" w:cs="Times New Roman"/>
                <w:b/>
                <w:szCs w:val="24"/>
              </w:rPr>
              <w:t>Item No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 w:rsidRPr="009570D8">
              <w:rPr>
                <w:rFonts w:ascii="Arial" w:eastAsia="Times New Roman" w:hAnsi="Arial" w:cs="Times New Roman"/>
                <w:b/>
                <w:szCs w:val="24"/>
              </w:rPr>
              <w:t>Description</w:t>
            </w:r>
          </w:p>
        </w:tc>
        <w:tc>
          <w:tcPr>
            <w:tcW w:w="2126" w:type="dxa"/>
          </w:tcPr>
          <w:p w:rsidR="0015044B" w:rsidRDefault="0015044B" w:rsidP="00F518E8">
            <w:pPr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Cs w:val="24"/>
              </w:rPr>
              <w:t xml:space="preserve">Total </w:t>
            </w:r>
            <w:r w:rsidR="00003319" w:rsidRPr="009570D8">
              <w:rPr>
                <w:rFonts w:ascii="Arial" w:eastAsia="Times New Roman" w:hAnsi="Arial" w:cs="Times New Roman"/>
                <w:b/>
                <w:szCs w:val="24"/>
              </w:rPr>
              <w:t>Firm Price</w:t>
            </w:r>
          </w:p>
          <w:p w:rsidR="00003319" w:rsidRPr="009570D8" w:rsidRDefault="0015044B" w:rsidP="00F518E8">
            <w:pPr>
              <w:jc w:val="center"/>
              <w:rPr>
                <w:rFonts w:ascii="Arial" w:eastAsia="Times New Roman" w:hAnsi="Arial" w:cs="Times New Roman"/>
                <w:b/>
                <w:szCs w:val="24"/>
              </w:rPr>
            </w:pPr>
            <w:r>
              <w:rPr>
                <w:rFonts w:ascii="Arial" w:eastAsia="Times New Roman" w:hAnsi="Arial" w:cs="Times New Roman"/>
                <w:b/>
                <w:szCs w:val="24"/>
              </w:rPr>
              <w:t>(ex VAT)</w:t>
            </w: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 w:rsidRPr="009570D8">
              <w:rPr>
                <w:rFonts w:ascii="Arial" w:eastAsia="Times New Roman" w:hAnsi="Arial" w:cs="Times New Roman"/>
                <w:szCs w:val="24"/>
              </w:rPr>
              <w:t>1</w:t>
            </w:r>
            <w:r w:rsidR="00865558">
              <w:rPr>
                <w:rFonts w:ascii="Arial" w:eastAsia="Times New Roman" w:hAnsi="Arial" w:cs="Times New Roman"/>
                <w:szCs w:val="24"/>
              </w:rPr>
              <w:t>.</w:t>
            </w:r>
            <w:r>
              <w:rPr>
                <w:rFonts w:ascii="Arial" w:eastAsia="Times New Roman" w:hAnsi="Arial" w:cs="Times New Roman"/>
                <w:szCs w:val="24"/>
              </w:rPr>
              <w:t>1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Management and Co-ordination</w:t>
            </w:r>
          </w:p>
        </w:tc>
        <w:tc>
          <w:tcPr>
            <w:tcW w:w="2126" w:type="dxa"/>
          </w:tcPr>
          <w:p w:rsidR="00A9521A" w:rsidRDefault="00003319" w:rsidP="00F518E8">
            <w:pPr>
              <w:jc w:val="center"/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N/A</w:t>
            </w:r>
          </w:p>
          <w:p w:rsidR="00003319" w:rsidRPr="009570D8" w:rsidRDefault="008137FB" w:rsidP="00F518E8">
            <w:pPr>
              <w:jc w:val="center"/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(see Clause 11.1.7</w:t>
            </w:r>
            <w:r w:rsidR="0015044B">
              <w:rPr>
                <w:rFonts w:ascii="Arial" w:eastAsia="Times New Roman" w:hAnsi="Arial" w:cs="Times New Roman"/>
                <w:szCs w:val="24"/>
              </w:rPr>
              <w:t>)</w:t>
            </w: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 w:rsidRPr="009570D8">
              <w:rPr>
                <w:rFonts w:ascii="Arial" w:eastAsia="Times New Roman" w:hAnsi="Arial" w:cs="Times New Roman"/>
                <w:szCs w:val="24"/>
              </w:rPr>
              <w:t>1</w:t>
            </w:r>
            <w:r>
              <w:rPr>
                <w:rFonts w:ascii="Arial" w:eastAsia="Times New Roman" w:hAnsi="Arial" w:cs="Times New Roman"/>
                <w:szCs w:val="24"/>
              </w:rPr>
              <w:t>.2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Develop the Integrated Logistics Support Specification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1.3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Develop the Integrated Support Plan and Support Solution Development Tool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1.4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Technical Specification Training and Mentoring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 xml:space="preserve">1.5 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Operational Profile Analysis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Default="00003319" w:rsidP="00FF42A3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 xml:space="preserve">1.6 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Cargo Technical Specification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1.7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Shore Facilities &amp; Mooring Arrangement Study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1.8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Through Life Cost Assessment Strategy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Default="00003319" w:rsidP="00FF42A3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 xml:space="preserve">1.9 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Munitions Technical Specification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865558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1.</w:t>
            </w:r>
            <w:r w:rsidR="00003319">
              <w:rPr>
                <w:rFonts w:ascii="Arial" w:eastAsia="Times New Roman" w:hAnsi="Arial" w:cs="Times New Roman"/>
                <w:szCs w:val="24"/>
              </w:rPr>
              <w:t>10</w:t>
            </w: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>
              <w:rPr>
                <w:rFonts w:ascii="Arial" w:eastAsia="Times New Roman" w:hAnsi="Arial" w:cs="Times New Roman"/>
                <w:szCs w:val="24"/>
              </w:rPr>
              <w:t>Ships Husbandry Review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003319" w:rsidRPr="009570D8" w:rsidTr="00B27000">
        <w:tc>
          <w:tcPr>
            <w:tcW w:w="77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  <w:tc>
          <w:tcPr>
            <w:tcW w:w="78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  <w:r w:rsidRPr="009570D8">
              <w:rPr>
                <w:rFonts w:ascii="Arial" w:eastAsia="Times New Roman" w:hAnsi="Arial" w:cs="Times New Roman"/>
                <w:szCs w:val="24"/>
              </w:rPr>
              <w:t>Total Firm Price</w:t>
            </w:r>
          </w:p>
        </w:tc>
        <w:tc>
          <w:tcPr>
            <w:tcW w:w="2126" w:type="dxa"/>
          </w:tcPr>
          <w:p w:rsidR="00003319" w:rsidRPr="009570D8" w:rsidRDefault="00003319" w:rsidP="009570D8">
            <w:pPr>
              <w:rPr>
                <w:rFonts w:ascii="Arial" w:eastAsia="Times New Roman" w:hAnsi="Arial" w:cs="Times New Roman"/>
                <w:szCs w:val="24"/>
              </w:rPr>
            </w:pPr>
          </w:p>
        </w:tc>
      </w:tr>
    </w:tbl>
    <w:p w:rsid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9570D8">
        <w:rPr>
          <w:rFonts w:ascii="Arial" w:eastAsia="Times New Roman" w:hAnsi="Arial" w:cs="Times New Roman"/>
          <w:b/>
          <w:szCs w:val="24"/>
        </w:rPr>
        <w:t>Table 1</w:t>
      </w:r>
      <w:r w:rsidR="005852A8">
        <w:rPr>
          <w:rFonts w:ascii="Arial" w:eastAsia="Times New Roman" w:hAnsi="Arial" w:cs="Times New Roman"/>
          <w:b/>
          <w:szCs w:val="24"/>
        </w:rPr>
        <w:t xml:space="preserve"> - </w:t>
      </w:r>
      <w:r w:rsidRPr="009570D8">
        <w:rPr>
          <w:rFonts w:ascii="Arial" w:eastAsia="Times New Roman" w:hAnsi="Arial" w:cs="Times New Roman"/>
          <w:b/>
          <w:szCs w:val="24"/>
        </w:rPr>
        <w:t>Firm Task Pricing</w:t>
      </w:r>
    </w:p>
    <w:p w:rsidR="00FF7099" w:rsidRDefault="00FF7099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FF7099" w:rsidRPr="00FF7099" w:rsidRDefault="00FF7099" w:rsidP="00FF7099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FF7099">
        <w:rPr>
          <w:rFonts w:ascii="Arial" w:eastAsia="Times New Roman" w:hAnsi="Arial" w:cs="Times New Roman"/>
          <w:szCs w:val="24"/>
        </w:rPr>
        <w:t xml:space="preserve">Note: </w:t>
      </w:r>
      <w:r w:rsidR="00636C1B">
        <w:rPr>
          <w:rFonts w:ascii="Arial" w:eastAsia="Times New Roman" w:hAnsi="Arial" w:cs="Times New Roman"/>
          <w:szCs w:val="24"/>
        </w:rPr>
        <w:t xml:space="preserve">1. </w:t>
      </w:r>
      <w:r w:rsidRPr="00FF7099">
        <w:rPr>
          <w:rFonts w:ascii="Arial" w:eastAsia="Times New Roman" w:hAnsi="Arial" w:cs="Times New Roman"/>
          <w:szCs w:val="24"/>
        </w:rPr>
        <w:t>Contractor is requested to provide the breakdown for each Task Firm price, in the format at Schedule 4 Annex A.</w:t>
      </w:r>
    </w:p>
    <w:p w:rsidR="00865558" w:rsidRDefault="0086555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Default="00865558" w:rsidP="000020B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4338D3" w:rsidRDefault="004338D3" w:rsidP="00F518E8">
      <w:pPr>
        <w:ind w:left="1701"/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br w:type="page"/>
      </w:r>
    </w:p>
    <w:tbl>
      <w:tblPr>
        <w:tblpPr w:leftFromText="180" w:rightFromText="180" w:vertAnchor="text" w:horzAnchor="page" w:tblpX="2025" w:tblpY="-280"/>
        <w:tblW w:w="11448" w:type="dxa"/>
        <w:tblLayout w:type="fixed"/>
        <w:tblLook w:val="04A0" w:firstRow="1" w:lastRow="0" w:firstColumn="1" w:lastColumn="0" w:noHBand="0" w:noVBand="1"/>
      </w:tblPr>
      <w:tblGrid>
        <w:gridCol w:w="3652"/>
        <w:gridCol w:w="1299"/>
        <w:gridCol w:w="1299"/>
        <w:gridCol w:w="1300"/>
        <w:gridCol w:w="1299"/>
        <w:gridCol w:w="1299"/>
        <w:gridCol w:w="1300"/>
      </w:tblGrid>
      <w:tr w:rsidR="00B27000" w:rsidRPr="009570D8" w:rsidTr="00AD264F">
        <w:trPr>
          <w:trHeight w:val="55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6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Firm Priced</w:t>
            </w:r>
          </w:p>
          <w:p w:rsidR="00B27000" w:rsidRPr="009570D8" w:rsidRDefault="0015044B" w:rsidP="00AD26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(ex VAT)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Fixed Price</w:t>
            </w:r>
          </w:p>
          <w:p w:rsidR="00B27000" w:rsidRPr="009570D8" w:rsidRDefault="0015044B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(ex VAT)</w:t>
            </w:r>
          </w:p>
        </w:tc>
      </w:tr>
      <w:tr w:rsidR="00B27000" w:rsidRPr="009570D8" w:rsidTr="00C032A9">
        <w:trPr>
          <w:trHeight w:val="6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Labour Type/Description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7000" w:rsidRPr="009570D8" w:rsidRDefault="00B27000" w:rsidP="00C032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Contract </w:t>
            </w:r>
            <w:r w:rsidR="00DB42E7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Commencement</w:t>
            </w: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 to 31 Mar 2018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9570D8" w:rsidRDefault="00B27000" w:rsidP="00C032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 Apr 2018 to 31 Mar 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9570D8" w:rsidRDefault="00B27000" w:rsidP="00C032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 Apr 19 to 31 Mar 2020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9570D8" w:rsidRDefault="00B27000" w:rsidP="00C032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 Apr 2020 to 31 Mar 2021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9570D8" w:rsidRDefault="00B27000" w:rsidP="00C032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 Apr 2021 to 31 Mar 2022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9570D8" w:rsidRDefault="00B27000" w:rsidP="00C032A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1 Apr 2022 to 31 Mar 2023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  <w:r w:rsidR="00511C9D">
              <w:rPr>
                <w:rFonts w:ascii="Calibri" w:eastAsia="Times New Roman" w:hAnsi="Calibri" w:cs="Times New Roman"/>
                <w:color w:val="000000"/>
                <w:lang w:eastAsia="en-GB"/>
              </w:rPr>
              <w:t>ea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511C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  <w:r w:rsidR="00511C9D">
              <w:rPr>
                <w:rFonts w:ascii="Calibri" w:eastAsia="Times New Roman" w:hAnsi="Calibri" w:cs="Times New Roman"/>
                <w:color w:val="000000"/>
                <w:lang w:eastAsia="en-GB"/>
              </w:rPr>
              <w:t>ea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511C9D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Year 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Default="00B27000" w:rsidP="00A427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 w:rsidR="00A4273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Option </w:t>
            </w:r>
          </w:p>
          <w:p w:rsidR="00A42737" w:rsidRPr="009570D8" w:rsidRDefault="00A42737" w:rsidP="00A427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Year 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34" w:rsidRDefault="007F4034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Option </w:t>
            </w:r>
          </w:p>
          <w:p w:rsidR="00B27000" w:rsidRPr="009570D8" w:rsidRDefault="00A42737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Year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034" w:rsidRDefault="007F4034" w:rsidP="00511C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Option </w:t>
            </w:r>
          </w:p>
          <w:p w:rsidR="00B27000" w:rsidRPr="009570D8" w:rsidRDefault="00A42737" w:rsidP="00511C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Year 3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27000" w:rsidRPr="009570D8" w:rsidTr="00B27000">
        <w:trPr>
          <w:trHeight w:val="300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9570D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9570D8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865558" w:rsidRDefault="0086555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1F514D" w:rsidRDefault="001F514D" w:rsidP="00003319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1F514D" w:rsidRDefault="001F514D" w:rsidP="00B27000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1F514D" w:rsidRDefault="001F514D" w:rsidP="00B27000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15044B" w:rsidRDefault="0015044B" w:rsidP="00B27000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1F514D" w:rsidRPr="009570D8" w:rsidRDefault="001F514D" w:rsidP="00B27000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AA2747" w:rsidRDefault="00AA2747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AA2747" w:rsidRDefault="00AA2747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AA2747" w:rsidRDefault="00AA2747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AA2747" w:rsidRDefault="00AA2747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DB42E7" w:rsidRDefault="00DB42E7" w:rsidP="00A9521A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Default="00A9521A" w:rsidP="00AD264F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9570D8">
        <w:rPr>
          <w:rFonts w:ascii="Arial" w:eastAsia="Times New Roman" w:hAnsi="Arial" w:cs="Times New Roman"/>
          <w:b/>
          <w:szCs w:val="24"/>
        </w:rPr>
        <w:t>Table 2</w:t>
      </w:r>
      <w:r>
        <w:rPr>
          <w:rFonts w:ascii="Arial" w:eastAsia="Times New Roman" w:hAnsi="Arial" w:cs="Times New Roman"/>
          <w:b/>
          <w:szCs w:val="24"/>
        </w:rPr>
        <w:t xml:space="preserve"> </w:t>
      </w:r>
      <w:r w:rsidR="005852A8">
        <w:rPr>
          <w:rFonts w:ascii="Arial" w:eastAsia="Times New Roman" w:hAnsi="Arial" w:cs="Times New Roman"/>
          <w:b/>
          <w:szCs w:val="24"/>
        </w:rPr>
        <w:t xml:space="preserve">- </w:t>
      </w:r>
      <w:r w:rsidRPr="009570D8">
        <w:rPr>
          <w:rFonts w:ascii="Arial" w:eastAsia="Times New Roman" w:hAnsi="Arial" w:cs="Times New Roman"/>
          <w:b/>
          <w:szCs w:val="24"/>
        </w:rPr>
        <w:t>Firm &amp; Fixed Hourly Rates</w:t>
      </w:r>
    </w:p>
    <w:p w:rsidR="00003319" w:rsidRDefault="009570D8" w:rsidP="00FD7F42">
      <w:pPr>
        <w:spacing w:after="0" w:line="240" w:lineRule="auto"/>
        <w:ind w:left="709" w:hanging="709"/>
        <w:rPr>
          <w:rFonts w:ascii="Arial" w:eastAsia="Times New Roman" w:hAnsi="Arial" w:cs="Times New Roman"/>
          <w:szCs w:val="24"/>
        </w:rPr>
      </w:pPr>
      <w:r w:rsidRPr="009570D8">
        <w:rPr>
          <w:rFonts w:ascii="Arial" w:eastAsia="Times New Roman" w:hAnsi="Arial" w:cs="Times New Roman"/>
          <w:szCs w:val="24"/>
        </w:rPr>
        <w:t>Note:</w:t>
      </w:r>
      <w:r w:rsidR="00844E4B">
        <w:rPr>
          <w:rFonts w:ascii="Arial" w:eastAsia="Times New Roman" w:hAnsi="Arial" w:cs="Times New Roman"/>
          <w:szCs w:val="24"/>
        </w:rPr>
        <w:tab/>
      </w:r>
      <w:r w:rsidR="0015044B">
        <w:rPr>
          <w:rFonts w:ascii="Arial" w:eastAsia="Times New Roman" w:hAnsi="Arial" w:cs="Times New Roman"/>
          <w:szCs w:val="24"/>
        </w:rPr>
        <w:t>1</w:t>
      </w:r>
      <w:r w:rsidR="00FD7F42">
        <w:rPr>
          <w:rFonts w:ascii="Arial" w:eastAsia="Times New Roman" w:hAnsi="Arial" w:cs="Times New Roman"/>
          <w:szCs w:val="24"/>
        </w:rPr>
        <w:t>.</w:t>
      </w:r>
      <w:r w:rsidR="0015044B">
        <w:rPr>
          <w:rFonts w:ascii="Arial" w:eastAsia="Times New Roman" w:hAnsi="Arial" w:cs="Times New Roman"/>
          <w:szCs w:val="24"/>
        </w:rPr>
        <w:t xml:space="preserve"> </w:t>
      </w:r>
      <w:r w:rsidRPr="009570D8">
        <w:rPr>
          <w:rFonts w:ascii="Arial" w:eastAsia="Times New Roman" w:hAnsi="Arial" w:cs="Times New Roman"/>
          <w:szCs w:val="24"/>
        </w:rPr>
        <w:t xml:space="preserve"> </w:t>
      </w:r>
      <w:r w:rsidR="00C032A9">
        <w:rPr>
          <w:rFonts w:ascii="Arial" w:eastAsia="Times New Roman" w:hAnsi="Arial" w:cs="Times New Roman"/>
          <w:szCs w:val="24"/>
        </w:rPr>
        <w:t xml:space="preserve">  </w:t>
      </w:r>
      <w:r w:rsidRPr="009570D8">
        <w:rPr>
          <w:rFonts w:ascii="Arial" w:eastAsia="Times New Roman" w:hAnsi="Arial" w:cs="Times New Roman"/>
          <w:szCs w:val="24"/>
        </w:rPr>
        <w:t>Fixed price should be same as Contract Start to 31 Mar 2018</w:t>
      </w:r>
    </w:p>
    <w:p w:rsidR="0015044B" w:rsidRPr="00844E4B" w:rsidRDefault="0015044B" w:rsidP="00FD7F42">
      <w:pPr>
        <w:pStyle w:val="ListParagraph"/>
        <w:numPr>
          <w:ilvl w:val="0"/>
          <w:numId w:val="2"/>
        </w:numPr>
        <w:spacing w:after="0" w:line="240" w:lineRule="auto"/>
        <w:ind w:left="1134" w:hanging="425"/>
        <w:rPr>
          <w:rFonts w:ascii="Arial" w:eastAsia="Times New Roman" w:hAnsi="Arial" w:cs="Times New Roman"/>
          <w:szCs w:val="24"/>
        </w:rPr>
      </w:pPr>
      <w:r w:rsidRPr="00844E4B">
        <w:rPr>
          <w:rFonts w:ascii="Arial" w:eastAsia="Times New Roman" w:hAnsi="Arial" w:cs="Times New Roman"/>
          <w:szCs w:val="24"/>
        </w:rPr>
        <w:t>Firm/Fixed rates shall be fully inclusive of O/H, profit etc.,</w:t>
      </w:r>
    </w:p>
    <w:p w:rsidR="008B15F6" w:rsidRDefault="008B15F6" w:rsidP="008B15F6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8B15F6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tbl>
      <w:tblPr>
        <w:tblpPr w:leftFromText="180" w:rightFromText="180" w:vertAnchor="text" w:horzAnchor="page" w:tblpX="1950" w:tblpY="-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292"/>
        <w:gridCol w:w="1293"/>
        <w:gridCol w:w="1293"/>
        <w:gridCol w:w="1293"/>
        <w:gridCol w:w="1293"/>
        <w:gridCol w:w="1293"/>
      </w:tblGrid>
      <w:tr w:rsidR="0015044B" w:rsidRPr="009570D8" w:rsidTr="00C032A9">
        <w:trPr>
          <w:trHeight w:val="699"/>
        </w:trPr>
        <w:tc>
          <w:tcPr>
            <w:tcW w:w="3691" w:type="dxa"/>
            <w:shd w:val="clear" w:color="auto" w:fill="auto"/>
          </w:tcPr>
          <w:p w:rsidR="0015044B" w:rsidRPr="009570D8" w:rsidRDefault="0015044B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7757" w:type="dxa"/>
            <w:gridSpan w:val="6"/>
            <w:shd w:val="clear" w:color="auto" w:fill="auto"/>
          </w:tcPr>
          <w:p w:rsidR="0015044B" w:rsidRPr="00C032A9" w:rsidRDefault="0015044B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Firm Price</w:t>
            </w:r>
          </w:p>
          <w:p w:rsidR="0015044B" w:rsidRPr="009570D8" w:rsidRDefault="0015044B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(ex VAT)</w:t>
            </w:r>
          </w:p>
        </w:tc>
      </w:tr>
      <w:tr w:rsidR="009570D8" w:rsidRPr="009570D8" w:rsidTr="00B27000">
        <w:trPr>
          <w:trHeight w:val="841"/>
        </w:trPr>
        <w:tc>
          <w:tcPr>
            <w:tcW w:w="3691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Arial" w:eastAsia="Times New Roman" w:hAnsi="Arial" w:cs="Arial"/>
                <w:b/>
                <w:lang w:eastAsia="ko-KR"/>
              </w:rPr>
              <w:t>Description</w:t>
            </w:r>
          </w:p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Arial" w:eastAsia="Times New Roman" w:hAnsi="Arial" w:cs="Arial"/>
                <w:b/>
                <w:lang w:eastAsia="ko-KR"/>
              </w:rPr>
              <w:t>(suggested categories)</w:t>
            </w:r>
          </w:p>
        </w:tc>
        <w:tc>
          <w:tcPr>
            <w:tcW w:w="1292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C</w:t>
            </w:r>
            <w:r w:rsidR="003242D4"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ontract Start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 to 31 Mar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293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 Apr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18 to 31 Mar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293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 Apr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19 to 31 Mar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293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 Apr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20 to 31 Mar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293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 Apr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21 to 31 Mar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293" w:type="dxa"/>
            <w:shd w:val="clear" w:color="auto" w:fill="auto"/>
          </w:tcPr>
          <w:p w:rsidR="009570D8" w:rsidRPr="00C032A9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1 Apr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22 to 31 Mar </w:t>
            </w:r>
            <w:r w:rsid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20</w:t>
            </w: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23</w:t>
            </w:r>
          </w:p>
        </w:tc>
      </w:tr>
      <w:tr w:rsidR="00A42737" w:rsidRPr="009570D8" w:rsidTr="00B27000">
        <w:tc>
          <w:tcPr>
            <w:tcW w:w="3691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2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1</w:t>
            </w:r>
          </w:p>
        </w:tc>
        <w:tc>
          <w:tcPr>
            <w:tcW w:w="1293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2</w:t>
            </w:r>
          </w:p>
        </w:tc>
        <w:tc>
          <w:tcPr>
            <w:tcW w:w="1293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3</w:t>
            </w:r>
          </w:p>
        </w:tc>
        <w:tc>
          <w:tcPr>
            <w:tcW w:w="1293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Option Year 1</w:t>
            </w:r>
          </w:p>
        </w:tc>
        <w:tc>
          <w:tcPr>
            <w:tcW w:w="1293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Option Year 2</w:t>
            </w:r>
          </w:p>
        </w:tc>
        <w:tc>
          <w:tcPr>
            <w:tcW w:w="1293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 xml:space="preserve">Option </w:t>
            </w:r>
          </w:p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3</w:t>
            </w:r>
          </w:p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Night Subsistence (per 24hr period – inclusive of accommodation, meals and incidental expenses)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Day Subsistence (5-10hrs away from the Contractor’s site)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Day Subsistence (more than 10hrs away from Contractor’s site)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Car Hire – Rental (per day)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Car Hire – Fuel (rate per mile)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Private car – Fuel (rate per mile)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9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Public Transport</w:t>
            </w:r>
          </w:p>
        </w:tc>
        <w:tc>
          <w:tcPr>
            <w:tcW w:w="129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At cost</w:t>
            </w: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At cost</w:t>
            </w: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At cost</w:t>
            </w: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At cost</w:t>
            </w: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At cost</w:t>
            </w:r>
          </w:p>
        </w:tc>
        <w:tc>
          <w:tcPr>
            <w:tcW w:w="1293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9570D8">
              <w:rPr>
                <w:rFonts w:ascii="Arial" w:eastAsia="Times New Roman" w:hAnsi="Arial" w:cs="Arial"/>
                <w:lang w:eastAsia="ko-KR"/>
              </w:rPr>
              <w:t>At cost</w:t>
            </w:r>
          </w:p>
        </w:tc>
      </w:tr>
    </w:tbl>
    <w:p w:rsidR="004338D3" w:rsidRPr="009570D8" w:rsidRDefault="004338D3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15044B" w:rsidRDefault="0015044B" w:rsidP="005852A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BB2C4F" w:rsidRDefault="00BB2C4F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FD7F42" w:rsidRDefault="00FD7F42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FD7F42" w:rsidRDefault="00FD7F42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FD7F42" w:rsidRDefault="00FD7F42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9570D8">
        <w:rPr>
          <w:rFonts w:ascii="Arial" w:eastAsia="Times New Roman" w:hAnsi="Arial" w:cs="Times New Roman"/>
          <w:b/>
          <w:szCs w:val="24"/>
        </w:rPr>
        <w:t>Table 3</w:t>
      </w:r>
      <w:r w:rsidR="00A9521A">
        <w:rPr>
          <w:rFonts w:ascii="Arial" w:eastAsia="Times New Roman" w:hAnsi="Arial" w:cs="Times New Roman"/>
          <w:b/>
          <w:szCs w:val="24"/>
        </w:rPr>
        <w:t xml:space="preserve"> </w:t>
      </w:r>
      <w:r w:rsidR="005852A8">
        <w:rPr>
          <w:rFonts w:ascii="Arial" w:eastAsia="Times New Roman" w:hAnsi="Arial" w:cs="Times New Roman"/>
          <w:b/>
          <w:szCs w:val="24"/>
        </w:rPr>
        <w:t xml:space="preserve">- </w:t>
      </w:r>
      <w:r w:rsidRPr="009570D8">
        <w:rPr>
          <w:rFonts w:ascii="Arial" w:eastAsia="Times New Roman" w:hAnsi="Arial" w:cs="Times New Roman"/>
          <w:b/>
          <w:szCs w:val="24"/>
        </w:rPr>
        <w:t>Firm Travel and Subsistence Travel rates</w:t>
      </w:r>
    </w:p>
    <w:p w:rsidR="00A9521A" w:rsidRDefault="00A9521A">
      <w:pPr>
        <w:rPr>
          <w:rFonts w:ascii="Arial" w:eastAsia="Times New Roman" w:hAnsi="Arial" w:cs="Times New Roman"/>
          <w:szCs w:val="24"/>
        </w:rPr>
      </w:pPr>
      <w:r>
        <w:rPr>
          <w:rFonts w:ascii="Arial" w:eastAsia="Times New Roman" w:hAnsi="Arial" w:cs="Times New Roman"/>
          <w:szCs w:val="24"/>
        </w:rPr>
        <w:br w:type="page"/>
      </w: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tbl>
      <w:tblPr>
        <w:tblpPr w:leftFromText="180" w:rightFromText="180" w:vertAnchor="text" w:horzAnchor="page" w:tblpX="1857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275"/>
        <w:gridCol w:w="1276"/>
        <w:gridCol w:w="1276"/>
        <w:gridCol w:w="1276"/>
        <w:gridCol w:w="1417"/>
      </w:tblGrid>
      <w:tr w:rsidR="00A9521A" w:rsidRPr="009570D8" w:rsidTr="00F518E8">
        <w:trPr>
          <w:trHeight w:val="706"/>
        </w:trPr>
        <w:tc>
          <w:tcPr>
            <w:tcW w:w="3794" w:type="dxa"/>
            <w:shd w:val="clear" w:color="auto" w:fill="auto"/>
          </w:tcPr>
          <w:p w:rsidR="00A9521A" w:rsidRPr="00F518E8" w:rsidRDefault="00A9521A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</w:p>
        </w:tc>
        <w:tc>
          <w:tcPr>
            <w:tcW w:w="7796" w:type="dxa"/>
            <w:gridSpan w:val="6"/>
            <w:shd w:val="clear" w:color="auto" w:fill="auto"/>
          </w:tcPr>
          <w:p w:rsidR="00A9521A" w:rsidRPr="00F518E8" w:rsidRDefault="00A9521A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 xml:space="preserve">Firm Price </w:t>
            </w:r>
          </w:p>
          <w:p w:rsidR="00A9521A" w:rsidRPr="00F518E8" w:rsidRDefault="00A9521A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(ex VAT)</w:t>
            </w:r>
          </w:p>
        </w:tc>
      </w:tr>
      <w:tr w:rsidR="000B627D" w:rsidRPr="009570D8" w:rsidTr="00A42737">
        <w:trPr>
          <w:trHeight w:val="1221"/>
        </w:trPr>
        <w:tc>
          <w:tcPr>
            <w:tcW w:w="3794" w:type="dxa"/>
            <w:shd w:val="clear" w:color="auto" w:fill="auto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F518E8">
              <w:rPr>
                <w:rFonts w:ascii="Arial" w:eastAsia="Times New Roman" w:hAnsi="Arial" w:cs="Arial"/>
                <w:b/>
                <w:lang w:eastAsia="ko-KR"/>
              </w:rPr>
              <w:t>Description</w:t>
            </w:r>
          </w:p>
        </w:tc>
        <w:tc>
          <w:tcPr>
            <w:tcW w:w="1276" w:type="dxa"/>
            <w:shd w:val="clear" w:color="auto" w:fill="auto"/>
          </w:tcPr>
          <w:p w:rsidR="00B27000" w:rsidRPr="000B627D" w:rsidRDefault="00A9521A" w:rsidP="00511C9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 w:rsidRPr="00C032A9">
              <w:rPr>
                <w:rFonts w:ascii="Arial" w:eastAsia="Times New Roman" w:hAnsi="Arial" w:cs="Arial"/>
                <w:b/>
                <w:lang w:eastAsia="ko-KR"/>
              </w:rPr>
              <w:t xml:space="preserve">Contract </w:t>
            </w:r>
            <w:r w:rsidR="00B27000" w:rsidRPr="00C032A9">
              <w:rPr>
                <w:rFonts w:ascii="Arial" w:eastAsia="Times New Roman" w:hAnsi="Arial" w:cs="Arial"/>
                <w:b/>
                <w:lang w:eastAsia="ko-KR"/>
              </w:rPr>
              <w:t>Commencement to 31 Mar 2018</w:t>
            </w:r>
          </w:p>
        </w:tc>
        <w:tc>
          <w:tcPr>
            <w:tcW w:w="1275" w:type="dxa"/>
            <w:shd w:val="clear" w:color="auto" w:fill="auto"/>
          </w:tcPr>
          <w:p w:rsidR="00B27000" w:rsidRPr="00C032A9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F518E8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 Apr 2018 to 31 Mar 2019</w:t>
            </w:r>
          </w:p>
        </w:tc>
        <w:tc>
          <w:tcPr>
            <w:tcW w:w="1276" w:type="dxa"/>
            <w:shd w:val="clear" w:color="auto" w:fill="auto"/>
          </w:tcPr>
          <w:p w:rsidR="00B27000" w:rsidRPr="00C032A9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 Apr 19 to 31 Mar 2020</w:t>
            </w:r>
          </w:p>
        </w:tc>
        <w:tc>
          <w:tcPr>
            <w:tcW w:w="1276" w:type="dxa"/>
            <w:shd w:val="clear" w:color="auto" w:fill="auto"/>
          </w:tcPr>
          <w:p w:rsidR="00B27000" w:rsidRPr="00C032A9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 Apr 2020 to 31 Mar 2021</w:t>
            </w:r>
          </w:p>
        </w:tc>
        <w:tc>
          <w:tcPr>
            <w:tcW w:w="1276" w:type="dxa"/>
            <w:shd w:val="clear" w:color="auto" w:fill="auto"/>
          </w:tcPr>
          <w:p w:rsidR="00B27000" w:rsidRPr="00C032A9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 Apr 2021 to 31 Mar 2022</w:t>
            </w:r>
          </w:p>
        </w:tc>
        <w:tc>
          <w:tcPr>
            <w:tcW w:w="1417" w:type="dxa"/>
            <w:shd w:val="clear" w:color="auto" w:fill="auto"/>
          </w:tcPr>
          <w:p w:rsidR="00B27000" w:rsidRPr="00C032A9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ko-KR"/>
              </w:rPr>
            </w:pPr>
            <w:r w:rsidRPr="00C032A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n-GB"/>
              </w:rPr>
              <w:t>1 Apr 2022 to 31 Mar 2023</w:t>
            </w:r>
          </w:p>
        </w:tc>
      </w:tr>
      <w:tr w:rsidR="00A42737" w:rsidRPr="009570D8" w:rsidTr="00A42737">
        <w:trPr>
          <w:trHeight w:val="848"/>
        </w:trPr>
        <w:tc>
          <w:tcPr>
            <w:tcW w:w="3794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76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1</w:t>
            </w:r>
          </w:p>
        </w:tc>
        <w:tc>
          <w:tcPr>
            <w:tcW w:w="1275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2</w:t>
            </w:r>
          </w:p>
        </w:tc>
        <w:tc>
          <w:tcPr>
            <w:tcW w:w="1276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3</w:t>
            </w:r>
          </w:p>
        </w:tc>
        <w:tc>
          <w:tcPr>
            <w:tcW w:w="1276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Option</w:t>
            </w:r>
          </w:p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1</w:t>
            </w:r>
          </w:p>
        </w:tc>
        <w:tc>
          <w:tcPr>
            <w:tcW w:w="1276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 xml:space="preserve">Option </w:t>
            </w:r>
          </w:p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2</w:t>
            </w:r>
          </w:p>
        </w:tc>
        <w:tc>
          <w:tcPr>
            <w:tcW w:w="1417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 xml:space="preserve">Option </w:t>
            </w:r>
          </w:p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>Year 3</w:t>
            </w:r>
          </w:p>
        </w:tc>
      </w:tr>
      <w:tr w:rsidR="000B627D" w:rsidRPr="009570D8" w:rsidTr="000B627D">
        <w:trPr>
          <w:trHeight w:val="1221"/>
        </w:trPr>
        <w:tc>
          <w:tcPr>
            <w:tcW w:w="3794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  <w:r>
              <w:rPr>
                <w:rFonts w:ascii="Arial" w:eastAsia="Times New Roman" w:hAnsi="Arial" w:cs="Arial"/>
                <w:lang w:eastAsia="ko-KR"/>
              </w:rPr>
              <w:t xml:space="preserve">Firm </w:t>
            </w:r>
            <w:r w:rsidRPr="009570D8">
              <w:rPr>
                <w:rFonts w:ascii="Arial" w:eastAsia="Times New Roman" w:hAnsi="Arial" w:cs="Arial"/>
                <w:lang w:eastAsia="ko-KR"/>
              </w:rPr>
              <w:t>Percentage uplift on sub-contracted work</w:t>
            </w:r>
          </w:p>
        </w:tc>
        <w:tc>
          <w:tcPr>
            <w:tcW w:w="1276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75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76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76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276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  <w:tc>
          <w:tcPr>
            <w:tcW w:w="1417" w:type="dxa"/>
            <w:shd w:val="clear" w:color="auto" w:fill="auto"/>
          </w:tcPr>
          <w:p w:rsidR="00B27000" w:rsidRPr="009570D8" w:rsidRDefault="00B27000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ko-KR"/>
              </w:rPr>
            </w:pPr>
          </w:p>
        </w:tc>
      </w:tr>
    </w:tbl>
    <w:p w:rsidR="004338D3" w:rsidRPr="009570D8" w:rsidRDefault="004338D3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27000" w:rsidRDefault="00B27000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Default="00A9521A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Default="00A9521A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Default="00A9521A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Pr="009570D8" w:rsidRDefault="00A9521A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B2C4F" w:rsidRDefault="00BB2C4F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B2C4F" w:rsidRDefault="00BB2C4F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9570D8">
        <w:rPr>
          <w:rFonts w:ascii="Arial" w:eastAsia="Times New Roman" w:hAnsi="Arial" w:cs="Times New Roman"/>
          <w:b/>
          <w:szCs w:val="24"/>
        </w:rPr>
        <w:t>Table 4</w:t>
      </w:r>
      <w:r w:rsidR="00A9521A">
        <w:rPr>
          <w:rFonts w:ascii="Arial" w:eastAsia="Times New Roman" w:hAnsi="Arial" w:cs="Times New Roman"/>
          <w:b/>
          <w:szCs w:val="24"/>
        </w:rPr>
        <w:t xml:space="preserve"> </w:t>
      </w:r>
      <w:r w:rsidR="00F518E8">
        <w:rPr>
          <w:rFonts w:ascii="Arial" w:eastAsia="Times New Roman" w:hAnsi="Arial" w:cs="Times New Roman"/>
          <w:b/>
          <w:szCs w:val="24"/>
        </w:rPr>
        <w:t xml:space="preserve">- </w:t>
      </w:r>
      <w:r w:rsidRPr="009570D8">
        <w:rPr>
          <w:rFonts w:ascii="Arial" w:eastAsia="Times New Roman" w:hAnsi="Arial" w:cs="Times New Roman"/>
          <w:b/>
          <w:szCs w:val="24"/>
        </w:rPr>
        <w:t xml:space="preserve">Firm </w:t>
      </w:r>
      <w:r w:rsidR="00003319">
        <w:rPr>
          <w:rFonts w:ascii="Arial" w:eastAsia="Times New Roman" w:hAnsi="Arial" w:cs="Times New Roman"/>
          <w:b/>
          <w:szCs w:val="24"/>
        </w:rPr>
        <w:t xml:space="preserve">% </w:t>
      </w:r>
      <w:r w:rsidRPr="009570D8">
        <w:rPr>
          <w:rFonts w:ascii="Arial" w:eastAsia="Times New Roman" w:hAnsi="Arial" w:cs="Times New Roman"/>
          <w:b/>
          <w:szCs w:val="24"/>
        </w:rPr>
        <w:t>Uplift on Subcontract Work</w:t>
      </w: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4338D3" w:rsidRPr="00F518E8" w:rsidRDefault="004338D3" w:rsidP="009570D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9570D8" w:rsidRPr="00BB2C4F" w:rsidRDefault="009570D8" w:rsidP="009570D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871"/>
        <w:gridCol w:w="1871"/>
        <w:gridCol w:w="1871"/>
        <w:gridCol w:w="1871"/>
        <w:gridCol w:w="1872"/>
      </w:tblGrid>
      <w:tr w:rsidR="009570D8" w:rsidRPr="00A9521A" w:rsidTr="00B27000">
        <w:tc>
          <w:tcPr>
            <w:tcW w:w="3652" w:type="dxa"/>
            <w:shd w:val="clear" w:color="auto" w:fill="auto"/>
          </w:tcPr>
          <w:p w:rsidR="009570D8" w:rsidRPr="00BB2C4F" w:rsidRDefault="009570D8" w:rsidP="009570D8">
            <w:pPr>
              <w:spacing w:after="0" w:line="240" w:lineRule="auto"/>
              <w:rPr>
                <w:rFonts w:ascii="Arial" w:eastAsia="Batang" w:hAnsi="Arial" w:cs="Arial"/>
                <w:b/>
                <w:lang w:eastAsia="ko-KR"/>
              </w:rPr>
            </w:pPr>
            <w:r w:rsidRPr="00BB2C4F">
              <w:rPr>
                <w:rFonts w:ascii="Arial" w:eastAsia="Batang" w:hAnsi="Arial" w:cs="Arial"/>
                <w:b/>
                <w:lang w:eastAsia="ko-KR"/>
              </w:rPr>
              <w:t>Value (£)</w:t>
            </w:r>
          </w:p>
        </w:tc>
        <w:tc>
          <w:tcPr>
            <w:tcW w:w="1871" w:type="dxa"/>
            <w:shd w:val="clear" w:color="auto" w:fill="auto"/>
          </w:tcPr>
          <w:p w:rsidR="009570D8" w:rsidRPr="00BB2C4F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lang w:eastAsia="ko-KR"/>
              </w:rPr>
            </w:pPr>
            <w:r w:rsidRPr="00BB2C4F">
              <w:rPr>
                <w:rFonts w:ascii="Arial" w:eastAsia="Batang" w:hAnsi="Arial" w:cs="Arial"/>
                <w:b/>
                <w:lang w:eastAsia="ko-KR"/>
              </w:rPr>
              <w:t>0-249,999</w:t>
            </w:r>
          </w:p>
        </w:tc>
        <w:tc>
          <w:tcPr>
            <w:tcW w:w="1871" w:type="dxa"/>
            <w:shd w:val="clear" w:color="auto" w:fill="auto"/>
          </w:tcPr>
          <w:p w:rsidR="009570D8" w:rsidRPr="00BB2C4F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lang w:eastAsia="ko-KR"/>
              </w:rPr>
            </w:pPr>
            <w:r w:rsidRPr="00BB2C4F">
              <w:rPr>
                <w:rFonts w:ascii="Arial" w:eastAsia="Batang" w:hAnsi="Arial" w:cs="Arial"/>
                <w:b/>
                <w:lang w:eastAsia="ko-KR"/>
              </w:rPr>
              <w:t>250K-499,999</w:t>
            </w:r>
          </w:p>
        </w:tc>
        <w:tc>
          <w:tcPr>
            <w:tcW w:w="1871" w:type="dxa"/>
            <w:shd w:val="clear" w:color="auto" w:fill="auto"/>
          </w:tcPr>
          <w:p w:rsidR="009570D8" w:rsidRPr="00BB2C4F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lang w:eastAsia="ko-KR"/>
              </w:rPr>
            </w:pPr>
            <w:r w:rsidRPr="00BB2C4F">
              <w:rPr>
                <w:rFonts w:ascii="Arial" w:eastAsia="Batang" w:hAnsi="Arial" w:cs="Arial"/>
                <w:b/>
                <w:lang w:eastAsia="ko-KR"/>
              </w:rPr>
              <w:t>500K-749,999</w:t>
            </w:r>
          </w:p>
        </w:tc>
        <w:tc>
          <w:tcPr>
            <w:tcW w:w="1871" w:type="dxa"/>
            <w:shd w:val="clear" w:color="auto" w:fill="auto"/>
          </w:tcPr>
          <w:p w:rsidR="009570D8" w:rsidRPr="00BB2C4F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lang w:eastAsia="ko-KR"/>
              </w:rPr>
            </w:pPr>
            <w:r w:rsidRPr="00BB2C4F">
              <w:rPr>
                <w:rFonts w:ascii="Arial" w:eastAsia="Batang" w:hAnsi="Arial" w:cs="Arial"/>
                <w:b/>
                <w:lang w:eastAsia="ko-KR"/>
              </w:rPr>
              <w:t>750K-999,999</w:t>
            </w:r>
          </w:p>
        </w:tc>
        <w:tc>
          <w:tcPr>
            <w:tcW w:w="1872" w:type="dxa"/>
            <w:shd w:val="clear" w:color="auto" w:fill="auto"/>
          </w:tcPr>
          <w:p w:rsidR="009570D8" w:rsidRPr="00BB2C4F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b/>
                <w:lang w:eastAsia="ko-KR"/>
              </w:rPr>
            </w:pPr>
            <w:r w:rsidRPr="00BB2C4F">
              <w:rPr>
                <w:rFonts w:ascii="Arial" w:eastAsia="Batang" w:hAnsi="Arial" w:cs="Arial"/>
                <w:b/>
                <w:lang w:eastAsia="ko-KR"/>
              </w:rPr>
              <w:t>&gt;1m</w:t>
            </w:r>
          </w:p>
        </w:tc>
      </w:tr>
      <w:tr w:rsidR="00A42737" w:rsidRPr="009570D8" w:rsidTr="00B27000">
        <w:tc>
          <w:tcPr>
            <w:tcW w:w="3652" w:type="dxa"/>
            <w:shd w:val="clear" w:color="auto" w:fill="auto"/>
          </w:tcPr>
          <w:p w:rsidR="00A42737" w:rsidRPr="009570D8" w:rsidRDefault="00A42737" w:rsidP="009570D8">
            <w:pPr>
              <w:spacing w:after="0" w:line="240" w:lineRule="auto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2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</w:tr>
      <w:tr w:rsidR="009570D8" w:rsidRPr="009570D8" w:rsidTr="00B27000">
        <w:tc>
          <w:tcPr>
            <w:tcW w:w="3652" w:type="dxa"/>
            <w:shd w:val="clear" w:color="auto" w:fill="auto"/>
          </w:tcPr>
          <w:p w:rsidR="009570D8" w:rsidRPr="009570D8" w:rsidRDefault="009570D8" w:rsidP="009570D8">
            <w:pPr>
              <w:spacing w:after="0" w:line="240" w:lineRule="auto"/>
              <w:rPr>
                <w:rFonts w:ascii="Arial" w:eastAsia="Batang" w:hAnsi="Arial" w:cs="Arial"/>
                <w:lang w:eastAsia="ko-KR"/>
              </w:rPr>
            </w:pPr>
            <w:r w:rsidRPr="009570D8">
              <w:rPr>
                <w:rFonts w:ascii="Arial" w:eastAsia="Batang" w:hAnsi="Arial" w:cs="Arial"/>
                <w:lang w:eastAsia="ko-KR"/>
              </w:rPr>
              <w:t>Discount (%)</w:t>
            </w:r>
            <w:r w:rsidR="0015044B">
              <w:rPr>
                <w:rFonts w:ascii="Arial" w:eastAsia="Batang" w:hAnsi="Arial" w:cs="Arial"/>
                <w:lang w:eastAsia="ko-KR"/>
              </w:rPr>
              <w:t xml:space="preserve"> </w:t>
            </w:r>
          </w:p>
        </w:tc>
        <w:tc>
          <w:tcPr>
            <w:tcW w:w="187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Pr="009570D8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2" w:type="dxa"/>
            <w:shd w:val="clear" w:color="auto" w:fill="auto"/>
          </w:tcPr>
          <w:p w:rsidR="009570D8" w:rsidRPr="009570D8" w:rsidRDefault="009570D8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</w:tr>
      <w:tr w:rsidR="00A42737" w:rsidRPr="009570D8" w:rsidTr="00B27000">
        <w:tc>
          <w:tcPr>
            <w:tcW w:w="3652" w:type="dxa"/>
            <w:shd w:val="clear" w:color="auto" w:fill="auto"/>
          </w:tcPr>
          <w:p w:rsidR="00A42737" w:rsidRPr="009570D8" w:rsidRDefault="00A42737" w:rsidP="009570D8">
            <w:pPr>
              <w:spacing w:after="0" w:line="240" w:lineRule="auto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1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  <w:tc>
          <w:tcPr>
            <w:tcW w:w="1872" w:type="dxa"/>
            <w:shd w:val="clear" w:color="auto" w:fill="auto"/>
          </w:tcPr>
          <w:p w:rsidR="00A42737" w:rsidRDefault="00A42737" w:rsidP="00B27000">
            <w:pPr>
              <w:spacing w:after="0" w:line="240" w:lineRule="auto"/>
              <w:jc w:val="center"/>
              <w:rPr>
                <w:rFonts w:ascii="Arial" w:eastAsia="Batang" w:hAnsi="Arial" w:cs="Arial"/>
                <w:lang w:eastAsia="ko-KR"/>
              </w:rPr>
            </w:pPr>
          </w:p>
        </w:tc>
      </w:tr>
    </w:tbl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9570D8" w:rsidRDefault="009570D8" w:rsidP="009570D8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F518E8" w:rsidRDefault="00F518E8" w:rsidP="00F518E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B2C4F" w:rsidRDefault="00BB2C4F" w:rsidP="00F518E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BB2C4F" w:rsidRDefault="00BB2C4F" w:rsidP="00F518E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F518E8" w:rsidRDefault="00F518E8" w:rsidP="00F518E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9570D8">
        <w:rPr>
          <w:rFonts w:ascii="Arial" w:eastAsia="Times New Roman" w:hAnsi="Arial" w:cs="Times New Roman"/>
          <w:b/>
          <w:szCs w:val="24"/>
        </w:rPr>
        <w:t>Table 5</w:t>
      </w:r>
      <w:r>
        <w:rPr>
          <w:rFonts w:ascii="Arial" w:eastAsia="Times New Roman" w:hAnsi="Arial" w:cs="Times New Roman"/>
          <w:b/>
          <w:szCs w:val="24"/>
        </w:rPr>
        <w:t xml:space="preserve"> - </w:t>
      </w:r>
      <w:r w:rsidRPr="009570D8">
        <w:rPr>
          <w:rFonts w:ascii="Arial" w:eastAsia="Times New Roman" w:hAnsi="Arial" w:cs="Times New Roman"/>
          <w:b/>
          <w:szCs w:val="24"/>
        </w:rPr>
        <w:t>Firm Discount on Generic Tasks</w:t>
      </w:r>
    </w:p>
    <w:p w:rsidR="009570D8" w:rsidRPr="00BB2C4F" w:rsidRDefault="006D7162" w:rsidP="00BB2C4F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BB2C4F">
        <w:rPr>
          <w:rFonts w:ascii="Arial" w:eastAsia="Times New Roman" w:hAnsi="Arial" w:cs="Times New Roman"/>
          <w:szCs w:val="24"/>
        </w:rPr>
        <w:t>Note:</w:t>
      </w:r>
      <w:r w:rsidR="00F518E8" w:rsidRPr="00BB2C4F">
        <w:rPr>
          <w:rFonts w:ascii="Arial" w:eastAsia="Times New Roman" w:hAnsi="Arial" w:cs="Times New Roman"/>
          <w:szCs w:val="24"/>
        </w:rPr>
        <w:t xml:space="preserve"> 1. </w:t>
      </w:r>
      <w:proofErr w:type="gramStart"/>
      <w:r w:rsidRPr="00BB2C4F">
        <w:rPr>
          <w:rFonts w:ascii="Arial" w:eastAsia="Times New Roman" w:hAnsi="Arial" w:cs="Times New Roman"/>
          <w:szCs w:val="24"/>
        </w:rPr>
        <w:t>This</w:t>
      </w:r>
      <w:proofErr w:type="gramEnd"/>
      <w:r w:rsidRPr="00BB2C4F">
        <w:rPr>
          <w:rFonts w:ascii="Arial" w:eastAsia="Times New Roman" w:hAnsi="Arial" w:cs="Times New Roman"/>
          <w:szCs w:val="24"/>
        </w:rPr>
        <w:t xml:space="preserve"> applies to the total value of Generic tasks placed in any 12 month period following contract award.</w:t>
      </w:r>
    </w:p>
    <w:p w:rsidR="0086555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360CED" w:rsidRDefault="00360CED">
      <w:pPr>
        <w:rPr>
          <w:rFonts w:ascii="Arial" w:eastAsia="Times New Roman" w:hAnsi="Arial" w:cs="Times New Roman"/>
          <w:b/>
          <w:szCs w:val="24"/>
        </w:rPr>
      </w:pPr>
      <w:r>
        <w:rPr>
          <w:rFonts w:ascii="Arial" w:eastAsia="Times New Roman" w:hAnsi="Arial" w:cs="Times New Roman"/>
          <w:b/>
          <w:szCs w:val="24"/>
        </w:rPr>
        <w:br w:type="page"/>
      </w:r>
    </w:p>
    <w:tbl>
      <w:tblPr>
        <w:tblpPr w:leftFromText="180" w:rightFromText="180" w:vertAnchor="text" w:horzAnchor="margin" w:tblpY="-466"/>
        <w:tblW w:w="13056" w:type="dxa"/>
        <w:tblLayout w:type="fixed"/>
        <w:tblLook w:val="04A0" w:firstRow="1" w:lastRow="0" w:firstColumn="1" w:lastColumn="0" w:noHBand="0" w:noVBand="1"/>
      </w:tblPr>
      <w:tblGrid>
        <w:gridCol w:w="1740"/>
        <w:gridCol w:w="1660"/>
        <w:gridCol w:w="965"/>
        <w:gridCol w:w="11"/>
        <w:gridCol w:w="955"/>
        <w:gridCol w:w="22"/>
        <w:gridCol w:w="992"/>
        <w:gridCol w:w="993"/>
        <w:gridCol w:w="890"/>
        <w:gridCol w:w="1094"/>
        <w:gridCol w:w="837"/>
        <w:gridCol w:w="14"/>
        <w:gridCol w:w="921"/>
        <w:gridCol w:w="30"/>
        <w:gridCol w:w="891"/>
        <w:gridCol w:w="1041"/>
      </w:tblGrid>
      <w:tr w:rsidR="00AD264F" w:rsidRPr="00F518E8" w:rsidTr="0017094D">
        <w:trPr>
          <w:trHeight w:val="315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OLE_LINK1"/>
            <w:r w:rsidRPr="00F518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Labour Type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Task 1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Task 2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Task 3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Task 4</w:t>
            </w:r>
          </w:p>
        </w:tc>
      </w:tr>
      <w:tr w:rsidR="00AD264F" w:rsidRPr="00F518E8" w:rsidTr="00AD264F">
        <w:trPr>
          <w:trHeight w:val="730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Labour Hourly Rate £ (ex VAT)</w:t>
            </w:r>
          </w:p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(from Table 2)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No Hours</w:t>
            </w:r>
          </w:p>
          <w:p w:rsidR="00AD264F" w:rsidRPr="00F518E8" w:rsidRDefault="00AD264F" w:rsidP="00F518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£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No Hours</w:t>
            </w:r>
          </w:p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Yr1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£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No Hours</w:t>
            </w:r>
          </w:p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Yr2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£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No Hours</w:t>
            </w:r>
          </w:p>
          <w:p w:rsidR="00AD264F" w:rsidRPr="00F518E8" w:rsidRDefault="00AD264F" w:rsidP="00F518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bdr w:val="single" w:sz="4" w:space="0" w:color="auto"/>
                <w:lang w:eastAsia="en-GB"/>
              </w:rPr>
              <w:t xml:space="preserve"> </w:t>
            </w:r>
          </w:p>
        </w:tc>
        <w:tc>
          <w:tcPr>
            <w:tcW w:w="10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£</w:t>
            </w:r>
          </w:p>
        </w:tc>
      </w:tr>
      <w:tr w:rsidR="00AD264F" w:rsidRPr="00F518E8" w:rsidTr="00AD264F">
        <w:trPr>
          <w:trHeight w:val="729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64F" w:rsidRPr="00F518E8" w:rsidRDefault="00AD264F" w:rsidP="00B27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Yr3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Yr4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Yr1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264F" w:rsidRPr="00F518E8" w:rsidRDefault="00AD264F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Yr2</w:t>
            </w:r>
          </w:p>
        </w:tc>
        <w:tc>
          <w:tcPr>
            <w:tcW w:w="10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64F" w:rsidRPr="00F518E8" w:rsidRDefault="00AD264F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B27000" w:rsidRPr="00F518E8" w:rsidTr="00F518E8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Engineer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3375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Senior Engineer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Project Manager Senior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Project Manager Junior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1875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ILS Senior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450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31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ILS Junior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1650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647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 xml:space="preserve">Sub-Contract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bookmarkStart w:id="1" w:name="OLE_LINK2"/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£15000 x 1/xx =</w:t>
            </w:r>
            <w:bookmarkEnd w:id="1"/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£15000 x 1.xx =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£45000 x 1/xx =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£25000 x 1.xx =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1425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Travel &amp; subsistence</w:t>
            </w:r>
          </w:p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(show individual elements)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2 trips to Glasgow of 2 nights,   </w:t>
            </w:r>
            <w:proofErr w:type="spellStart"/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Mtgs</w:t>
            </w:r>
            <w:proofErr w:type="spellEnd"/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on all 3 days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Trip to Glasgow overnight for 5hrs </w:t>
            </w:r>
            <w:proofErr w:type="spellStart"/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mtg</w:t>
            </w:r>
            <w:proofErr w:type="spellEnd"/>
            <w:r w:rsidRPr="00F518E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 xml:space="preserve"> Day 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394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518E8">
              <w:rPr>
                <w:rFonts w:ascii="Arial" w:eastAsia="Times New Roman" w:hAnsi="Arial" w:cs="Arial"/>
                <w:color w:val="000000"/>
                <w:lang w:eastAsia="en-GB"/>
              </w:rPr>
              <w:t>Sub-Total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714EE1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2250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714EE1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2438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714EE1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11588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714EE1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714EE1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714EE1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518E8">
        <w:trPr>
          <w:trHeight w:val="613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7000" w:rsidRPr="00F518E8" w:rsidRDefault="00B27000" w:rsidP="00B27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bookmarkStart w:id="2" w:name="_GoBack"/>
            <w:bookmarkEnd w:id="2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27000" w:rsidRPr="00F518E8" w:rsidTr="00FF7099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518E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TOTAL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000" w:rsidRPr="00F518E8" w:rsidRDefault="00B27000" w:rsidP="00B27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:rsidR="009570D8" w:rsidRPr="00F518E8" w:rsidRDefault="009570D8" w:rsidP="00B27000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9570D8" w:rsidRPr="00F518E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F518E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F518E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F518E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szCs w:val="24"/>
        </w:rPr>
      </w:pPr>
    </w:p>
    <w:p w:rsidR="009570D8" w:rsidRPr="00F518E8" w:rsidRDefault="009570D8" w:rsidP="009570D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</w:p>
    <w:p w:rsidR="009570D8" w:rsidRPr="00F518E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9570D8" w:rsidRPr="00F518E8" w:rsidRDefault="009570D8" w:rsidP="009570D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865558" w:rsidRPr="00F518E8" w:rsidRDefault="00865558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4338D3" w:rsidRPr="00F518E8" w:rsidRDefault="004338D3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Pr="00F518E8" w:rsidRDefault="00A9521A" w:rsidP="00003319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</w:p>
    <w:p w:rsidR="00A9521A" w:rsidRPr="00F518E8" w:rsidRDefault="00A9521A" w:rsidP="005852A8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</w:rPr>
      </w:pPr>
      <w:r w:rsidRPr="00F518E8">
        <w:rPr>
          <w:rFonts w:ascii="Arial" w:eastAsia="Times New Roman" w:hAnsi="Arial" w:cs="Times New Roman"/>
          <w:b/>
          <w:szCs w:val="24"/>
        </w:rPr>
        <w:t xml:space="preserve">Table 6 </w:t>
      </w:r>
      <w:r w:rsidR="005852A8">
        <w:rPr>
          <w:rFonts w:ascii="Arial" w:eastAsia="Times New Roman" w:hAnsi="Arial" w:cs="Times New Roman"/>
          <w:b/>
          <w:szCs w:val="24"/>
        </w:rPr>
        <w:t xml:space="preserve">- </w:t>
      </w:r>
      <w:r w:rsidRPr="00F518E8">
        <w:rPr>
          <w:rFonts w:ascii="Arial" w:eastAsia="Times New Roman" w:hAnsi="Arial" w:cs="Times New Roman"/>
          <w:b/>
          <w:szCs w:val="24"/>
        </w:rPr>
        <w:t>Illustrative Pricing of Generic Tasks</w:t>
      </w:r>
    </w:p>
    <w:p w:rsidR="005852A8" w:rsidRPr="0023642A" w:rsidRDefault="00B27000" w:rsidP="0023642A">
      <w:pPr>
        <w:spacing w:after="0" w:line="240" w:lineRule="auto"/>
        <w:rPr>
          <w:rFonts w:ascii="Arial" w:eastAsia="Times New Roman" w:hAnsi="Arial" w:cs="Times New Roman"/>
          <w:szCs w:val="24"/>
        </w:rPr>
      </w:pPr>
      <w:r w:rsidRPr="00F518E8">
        <w:rPr>
          <w:rFonts w:ascii="Arial" w:eastAsia="Times New Roman" w:hAnsi="Arial" w:cs="Times New Roman"/>
          <w:szCs w:val="24"/>
        </w:rPr>
        <w:t xml:space="preserve">Note: </w:t>
      </w:r>
      <w:r w:rsidR="00F518E8" w:rsidRPr="00F518E8">
        <w:rPr>
          <w:rFonts w:ascii="Arial" w:eastAsia="Times New Roman" w:hAnsi="Arial" w:cs="Times New Roman"/>
          <w:szCs w:val="24"/>
        </w:rPr>
        <w:t xml:space="preserve">1. </w:t>
      </w:r>
      <w:r w:rsidR="00BB2C4F">
        <w:rPr>
          <w:rFonts w:ascii="Arial" w:eastAsia="Times New Roman" w:hAnsi="Arial" w:cs="Times New Roman"/>
          <w:szCs w:val="24"/>
        </w:rPr>
        <w:t>P</w:t>
      </w:r>
      <w:r w:rsidRPr="00F518E8">
        <w:rPr>
          <w:rFonts w:ascii="Arial" w:eastAsia="Times New Roman" w:hAnsi="Arial" w:cs="Times New Roman"/>
          <w:szCs w:val="24"/>
        </w:rPr>
        <w:t>opulate attached Excel</w:t>
      </w:r>
      <w:r w:rsidR="00F518E8" w:rsidRPr="00F518E8">
        <w:rPr>
          <w:rFonts w:ascii="Arial" w:eastAsia="Times New Roman" w:hAnsi="Arial" w:cs="Times New Roman"/>
          <w:szCs w:val="24"/>
        </w:rPr>
        <w:t xml:space="preserve"> document. Working day is 7.5hrs</w:t>
      </w:r>
      <w:r w:rsidR="002A7208">
        <w:rPr>
          <w:rFonts w:ascii="Arial" w:eastAsia="Times New Roman" w:hAnsi="Arial" w:cs="Times New Roman"/>
          <w:szCs w:val="24"/>
        </w:rPr>
        <w:t xml:space="preserve">. </w:t>
      </w:r>
      <w:r w:rsidR="005852A8">
        <w:rPr>
          <w:rFonts w:ascii="Arial" w:eastAsia="Times New Roman" w:hAnsi="Arial" w:cs="Times New Roman"/>
          <w:szCs w:val="24"/>
        </w:rPr>
        <w:t>2.  For sub-contract, Travel &amp; Subsistence delete descriptor and enter value.</w:t>
      </w:r>
    </w:p>
    <w:sectPr w:rsidR="005852A8" w:rsidRPr="0023642A" w:rsidSect="00A33DE5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FD" w:rsidRDefault="001E0FFD" w:rsidP="001E0FFD">
      <w:pPr>
        <w:spacing w:after="0" w:line="240" w:lineRule="auto"/>
      </w:pPr>
      <w:r>
        <w:separator/>
      </w:r>
    </w:p>
  </w:endnote>
  <w:endnote w:type="continuationSeparator" w:id="0">
    <w:p w:rsidR="001E0FFD" w:rsidRDefault="001E0FFD" w:rsidP="001E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3598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08EA" w:rsidRDefault="007C08EA" w:rsidP="007C08EA">
        <w:pPr>
          <w:pStyle w:val="Footer"/>
          <w:tabs>
            <w:tab w:val="clear" w:pos="4513"/>
            <w:tab w:val="center" w:pos="6521"/>
          </w:tabs>
        </w:pPr>
        <w:r>
          <w:t>V1.0</w:t>
        </w:r>
        <w:r>
          <w:tab/>
          <w:t>C-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5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C08EA" w:rsidRDefault="007C0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FD" w:rsidRDefault="001E0FFD" w:rsidP="001E0FFD">
      <w:pPr>
        <w:spacing w:after="0" w:line="240" w:lineRule="auto"/>
      </w:pPr>
      <w:r>
        <w:separator/>
      </w:r>
    </w:p>
  </w:footnote>
  <w:footnote w:type="continuationSeparator" w:id="0">
    <w:p w:rsidR="001E0FFD" w:rsidRDefault="001E0FFD" w:rsidP="001E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16F"/>
    <w:multiLevelType w:val="hybridMultilevel"/>
    <w:tmpl w:val="D9809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609B"/>
    <w:multiLevelType w:val="hybridMultilevel"/>
    <w:tmpl w:val="C6EE2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76A6D"/>
    <w:multiLevelType w:val="hybridMultilevel"/>
    <w:tmpl w:val="9DA8A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230B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16497"/>
    <w:multiLevelType w:val="hybridMultilevel"/>
    <w:tmpl w:val="C6683A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F4D1B"/>
    <w:multiLevelType w:val="hybridMultilevel"/>
    <w:tmpl w:val="DBAC1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52097"/>
    <w:multiLevelType w:val="hybridMultilevel"/>
    <w:tmpl w:val="61DCB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64228"/>
    <w:multiLevelType w:val="hybridMultilevel"/>
    <w:tmpl w:val="723A862C"/>
    <w:lvl w:ilvl="0" w:tplc="E4542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19859B2"/>
    <w:multiLevelType w:val="hybridMultilevel"/>
    <w:tmpl w:val="98D81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C19E0"/>
    <w:multiLevelType w:val="multilevel"/>
    <w:tmpl w:val="260E3B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674227D0"/>
    <w:multiLevelType w:val="hybridMultilevel"/>
    <w:tmpl w:val="47D07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A2B53"/>
    <w:multiLevelType w:val="hybridMultilevel"/>
    <w:tmpl w:val="843A4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58154D"/>
    <w:multiLevelType w:val="hybridMultilevel"/>
    <w:tmpl w:val="E67A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C3940"/>
    <w:multiLevelType w:val="multilevel"/>
    <w:tmpl w:val="260E3B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7F962B6"/>
    <w:multiLevelType w:val="hybridMultilevel"/>
    <w:tmpl w:val="020C09A8"/>
    <w:lvl w:ilvl="0" w:tplc="F0DA7E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2243B"/>
    <w:multiLevelType w:val="hybridMultilevel"/>
    <w:tmpl w:val="72780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1F"/>
    <w:rsid w:val="000020B9"/>
    <w:rsid w:val="00003319"/>
    <w:rsid w:val="000168E2"/>
    <w:rsid w:val="00076082"/>
    <w:rsid w:val="0007647B"/>
    <w:rsid w:val="00094264"/>
    <w:rsid w:val="000970BA"/>
    <w:rsid w:val="000A532C"/>
    <w:rsid w:val="000B627D"/>
    <w:rsid w:val="000C221D"/>
    <w:rsid w:val="000E2F2A"/>
    <w:rsid w:val="00124666"/>
    <w:rsid w:val="001260B7"/>
    <w:rsid w:val="00135ECF"/>
    <w:rsid w:val="00143E28"/>
    <w:rsid w:val="0015044B"/>
    <w:rsid w:val="00160265"/>
    <w:rsid w:val="00161C2A"/>
    <w:rsid w:val="001B4F7D"/>
    <w:rsid w:val="001C175F"/>
    <w:rsid w:val="001C267A"/>
    <w:rsid w:val="001E0FFD"/>
    <w:rsid w:val="001E4CFA"/>
    <w:rsid w:val="001F514D"/>
    <w:rsid w:val="001F5A71"/>
    <w:rsid w:val="002139BB"/>
    <w:rsid w:val="00223B3B"/>
    <w:rsid w:val="0023642A"/>
    <w:rsid w:val="00237867"/>
    <w:rsid w:val="0024661B"/>
    <w:rsid w:val="002A7208"/>
    <w:rsid w:val="002B6D53"/>
    <w:rsid w:val="002C7DEB"/>
    <w:rsid w:val="002E6196"/>
    <w:rsid w:val="002F2EE9"/>
    <w:rsid w:val="00321AD5"/>
    <w:rsid w:val="003242D4"/>
    <w:rsid w:val="003246B1"/>
    <w:rsid w:val="00326F4B"/>
    <w:rsid w:val="00332FDC"/>
    <w:rsid w:val="00360CED"/>
    <w:rsid w:val="00361125"/>
    <w:rsid w:val="0037541F"/>
    <w:rsid w:val="003B6A59"/>
    <w:rsid w:val="004205A8"/>
    <w:rsid w:val="004338D3"/>
    <w:rsid w:val="004560D9"/>
    <w:rsid w:val="00464408"/>
    <w:rsid w:val="004E4279"/>
    <w:rsid w:val="00511C9D"/>
    <w:rsid w:val="00512867"/>
    <w:rsid w:val="00514B5E"/>
    <w:rsid w:val="00543F0C"/>
    <w:rsid w:val="0058481B"/>
    <w:rsid w:val="005852A8"/>
    <w:rsid w:val="00591CC8"/>
    <w:rsid w:val="005B054C"/>
    <w:rsid w:val="005B164F"/>
    <w:rsid w:val="005C3E52"/>
    <w:rsid w:val="00601515"/>
    <w:rsid w:val="00606027"/>
    <w:rsid w:val="006100FD"/>
    <w:rsid w:val="00636C1B"/>
    <w:rsid w:val="006878D6"/>
    <w:rsid w:val="00692C4E"/>
    <w:rsid w:val="006C769F"/>
    <w:rsid w:val="006D7162"/>
    <w:rsid w:val="007037F9"/>
    <w:rsid w:val="00714EE1"/>
    <w:rsid w:val="00724DD8"/>
    <w:rsid w:val="00751997"/>
    <w:rsid w:val="00780376"/>
    <w:rsid w:val="007A00CA"/>
    <w:rsid w:val="007A5495"/>
    <w:rsid w:val="007B2143"/>
    <w:rsid w:val="007C08EA"/>
    <w:rsid w:val="007C1637"/>
    <w:rsid w:val="007F4034"/>
    <w:rsid w:val="008013B3"/>
    <w:rsid w:val="008014BF"/>
    <w:rsid w:val="0080382C"/>
    <w:rsid w:val="008137FB"/>
    <w:rsid w:val="0082341B"/>
    <w:rsid w:val="0084455D"/>
    <w:rsid w:val="00844E4B"/>
    <w:rsid w:val="008509EF"/>
    <w:rsid w:val="008611B8"/>
    <w:rsid w:val="00865558"/>
    <w:rsid w:val="008A5A01"/>
    <w:rsid w:val="008B15F6"/>
    <w:rsid w:val="008B4484"/>
    <w:rsid w:val="00902D9F"/>
    <w:rsid w:val="00927492"/>
    <w:rsid w:val="00947DA5"/>
    <w:rsid w:val="009570D8"/>
    <w:rsid w:val="00981B65"/>
    <w:rsid w:val="009B4ECD"/>
    <w:rsid w:val="009D3321"/>
    <w:rsid w:val="00A06074"/>
    <w:rsid w:val="00A33DE5"/>
    <w:rsid w:val="00A42737"/>
    <w:rsid w:val="00A71817"/>
    <w:rsid w:val="00A735F0"/>
    <w:rsid w:val="00A9521A"/>
    <w:rsid w:val="00AA2747"/>
    <w:rsid w:val="00AD264F"/>
    <w:rsid w:val="00AD7358"/>
    <w:rsid w:val="00AF18C4"/>
    <w:rsid w:val="00B25482"/>
    <w:rsid w:val="00B27000"/>
    <w:rsid w:val="00B5697D"/>
    <w:rsid w:val="00B670AD"/>
    <w:rsid w:val="00B738AF"/>
    <w:rsid w:val="00B76A4F"/>
    <w:rsid w:val="00B84A84"/>
    <w:rsid w:val="00B95FA6"/>
    <w:rsid w:val="00BB2C4F"/>
    <w:rsid w:val="00BD0115"/>
    <w:rsid w:val="00C032A9"/>
    <w:rsid w:val="00C35FC8"/>
    <w:rsid w:val="00C4672E"/>
    <w:rsid w:val="00C47D13"/>
    <w:rsid w:val="00D745A7"/>
    <w:rsid w:val="00DB42E7"/>
    <w:rsid w:val="00DC3E88"/>
    <w:rsid w:val="00DE577C"/>
    <w:rsid w:val="00E13E42"/>
    <w:rsid w:val="00E53DDF"/>
    <w:rsid w:val="00E566B3"/>
    <w:rsid w:val="00EA33EE"/>
    <w:rsid w:val="00ED73FA"/>
    <w:rsid w:val="00F267FE"/>
    <w:rsid w:val="00F31EA8"/>
    <w:rsid w:val="00F518E8"/>
    <w:rsid w:val="00F5402E"/>
    <w:rsid w:val="00F61436"/>
    <w:rsid w:val="00F7135E"/>
    <w:rsid w:val="00FB0E3F"/>
    <w:rsid w:val="00FC2561"/>
    <w:rsid w:val="00FC49F0"/>
    <w:rsid w:val="00FD7F42"/>
    <w:rsid w:val="00FF42A3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E2F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A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FFD"/>
  </w:style>
  <w:style w:type="paragraph" w:styleId="Footer">
    <w:name w:val="footer"/>
    <w:basedOn w:val="Normal"/>
    <w:link w:val="FooterChar"/>
    <w:uiPriority w:val="99"/>
    <w:unhideWhenUsed/>
    <w:rsid w:val="001E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FFD"/>
  </w:style>
  <w:style w:type="character" w:customStyle="1" w:styleId="Heading2Char">
    <w:name w:val="Heading 2 Char"/>
    <w:basedOn w:val="DefaultParagraphFont"/>
    <w:link w:val="Heading2"/>
    <w:rsid w:val="005B0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E2F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A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A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FFD"/>
  </w:style>
  <w:style w:type="paragraph" w:styleId="Footer">
    <w:name w:val="footer"/>
    <w:basedOn w:val="Normal"/>
    <w:link w:val="FooterChar"/>
    <w:uiPriority w:val="99"/>
    <w:unhideWhenUsed/>
    <w:rsid w:val="001E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FFD"/>
  </w:style>
  <w:style w:type="character" w:customStyle="1" w:styleId="Heading2Char">
    <w:name w:val="Heading 2 Char"/>
    <w:basedOn w:val="DefaultParagraphFont"/>
    <w:link w:val="Heading2"/>
    <w:rsid w:val="005B0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0CA1-3E80-43EF-BF65-F2DBD077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HillS201</dc:creator>
  <cp:lastModifiedBy>wilsond185</cp:lastModifiedBy>
  <cp:revision>3</cp:revision>
  <cp:lastPrinted>2017-02-13T08:29:00Z</cp:lastPrinted>
  <dcterms:created xsi:type="dcterms:W3CDTF">2017-03-21T11:24:00Z</dcterms:created>
  <dcterms:modified xsi:type="dcterms:W3CDTF">2017-03-21T11:36:00Z</dcterms:modified>
</cp:coreProperties>
</file>