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67CAE2A1" w:rsidR="00A57128" w:rsidRPr="002A1F7A" w:rsidRDefault="00A57128" w:rsidP="002A1F7A">
      <w:pPr>
        <w:pStyle w:val="Heading1"/>
        <w:jc w:val="center"/>
        <w:rPr>
          <w:sz w:val="44"/>
          <w:szCs w:val="44"/>
        </w:rPr>
      </w:pPr>
      <w:r w:rsidRPr="00B818C3">
        <w:rPr>
          <w:sz w:val="44"/>
          <w:szCs w:val="44"/>
        </w:rPr>
        <w:t>Expression of interest</w:t>
      </w:r>
    </w:p>
    <w:p w14:paraId="6329DEC5" w14:textId="5A8A4A2E" w:rsidR="00A57128" w:rsidRPr="007E0083" w:rsidRDefault="00A57128" w:rsidP="00EE71A2">
      <w:pPr>
        <w:pStyle w:val="Heading1"/>
      </w:pPr>
      <w:r w:rsidRPr="007E0083">
        <w:t>Title</w:t>
      </w:r>
      <w:r w:rsidR="00AE0979">
        <w:t>: Employer Engagement and Capacity to Support T Levels</w:t>
      </w:r>
    </w:p>
    <w:p w14:paraId="2B434E3D" w14:textId="6DAFA5C9" w:rsidR="00A57128" w:rsidRPr="007E0083" w:rsidRDefault="00A57128" w:rsidP="00A57128">
      <w:pPr>
        <w:rPr>
          <w:b/>
        </w:rPr>
      </w:pPr>
      <w:r w:rsidRPr="00413A2C">
        <w:t>Project reference</w:t>
      </w:r>
      <w:r w:rsidRPr="007E0083">
        <w:rPr>
          <w:b/>
        </w:rPr>
        <w:t xml:space="preserve">: </w:t>
      </w:r>
      <w:r w:rsidR="00413A2C" w:rsidRPr="00DD79CE">
        <w:rPr>
          <w:rFonts w:cs="Arial"/>
          <w:b/>
          <w:color w:val="000000"/>
          <w:szCs w:val="22"/>
        </w:rPr>
        <w:t>EOR/SBU/2017/044</w:t>
      </w:r>
    </w:p>
    <w:p w14:paraId="501D40E4" w14:textId="480E9485" w:rsidR="00A57128" w:rsidRPr="007E0083" w:rsidRDefault="00A57128" w:rsidP="00A57128">
      <w:pPr>
        <w:rPr>
          <w:b/>
        </w:rPr>
      </w:pPr>
      <w:r w:rsidRPr="00413A2C">
        <w:t>Deadline for expressions of interest</w:t>
      </w:r>
      <w:r w:rsidRPr="007E0083">
        <w:rPr>
          <w:b/>
        </w:rPr>
        <w:t>:</w:t>
      </w:r>
      <w:r w:rsidR="00413A2C">
        <w:rPr>
          <w:b/>
        </w:rPr>
        <w:t xml:space="preserve"> Midnight</w:t>
      </w:r>
      <w:r w:rsidR="0045777D">
        <w:rPr>
          <w:b/>
        </w:rPr>
        <w:t>,</w:t>
      </w:r>
      <w:r w:rsidR="00413A2C">
        <w:rPr>
          <w:b/>
        </w:rPr>
        <w:t xml:space="preserve"> Wednesday 8</w:t>
      </w:r>
      <w:r w:rsidR="00413A2C" w:rsidRPr="00413A2C">
        <w:rPr>
          <w:b/>
          <w:vertAlign w:val="superscript"/>
        </w:rPr>
        <w:t>th</w:t>
      </w:r>
      <w:r w:rsidR="00413A2C">
        <w:rPr>
          <w:b/>
        </w:rPr>
        <w:t xml:space="preserve"> November</w:t>
      </w:r>
    </w:p>
    <w:p w14:paraId="0CFBF484" w14:textId="184FA1CF" w:rsidR="00A57128" w:rsidRPr="001F2CE2" w:rsidRDefault="00A57128" w:rsidP="00ED3790">
      <w:pPr>
        <w:pStyle w:val="Heading2"/>
        <w:contextualSpacing/>
      </w:pPr>
      <w:r w:rsidRPr="001F2CE2">
        <w:t>Summary</w:t>
      </w:r>
    </w:p>
    <w:p w14:paraId="237D87FC" w14:textId="1D7E50A6" w:rsidR="00A57128" w:rsidRPr="00A57128" w:rsidRDefault="00A57128" w:rsidP="00ED3790">
      <w:pPr>
        <w:contextualSpacing/>
      </w:pPr>
      <w:r w:rsidRPr="003E05F9">
        <w:rPr>
          <w:szCs w:val="22"/>
        </w:rPr>
        <w:t>Expressions of interest are sought</w:t>
      </w:r>
      <w:r>
        <w:rPr>
          <w:szCs w:val="22"/>
        </w:rPr>
        <w:t xml:space="preserve"> to</w:t>
      </w:r>
      <w:r w:rsidR="002C0C16">
        <w:rPr>
          <w:szCs w:val="22"/>
        </w:rPr>
        <w:t xml:space="preserve"> </w:t>
      </w:r>
      <w:r w:rsidR="00413A2C">
        <w:rPr>
          <w:szCs w:val="22"/>
        </w:rPr>
        <w:t xml:space="preserve">undertake </w:t>
      </w:r>
      <w:r w:rsidR="00413A2C">
        <w:rPr>
          <w:rFonts w:cs="Arial"/>
        </w:rPr>
        <w:t>qualitative research</w:t>
      </w:r>
      <w:r w:rsidR="0083342B">
        <w:rPr>
          <w:rFonts w:cs="Arial"/>
        </w:rPr>
        <w:t>. This will explore the extent t</w:t>
      </w:r>
      <w:r w:rsidR="00413A2C">
        <w:rPr>
          <w:rFonts w:cs="Arial"/>
        </w:rPr>
        <w:t>o which employers are able to offer work placements taking account of their size, industry and occupational area. In order for the Department to better understand and develop such capacity, typologies developed should outline employers’ current capacity to offer work placements and barriers to offering work</w:t>
      </w:r>
      <w:r w:rsidR="0083342B">
        <w:rPr>
          <w:rFonts w:cs="Arial"/>
        </w:rPr>
        <w:t xml:space="preserve"> </w:t>
      </w:r>
      <w:r w:rsidR="00413A2C">
        <w:rPr>
          <w:rFonts w:cs="Arial"/>
        </w:rPr>
        <w:t>placements.</w:t>
      </w:r>
    </w:p>
    <w:p w14:paraId="0BF9ADD3" w14:textId="19C94729" w:rsidR="00A57128" w:rsidRDefault="00A57128" w:rsidP="001F2CE2">
      <w:pPr>
        <w:pStyle w:val="Heading2"/>
      </w:pPr>
      <w:r>
        <w:t>Background</w:t>
      </w:r>
    </w:p>
    <w:p w14:paraId="0FF6EDB9" w14:textId="09C99426" w:rsidR="00413A2C" w:rsidRDefault="002C0C16" w:rsidP="00307DD0">
      <w:pPr>
        <w:spacing w:after="240" w:line="276" w:lineRule="auto"/>
      </w:pPr>
      <w:r w:rsidRPr="004E4825">
        <w:rPr>
          <w:color w:val="0D0D0D" w:themeColor="text1" w:themeTint="F2"/>
        </w:rPr>
        <w:t>One of the central pillars of the Post-16 Skills Plan</w:t>
      </w:r>
      <w:r w:rsidRPr="004E4825">
        <w:rPr>
          <w:color w:val="0D0D0D" w:themeColor="text1" w:themeTint="F2"/>
          <w:vertAlign w:val="superscript"/>
        </w:rPr>
        <w:footnoteReference w:id="1"/>
      </w:r>
      <w:r w:rsidRPr="004E4825">
        <w:rPr>
          <w:color w:val="0D0D0D" w:themeColor="text1" w:themeTint="F2"/>
        </w:rPr>
        <w:t xml:space="preserve"> is establishing employers as a driving fo</w:t>
      </w:r>
      <w:r w:rsidR="00413A2C">
        <w:rPr>
          <w:color w:val="0D0D0D" w:themeColor="text1" w:themeTint="F2"/>
        </w:rPr>
        <w:t>rce behind technical education. T Level action plan</w:t>
      </w:r>
      <w:r w:rsidR="00413A2C">
        <w:rPr>
          <w:rStyle w:val="FootnoteReference"/>
          <w:color w:val="0D0D0D" w:themeColor="text1" w:themeTint="F2"/>
        </w:rPr>
        <w:footnoteReference w:id="2"/>
      </w:r>
      <w:r w:rsidR="00413A2C">
        <w:rPr>
          <w:color w:val="0D0D0D" w:themeColor="text1" w:themeTint="F2"/>
        </w:rPr>
        <w:t xml:space="preserve"> outlines how these technical education reforms will </w:t>
      </w:r>
      <w:r w:rsidR="00413A2C" w:rsidRPr="00D239EF">
        <w:rPr>
          <w:rFonts w:eastAsia="Calibri" w:cs="Arial"/>
        </w:rPr>
        <w:t>creat</w:t>
      </w:r>
      <w:r w:rsidR="00413A2C">
        <w:rPr>
          <w:rFonts w:eastAsia="Calibri" w:cs="Arial"/>
        </w:rPr>
        <w:t>e</w:t>
      </w:r>
      <w:r w:rsidR="00413A2C" w:rsidRPr="00D239EF">
        <w:rPr>
          <w:rFonts w:eastAsia="Calibri" w:cs="Arial"/>
        </w:rPr>
        <w:t xml:space="preserve"> </w:t>
      </w:r>
      <w:r w:rsidR="00413A2C" w:rsidRPr="00C51E0C">
        <w:t xml:space="preserve">a common framework of </w:t>
      </w:r>
      <w:r w:rsidR="00413A2C" w:rsidRPr="00D239EF">
        <w:rPr>
          <w:rFonts w:eastAsia="Calibri" w:cs="Arial"/>
        </w:rPr>
        <w:t xml:space="preserve">15 high-quality </w:t>
      </w:r>
      <w:r w:rsidR="00413A2C">
        <w:rPr>
          <w:rFonts w:eastAsia="Calibri" w:cs="Arial"/>
        </w:rPr>
        <w:t xml:space="preserve">technical education </w:t>
      </w:r>
      <w:r w:rsidR="00413A2C" w:rsidRPr="00D239EF">
        <w:rPr>
          <w:rFonts w:eastAsia="Calibri" w:cs="Arial"/>
        </w:rPr>
        <w:t>routes to</w:t>
      </w:r>
      <w:r w:rsidR="00413A2C">
        <w:rPr>
          <w:rFonts w:eastAsia="Calibri" w:cs="Arial"/>
        </w:rPr>
        <w:t xml:space="preserve"> skilled employment, </w:t>
      </w:r>
      <w:r w:rsidR="00413A2C" w:rsidRPr="00D239EF">
        <w:rPr>
          <w:rFonts w:eastAsia="Calibri" w:cs="Arial"/>
        </w:rPr>
        <w:t xml:space="preserve">which group together occupations </w:t>
      </w:r>
      <w:r w:rsidR="00413A2C">
        <w:rPr>
          <w:rFonts w:eastAsia="Calibri" w:cs="Arial"/>
        </w:rPr>
        <w:t xml:space="preserve">with </w:t>
      </w:r>
      <w:r w:rsidR="00413A2C" w:rsidRPr="00950D82">
        <w:rPr>
          <w:rFonts w:cs="Arial"/>
        </w:rPr>
        <w:t>related skills, knowledge and behaviour requirements</w:t>
      </w:r>
      <w:r w:rsidR="00413A2C">
        <w:rPr>
          <w:rFonts w:cs="Arial"/>
        </w:rPr>
        <w:t xml:space="preserve">. </w:t>
      </w:r>
      <w:r w:rsidR="00307DD0">
        <w:t>The 11 college-based routes and pathways within (maps including occupation</w:t>
      </w:r>
      <w:r w:rsidR="00B15B9A">
        <w:t>al clusters</w:t>
      </w:r>
      <w:r w:rsidR="00307DD0">
        <w:t xml:space="preserve"> available on request) specifically relate to this commission, as learners need to complete a high-quality work placements of 45</w:t>
      </w:r>
      <w:r w:rsidR="00B15B9A">
        <w:t xml:space="preserve"> </w:t>
      </w:r>
      <w:r w:rsidR="00307DD0">
        <w:t>- 60 days in order attain a T level qualification.</w:t>
      </w:r>
    </w:p>
    <w:p w14:paraId="1427ABCA" w14:textId="0B2321A1" w:rsidR="00307DD0" w:rsidRDefault="00B24B2F" w:rsidP="00307DD0">
      <w:pPr>
        <w:spacing w:after="240" w:line="276" w:lineRule="auto"/>
      </w:pPr>
      <w:r>
        <w:t>As work experience is not offered at scale and typically lasts one week, t</w:t>
      </w:r>
      <w:r w:rsidR="00307DD0">
        <w:t>hese reforms represent a major shift for employers and the Further Education (FE) sector</w:t>
      </w:r>
      <w:r>
        <w:t>. T</w:t>
      </w:r>
      <w:r w:rsidR="00307DD0">
        <w:t>here needs to be an increase in both the number and duration of work plac</w:t>
      </w:r>
      <w:r w:rsidR="00ED3790">
        <w:t>ements to support T levels, therefore</w:t>
      </w:r>
      <w:r w:rsidR="00307DD0">
        <w:t xml:space="preserve"> many more employers will be required to engage with the FE sector</w:t>
      </w:r>
      <w:r>
        <w:t xml:space="preserve"> to provide these</w:t>
      </w:r>
      <w:r w:rsidR="00307DD0">
        <w:t>. Specifically, the Department needs to understand the extent to which employers of different sizes, sectors and occupational areas are able and willing to provide work placements</w:t>
      </w:r>
      <w:r w:rsidR="00B15B9A">
        <w:t>, as well as ways of overcoming potential barriers.</w:t>
      </w:r>
    </w:p>
    <w:p w14:paraId="2DA3BB87" w14:textId="63FB1122" w:rsidR="00A57128" w:rsidRDefault="002C0C16" w:rsidP="001F2CE2">
      <w:pPr>
        <w:pStyle w:val="Heading2"/>
      </w:pPr>
      <w:r>
        <w:lastRenderedPageBreak/>
        <w:t>Research</w:t>
      </w:r>
      <w:r w:rsidR="00A57128" w:rsidRPr="003E05F9">
        <w:t xml:space="preserve"> aims</w:t>
      </w:r>
    </w:p>
    <w:p w14:paraId="72ED1E69" w14:textId="1DAFE209" w:rsidR="00B24B2F" w:rsidRDefault="00B24B2F" w:rsidP="00B24B2F">
      <w:pPr>
        <w:spacing w:after="240" w:line="276" w:lineRule="auto"/>
        <w:rPr>
          <w:rFonts w:cs="Arial"/>
          <w:color w:val="0D0D0D"/>
        </w:rPr>
      </w:pPr>
      <w:r w:rsidRPr="0040044B">
        <w:rPr>
          <w:rFonts w:cs="Arial"/>
          <w:color w:val="0D0D0D"/>
        </w:rPr>
        <w:t>T</w:t>
      </w:r>
      <w:r>
        <w:rPr>
          <w:rFonts w:cs="Arial"/>
          <w:color w:val="0D0D0D"/>
        </w:rPr>
        <w:t>hrough the development of qualitative typologies, this research should detail</w:t>
      </w:r>
      <w:r w:rsidRPr="0040044B">
        <w:rPr>
          <w:rFonts w:cs="Arial"/>
          <w:color w:val="0D0D0D"/>
        </w:rPr>
        <w:t xml:space="preserve"> employer</w:t>
      </w:r>
      <w:r>
        <w:rPr>
          <w:rFonts w:cs="Arial"/>
          <w:color w:val="0D0D0D"/>
        </w:rPr>
        <w:t xml:space="preserve">’s </w:t>
      </w:r>
      <w:r w:rsidRPr="0040044B">
        <w:rPr>
          <w:rFonts w:cs="Arial"/>
          <w:color w:val="0D0D0D"/>
        </w:rPr>
        <w:t>capacity</w:t>
      </w:r>
      <w:r>
        <w:rPr>
          <w:rFonts w:cs="Arial"/>
          <w:color w:val="0D0D0D"/>
        </w:rPr>
        <w:t xml:space="preserve"> and </w:t>
      </w:r>
      <w:r w:rsidRPr="0040044B">
        <w:rPr>
          <w:rFonts w:cs="Arial"/>
          <w:color w:val="0D0D0D"/>
        </w:rPr>
        <w:t>likelihood of offering work placements</w:t>
      </w:r>
      <w:r>
        <w:rPr>
          <w:rFonts w:cs="Arial"/>
          <w:color w:val="0D0D0D"/>
        </w:rPr>
        <w:t xml:space="preserve">, any barriers to this, and </w:t>
      </w:r>
      <w:r w:rsidRPr="0040044B">
        <w:rPr>
          <w:rFonts w:cs="Arial"/>
          <w:color w:val="0D0D0D"/>
        </w:rPr>
        <w:t xml:space="preserve">what additional support employers need </w:t>
      </w:r>
      <w:r>
        <w:rPr>
          <w:rFonts w:cs="Arial"/>
          <w:color w:val="0D0D0D"/>
        </w:rPr>
        <w:t xml:space="preserve">in order </w:t>
      </w:r>
      <w:r w:rsidRPr="0040044B">
        <w:rPr>
          <w:rFonts w:cs="Arial"/>
          <w:color w:val="0D0D0D"/>
        </w:rPr>
        <w:t xml:space="preserve">to </w:t>
      </w:r>
      <w:r>
        <w:rPr>
          <w:rFonts w:cs="Arial"/>
          <w:color w:val="0D0D0D"/>
        </w:rPr>
        <w:t xml:space="preserve">provide and </w:t>
      </w:r>
      <w:r w:rsidRPr="0040044B">
        <w:rPr>
          <w:rFonts w:cs="Arial"/>
          <w:color w:val="0D0D0D"/>
        </w:rPr>
        <w:t>deliver work placements</w:t>
      </w:r>
      <w:r>
        <w:rPr>
          <w:rFonts w:cs="Arial"/>
          <w:color w:val="0D0D0D"/>
        </w:rPr>
        <w:t>.</w:t>
      </w:r>
    </w:p>
    <w:p w14:paraId="7BD16016" w14:textId="4DA4A44C" w:rsidR="00B24B2F" w:rsidRDefault="002C0C16" w:rsidP="002C0C16">
      <w:pPr>
        <w:spacing w:after="240" w:line="276" w:lineRule="auto"/>
        <w:rPr>
          <w:rFonts w:cs="Arial"/>
          <w:color w:val="0D0D0D"/>
        </w:rPr>
      </w:pPr>
      <w:r w:rsidRPr="008C6AC2">
        <w:rPr>
          <w:rFonts w:cs="Arial"/>
          <w:color w:val="0D0D0D" w:themeColor="text1" w:themeTint="F2"/>
        </w:rPr>
        <w:t>T</w:t>
      </w:r>
      <w:r w:rsidR="00B24B2F">
        <w:rPr>
          <w:rFonts w:cs="Arial"/>
          <w:color w:val="0D0D0D" w:themeColor="text1" w:themeTint="F2"/>
        </w:rPr>
        <w:t>aking account of</w:t>
      </w:r>
      <w:r w:rsidR="00B24B2F" w:rsidRPr="00B24B2F">
        <w:rPr>
          <w:rFonts w:cs="Arial"/>
          <w:color w:val="0D0D0D"/>
        </w:rPr>
        <w:t xml:space="preserve"> </w:t>
      </w:r>
      <w:r w:rsidR="00B24B2F">
        <w:rPr>
          <w:rFonts w:cs="Arial"/>
          <w:color w:val="0D0D0D"/>
        </w:rPr>
        <w:t>employer size (number of employees), industry, and occupational areas (where possible), the research should:</w:t>
      </w:r>
    </w:p>
    <w:p w14:paraId="7525C2F0" w14:textId="016EA49D" w:rsidR="00B24B2F" w:rsidRPr="00B24B2F" w:rsidRDefault="00B24B2F" w:rsidP="00B24B2F">
      <w:pPr>
        <w:numPr>
          <w:ilvl w:val="0"/>
          <w:numId w:val="19"/>
        </w:numPr>
        <w:spacing w:after="240" w:line="276" w:lineRule="auto"/>
        <w:contextualSpacing/>
        <w:rPr>
          <w:rFonts w:cs="Arial"/>
          <w:color w:val="0D0D0D"/>
        </w:rPr>
      </w:pPr>
      <w:r w:rsidRPr="00B24B2F">
        <w:rPr>
          <w:rFonts w:cs="Arial"/>
          <w:color w:val="0D0D0D"/>
        </w:rPr>
        <w:t>Create qualitative typologies of likely engagement.</w:t>
      </w:r>
    </w:p>
    <w:p w14:paraId="5A4F10FC" w14:textId="49EE2700" w:rsidR="00B24B2F" w:rsidRPr="00B24B2F" w:rsidRDefault="00B24B2F" w:rsidP="00B24B2F">
      <w:pPr>
        <w:numPr>
          <w:ilvl w:val="0"/>
          <w:numId w:val="19"/>
        </w:numPr>
        <w:spacing w:after="240" w:line="276" w:lineRule="auto"/>
        <w:contextualSpacing/>
        <w:rPr>
          <w:rFonts w:cs="Arial"/>
          <w:color w:val="0D0D0D"/>
        </w:rPr>
      </w:pPr>
      <w:r w:rsidRPr="00B24B2F">
        <w:rPr>
          <w:rFonts w:cs="Arial"/>
          <w:color w:val="0D0D0D"/>
        </w:rPr>
        <w:t xml:space="preserve">Assess a) how able, and b) how willing, employers are to offer work placements which are on average 50 working days in length within an acceptable range of 45 to 60 days covering a minimum of 315 hours. </w:t>
      </w:r>
    </w:p>
    <w:p w14:paraId="3B3C6C43" w14:textId="08ED47C2" w:rsidR="00B24B2F" w:rsidRPr="00B24B2F" w:rsidRDefault="00B24B2F" w:rsidP="00B24B2F">
      <w:pPr>
        <w:numPr>
          <w:ilvl w:val="0"/>
          <w:numId w:val="19"/>
        </w:numPr>
        <w:spacing w:after="240" w:line="276" w:lineRule="auto"/>
        <w:contextualSpacing/>
        <w:rPr>
          <w:rFonts w:cs="Arial"/>
          <w:color w:val="0D0D0D"/>
        </w:rPr>
      </w:pPr>
      <w:r w:rsidRPr="00B24B2F">
        <w:rPr>
          <w:rFonts w:cs="Arial"/>
          <w:color w:val="0D0D0D"/>
        </w:rPr>
        <w:t>Explore challenges and motivations for employer engagement and how any challenges to engagement and delivery of work placements can be overcome.</w:t>
      </w:r>
    </w:p>
    <w:p w14:paraId="076F98A8" w14:textId="2857C86E" w:rsidR="00B24B2F" w:rsidRPr="00B24B2F" w:rsidRDefault="00ED3790" w:rsidP="00B24B2F">
      <w:pPr>
        <w:numPr>
          <w:ilvl w:val="0"/>
          <w:numId w:val="19"/>
        </w:numPr>
        <w:spacing w:after="240" w:line="276" w:lineRule="auto"/>
        <w:contextualSpacing/>
        <w:rPr>
          <w:rFonts w:cs="Arial"/>
          <w:color w:val="0D0D0D"/>
        </w:rPr>
      </w:pPr>
      <w:r>
        <w:rPr>
          <w:rFonts w:cs="Arial"/>
          <w:color w:val="0D0D0D"/>
        </w:rPr>
        <w:t>Suggest</w:t>
      </w:r>
      <w:r w:rsidR="00B24B2F" w:rsidRPr="00B24B2F">
        <w:rPr>
          <w:rFonts w:cs="Arial"/>
          <w:color w:val="0D0D0D"/>
        </w:rPr>
        <w:t xml:space="preserve"> questions which could be inserted into existing employer surveys (such as the Employer Perspective Survey), to quantify capacity, barriers and support requirements.</w:t>
      </w:r>
    </w:p>
    <w:p w14:paraId="5F4029F7" w14:textId="77777777" w:rsidR="00B24B2F" w:rsidRDefault="00B24B2F" w:rsidP="00B24B2F">
      <w:pPr>
        <w:numPr>
          <w:ilvl w:val="0"/>
          <w:numId w:val="19"/>
        </w:numPr>
        <w:spacing w:after="240" w:line="276" w:lineRule="auto"/>
        <w:contextualSpacing/>
        <w:rPr>
          <w:rFonts w:cs="Arial"/>
          <w:color w:val="0D0D0D"/>
        </w:rPr>
      </w:pPr>
      <w:r>
        <w:rPr>
          <w:rFonts w:cs="Arial"/>
          <w:color w:val="0D0D0D"/>
        </w:rPr>
        <w:t xml:space="preserve">Explore how </w:t>
      </w:r>
      <w:r w:rsidRPr="001C26AC">
        <w:rPr>
          <w:rFonts w:cs="Arial"/>
          <w:color w:val="0D0D0D"/>
        </w:rPr>
        <w:t>employer</w:t>
      </w:r>
      <w:r>
        <w:rPr>
          <w:rFonts w:cs="Arial"/>
          <w:color w:val="0D0D0D"/>
        </w:rPr>
        <w:t>s</w:t>
      </w:r>
      <w:r w:rsidRPr="001C26AC">
        <w:rPr>
          <w:rFonts w:cs="Arial"/>
          <w:color w:val="0D0D0D"/>
        </w:rPr>
        <w:t xml:space="preserve"> </w:t>
      </w:r>
      <w:r>
        <w:rPr>
          <w:rFonts w:cs="Arial"/>
          <w:color w:val="0D0D0D"/>
        </w:rPr>
        <w:t xml:space="preserve">work with </w:t>
      </w:r>
      <w:r w:rsidRPr="001C26AC">
        <w:rPr>
          <w:rFonts w:cs="Arial"/>
          <w:color w:val="0D0D0D"/>
        </w:rPr>
        <w:t>existing skills infrastructure (ie. L</w:t>
      </w:r>
      <w:r>
        <w:rPr>
          <w:rFonts w:cs="Arial"/>
          <w:color w:val="0D0D0D"/>
        </w:rPr>
        <w:t xml:space="preserve">ocal </w:t>
      </w:r>
      <w:r w:rsidRPr="001C26AC">
        <w:rPr>
          <w:rFonts w:cs="Arial"/>
          <w:color w:val="0D0D0D"/>
        </w:rPr>
        <w:t>E</w:t>
      </w:r>
      <w:r>
        <w:rPr>
          <w:rFonts w:cs="Arial"/>
          <w:color w:val="0D0D0D"/>
        </w:rPr>
        <w:t xml:space="preserve">nterprise </w:t>
      </w:r>
      <w:r w:rsidRPr="001C26AC">
        <w:rPr>
          <w:rFonts w:cs="Arial"/>
          <w:color w:val="0D0D0D"/>
        </w:rPr>
        <w:t>P</w:t>
      </w:r>
      <w:r>
        <w:rPr>
          <w:rFonts w:cs="Arial"/>
          <w:color w:val="0D0D0D"/>
        </w:rPr>
        <w:t>artnership</w:t>
      </w:r>
      <w:r w:rsidRPr="001C26AC">
        <w:rPr>
          <w:rFonts w:cs="Arial"/>
          <w:color w:val="0D0D0D"/>
        </w:rPr>
        <w:t>s, Chambers of Commerce, etc)</w:t>
      </w:r>
      <w:r>
        <w:rPr>
          <w:rFonts w:cs="Arial"/>
          <w:color w:val="0D0D0D"/>
        </w:rPr>
        <w:t xml:space="preserve">, and what mechanisms exist for doing this </w:t>
      </w:r>
      <w:r w:rsidRPr="001C26AC">
        <w:rPr>
          <w:rFonts w:cs="Arial"/>
          <w:color w:val="0D0D0D"/>
        </w:rPr>
        <w:t>(ie. data sharing, standing groups etc)</w:t>
      </w:r>
      <w:r>
        <w:rPr>
          <w:rFonts w:cs="Arial"/>
          <w:color w:val="0D0D0D"/>
        </w:rPr>
        <w:t>. Under what circumstances is this collaboration useful.</w:t>
      </w:r>
    </w:p>
    <w:p w14:paraId="0E6B3F4B" w14:textId="3FFAC682" w:rsidR="004A600B" w:rsidRPr="004A600B" w:rsidRDefault="004A600B" w:rsidP="001F2CE2">
      <w:pPr>
        <w:pStyle w:val="Heading2"/>
      </w:pPr>
      <w:r>
        <w:t>Methodology</w:t>
      </w:r>
    </w:p>
    <w:p w14:paraId="5634AFEB" w14:textId="219844CF" w:rsidR="002C0C16" w:rsidRPr="008C6AC2" w:rsidRDefault="00B24B2F" w:rsidP="002C0C16">
      <w:pPr>
        <w:widowControl w:val="0"/>
        <w:overflowPunct w:val="0"/>
        <w:autoSpaceDE w:val="0"/>
        <w:autoSpaceDN w:val="0"/>
        <w:adjustRightInd w:val="0"/>
        <w:spacing w:after="240"/>
        <w:textAlignment w:val="baseline"/>
        <w:rPr>
          <w:rFonts w:cs="Arial"/>
          <w:bCs/>
        </w:rPr>
      </w:pPr>
      <w:r w:rsidRPr="0040044B">
        <w:rPr>
          <w:rFonts w:cs="Arial"/>
          <w:bCs/>
        </w:rPr>
        <w:t>In order for employers to provide informed responses to the above questions, an in-depth, face-to-face qualitative approach is envisaged</w:t>
      </w:r>
      <w:r>
        <w:rPr>
          <w:rFonts w:cs="Arial"/>
          <w:bCs/>
        </w:rPr>
        <w:t>.</w:t>
      </w:r>
      <w:r w:rsidRPr="0040044B">
        <w:rPr>
          <w:rFonts w:cs="Arial"/>
          <w:bCs/>
        </w:rPr>
        <w:t xml:space="preserve"> This will ensure employers ful</w:t>
      </w:r>
      <w:r w:rsidR="00ED3790">
        <w:rPr>
          <w:rFonts w:cs="Arial"/>
          <w:bCs/>
        </w:rPr>
        <w:t>ly understand the commitments,</w:t>
      </w:r>
      <w:r w:rsidRPr="0040044B">
        <w:rPr>
          <w:rFonts w:cs="Arial"/>
          <w:bCs/>
        </w:rPr>
        <w:t xml:space="preserve"> responsibilities</w:t>
      </w:r>
      <w:r w:rsidR="00ED3790">
        <w:rPr>
          <w:rFonts w:cs="Arial"/>
          <w:bCs/>
        </w:rPr>
        <w:t xml:space="preserve"> and benefits</w:t>
      </w:r>
      <w:r w:rsidRPr="0040044B">
        <w:rPr>
          <w:rFonts w:cs="Arial"/>
          <w:bCs/>
        </w:rPr>
        <w:t xml:space="preserve"> of taking students on work placements</w:t>
      </w:r>
      <w:r>
        <w:rPr>
          <w:rFonts w:cs="Arial"/>
          <w:bCs/>
        </w:rPr>
        <w:t xml:space="preserve"> before asking questions on work placement capacity</w:t>
      </w:r>
      <w:r w:rsidRPr="0040044B">
        <w:rPr>
          <w:rFonts w:cs="Arial"/>
          <w:bCs/>
        </w:rPr>
        <w:t xml:space="preserve">. </w:t>
      </w:r>
    </w:p>
    <w:p w14:paraId="3E4DA6FC" w14:textId="3E8424D1" w:rsidR="002C0C16" w:rsidRPr="008C6AC2" w:rsidRDefault="002C0C16" w:rsidP="002C0C16">
      <w:pPr>
        <w:widowControl w:val="0"/>
        <w:overflowPunct w:val="0"/>
        <w:autoSpaceDE w:val="0"/>
        <w:autoSpaceDN w:val="0"/>
        <w:adjustRightInd w:val="0"/>
        <w:spacing w:after="240"/>
        <w:textAlignment w:val="baseline"/>
        <w:rPr>
          <w:rFonts w:cs="Arial"/>
          <w:bCs/>
        </w:rPr>
      </w:pPr>
      <w:r w:rsidRPr="008C6AC2">
        <w:rPr>
          <w:rFonts w:cs="Arial"/>
          <w:bCs/>
        </w:rPr>
        <w:t xml:space="preserve"> The research need</w:t>
      </w:r>
      <w:r w:rsidR="00B24B2F">
        <w:rPr>
          <w:rFonts w:cs="Arial"/>
          <w:bCs/>
        </w:rPr>
        <w:t>s</w:t>
      </w:r>
      <w:r w:rsidRPr="008C6AC2">
        <w:rPr>
          <w:rFonts w:cs="Arial"/>
          <w:bCs/>
        </w:rPr>
        <w:t xml:space="preserve"> to target:</w:t>
      </w:r>
    </w:p>
    <w:p w14:paraId="6217DA06" w14:textId="77777777" w:rsidR="00B24B2F" w:rsidRDefault="00B24B2F" w:rsidP="00B24B2F">
      <w:pPr>
        <w:widowControl w:val="0"/>
        <w:numPr>
          <w:ilvl w:val="0"/>
          <w:numId w:val="20"/>
        </w:numPr>
        <w:overflowPunct w:val="0"/>
        <w:autoSpaceDE w:val="0"/>
        <w:autoSpaceDN w:val="0"/>
        <w:adjustRightInd w:val="0"/>
        <w:spacing w:after="240" w:line="259" w:lineRule="auto"/>
        <w:textAlignment w:val="baseline"/>
        <w:rPr>
          <w:rFonts w:cs="Arial"/>
          <w:bCs/>
        </w:rPr>
      </w:pPr>
      <w:r>
        <w:rPr>
          <w:rFonts w:cs="Arial"/>
          <w:bCs/>
        </w:rPr>
        <w:t xml:space="preserve">Employers that already </w:t>
      </w:r>
      <w:r w:rsidRPr="0040044B">
        <w:rPr>
          <w:rFonts w:cs="Arial"/>
          <w:bCs/>
        </w:rPr>
        <w:t>of</w:t>
      </w:r>
      <w:r>
        <w:rPr>
          <w:rFonts w:cs="Arial"/>
          <w:bCs/>
        </w:rPr>
        <w:t>fer work placements or work experience, and</w:t>
      </w:r>
      <w:r w:rsidRPr="0040044B">
        <w:rPr>
          <w:rFonts w:cs="Arial"/>
          <w:bCs/>
        </w:rPr>
        <w:t xml:space="preserve"> have some kno</w:t>
      </w:r>
      <w:r>
        <w:rPr>
          <w:rFonts w:cs="Arial"/>
          <w:bCs/>
        </w:rPr>
        <w:t xml:space="preserve">wledge of what is involved but </w:t>
      </w:r>
      <w:r w:rsidRPr="0040044B">
        <w:rPr>
          <w:rFonts w:cs="Arial"/>
          <w:bCs/>
        </w:rPr>
        <w:t>may not understand the benefits of longer work placements with better-trained young people</w:t>
      </w:r>
      <w:r>
        <w:rPr>
          <w:rFonts w:cs="Arial"/>
          <w:bCs/>
        </w:rPr>
        <w:t>.</w:t>
      </w:r>
    </w:p>
    <w:p w14:paraId="48141024" w14:textId="77777777" w:rsidR="00B24B2F" w:rsidRPr="00AA162A" w:rsidRDefault="00B24B2F" w:rsidP="00B24B2F">
      <w:pPr>
        <w:widowControl w:val="0"/>
        <w:numPr>
          <w:ilvl w:val="0"/>
          <w:numId w:val="20"/>
        </w:numPr>
        <w:overflowPunct w:val="0"/>
        <w:autoSpaceDE w:val="0"/>
        <w:autoSpaceDN w:val="0"/>
        <w:adjustRightInd w:val="0"/>
        <w:spacing w:after="240" w:line="259" w:lineRule="auto"/>
        <w:textAlignment w:val="baseline"/>
        <w:rPr>
          <w:rFonts w:cs="Arial"/>
          <w:bCs/>
        </w:rPr>
      </w:pPr>
      <w:r>
        <w:rPr>
          <w:rFonts w:cs="Arial"/>
          <w:bCs/>
        </w:rPr>
        <w:t>N</w:t>
      </w:r>
      <w:r w:rsidRPr="00AA162A">
        <w:rPr>
          <w:rFonts w:cs="Arial"/>
          <w:bCs/>
        </w:rPr>
        <w:t xml:space="preserve">on-engaged employers </w:t>
      </w:r>
      <w:r>
        <w:rPr>
          <w:rFonts w:cs="Arial"/>
          <w:bCs/>
        </w:rPr>
        <w:t xml:space="preserve">who will require detailed information </w:t>
      </w:r>
      <w:r w:rsidRPr="00AA162A">
        <w:rPr>
          <w:rFonts w:cs="Arial"/>
          <w:bCs/>
        </w:rPr>
        <w:t>on the costs, responsibilities and benefits of offering work placements. Potential contractors will need to develop</w:t>
      </w:r>
      <w:bookmarkStart w:id="0" w:name="_GoBack"/>
      <w:bookmarkEnd w:id="0"/>
      <w:r w:rsidRPr="00AA162A">
        <w:rPr>
          <w:rFonts w:cs="Arial"/>
          <w:bCs/>
        </w:rPr>
        <w:t xml:space="preserve"> an accessible way of doing this with employers who have little or no experience of training or working with young people.</w:t>
      </w:r>
    </w:p>
    <w:p w14:paraId="6D11213C" w14:textId="3B9C1DCF" w:rsidR="007820C4" w:rsidRPr="002C0C16" w:rsidRDefault="00AE0979" w:rsidP="007820C4">
      <w:pPr>
        <w:widowControl w:val="0"/>
        <w:overflowPunct w:val="0"/>
        <w:autoSpaceDE w:val="0"/>
        <w:autoSpaceDN w:val="0"/>
        <w:adjustRightInd w:val="0"/>
        <w:spacing w:after="240"/>
        <w:textAlignment w:val="baseline"/>
        <w:rPr>
          <w:rFonts w:cs="Arial"/>
          <w:bCs/>
        </w:rPr>
      </w:pPr>
      <w:r>
        <w:rPr>
          <w:rFonts w:cs="Arial"/>
          <w:bCs/>
        </w:rPr>
        <w:t xml:space="preserve">The research should cover employers of different sizes and occupations across all </w:t>
      </w:r>
      <w:r w:rsidRPr="0040044B">
        <w:rPr>
          <w:rFonts w:cs="Arial"/>
          <w:bCs/>
        </w:rPr>
        <w:t xml:space="preserve">11 classroom based </w:t>
      </w:r>
      <w:r>
        <w:rPr>
          <w:rFonts w:cs="Arial"/>
          <w:bCs/>
        </w:rPr>
        <w:t>T level</w:t>
      </w:r>
      <w:r w:rsidRPr="0040044B">
        <w:rPr>
          <w:rFonts w:cs="Arial"/>
          <w:bCs/>
        </w:rPr>
        <w:t xml:space="preserve"> routes</w:t>
      </w:r>
      <w:r>
        <w:rPr>
          <w:rFonts w:cs="Arial"/>
          <w:bCs/>
        </w:rPr>
        <w:t>. Example occupations are available in occupational maps (available on request).</w:t>
      </w:r>
    </w:p>
    <w:p w14:paraId="502BE6FA" w14:textId="3DFF7B54" w:rsidR="004A600B" w:rsidRDefault="004A600B" w:rsidP="001F2CE2">
      <w:pPr>
        <w:pStyle w:val="Heading2"/>
      </w:pPr>
      <w:r>
        <w:t>Timing</w:t>
      </w:r>
    </w:p>
    <w:p w14:paraId="6DB3DA3D" w14:textId="5EAB0228" w:rsidR="007E0083" w:rsidRPr="007E0083" w:rsidRDefault="00AE0979" w:rsidP="007E0083">
      <w:pPr>
        <w:pStyle w:val="ListParagraph"/>
        <w:numPr>
          <w:ilvl w:val="0"/>
          <w:numId w:val="18"/>
        </w:numPr>
      </w:pPr>
      <w:r>
        <w:t>Deadline for EOIs – Midnight</w:t>
      </w:r>
      <w:r w:rsidR="0045777D">
        <w:t>,</w:t>
      </w:r>
      <w:r>
        <w:t xml:space="preserve"> Wednesday 8</w:t>
      </w:r>
      <w:r w:rsidRPr="00AE0979">
        <w:rPr>
          <w:vertAlign w:val="superscript"/>
        </w:rPr>
        <w:t>th</w:t>
      </w:r>
      <w:r>
        <w:t xml:space="preserve"> November</w:t>
      </w:r>
    </w:p>
    <w:p w14:paraId="1AD7D7F8" w14:textId="105F685D" w:rsidR="007E0083" w:rsidRPr="007E0083" w:rsidRDefault="00AE0979" w:rsidP="007E0083">
      <w:pPr>
        <w:pStyle w:val="ListParagraph"/>
        <w:numPr>
          <w:ilvl w:val="0"/>
          <w:numId w:val="18"/>
        </w:numPr>
      </w:pPr>
      <w:r>
        <w:t>ITTs issued - 5pm</w:t>
      </w:r>
      <w:r w:rsidR="0045777D">
        <w:t>,</w:t>
      </w:r>
      <w:r>
        <w:t xml:space="preserve"> Friday 10</w:t>
      </w:r>
      <w:r w:rsidRPr="00AE0979">
        <w:rPr>
          <w:vertAlign w:val="superscript"/>
        </w:rPr>
        <w:t>th</w:t>
      </w:r>
      <w:r>
        <w:t xml:space="preserve"> November</w:t>
      </w:r>
    </w:p>
    <w:p w14:paraId="658500A9" w14:textId="2152E30A" w:rsidR="007E0083" w:rsidRDefault="007E0083" w:rsidP="007E0083">
      <w:pPr>
        <w:pStyle w:val="ListParagraph"/>
        <w:numPr>
          <w:ilvl w:val="0"/>
          <w:numId w:val="18"/>
        </w:numPr>
      </w:pPr>
      <w:r w:rsidRPr="007E0083">
        <w:t xml:space="preserve">Deadline for </w:t>
      </w:r>
      <w:r w:rsidR="00AE0979">
        <w:t>proposals – Midnight</w:t>
      </w:r>
      <w:r w:rsidR="0045777D">
        <w:t>,</w:t>
      </w:r>
      <w:r w:rsidR="00AE0979">
        <w:t xml:space="preserve"> Friday 24</w:t>
      </w:r>
      <w:r w:rsidR="00AE0979" w:rsidRPr="00AE0979">
        <w:rPr>
          <w:vertAlign w:val="superscript"/>
        </w:rPr>
        <w:t>th</w:t>
      </w:r>
      <w:r w:rsidR="00AE0979">
        <w:t xml:space="preserve"> November</w:t>
      </w:r>
    </w:p>
    <w:p w14:paraId="03DCC217" w14:textId="65518BF1" w:rsidR="006A09F7" w:rsidRDefault="006A09F7" w:rsidP="007E0083">
      <w:pPr>
        <w:pStyle w:val="ListParagraph"/>
        <w:numPr>
          <w:ilvl w:val="0"/>
          <w:numId w:val="18"/>
        </w:numPr>
      </w:pPr>
      <w:r>
        <w:t>Interviews (if required) – Friday 1</w:t>
      </w:r>
      <w:r w:rsidRPr="006A09F7">
        <w:rPr>
          <w:vertAlign w:val="superscript"/>
        </w:rPr>
        <w:t>st</w:t>
      </w:r>
      <w:r>
        <w:t xml:space="preserve"> December </w:t>
      </w:r>
    </w:p>
    <w:p w14:paraId="398CEFB9" w14:textId="5458E320" w:rsidR="00ED3790" w:rsidRDefault="00ED3790" w:rsidP="00ED3790">
      <w:pPr>
        <w:pStyle w:val="Heading2"/>
        <w:rPr>
          <w:rFonts w:cs="Arial"/>
          <w:szCs w:val="24"/>
        </w:rPr>
      </w:pPr>
      <w:r>
        <w:lastRenderedPageBreak/>
        <w:t>Budget</w:t>
      </w:r>
    </w:p>
    <w:p w14:paraId="3F14839C" w14:textId="7F3CCA82" w:rsidR="00ED3790" w:rsidRPr="002A1F7A" w:rsidRDefault="00ED3790" w:rsidP="00ED3790">
      <w:pPr>
        <w:pStyle w:val="Numbered"/>
        <w:rPr>
          <w:rFonts w:cs="Arial"/>
          <w:color w:val="0000FF"/>
          <w:sz w:val="22"/>
          <w:szCs w:val="22"/>
        </w:rPr>
      </w:pPr>
      <w:r w:rsidRPr="002A1F7A">
        <w:rPr>
          <w:rFonts w:cs="Arial"/>
          <w:sz w:val="22"/>
          <w:szCs w:val="22"/>
        </w:rPr>
        <w:t>Because the Department has left this project’s scope, methodology and outputs relatively open we have decided to declare the budget in order to keep it within reasonable limits. Bids above £96,000 will not be considered</w:t>
      </w:r>
      <w:r w:rsidRPr="002A1F7A">
        <w:rPr>
          <w:rFonts w:cs="Arial"/>
          <w:color w:val="0000FF"/>
          <w:sz w:val="22"/>
          <w:szCs w:val="22"/>
        </w:rPr>
        <w:t>.</w:t>
      </w:r>
    </w:p>
    <w:p w14:paraId="0D2B2C65" w14:textId="75E7221C" w:rsidR="004A600B" w:rsidRPr="004A600B" w:rsidRDefault="004A600B" w:rsidP="007E0083">
      <w:pPr>
        <w:pStyle w:val="Heading2"/>
      </w:pPr>
      <w:r w:rsidRPr="004A600B">
        <w:t>Assessment criteria</w:t>
      </w:r>
    </w:p>
    <w:p w14:paraId="1ED6B4EC" w14:textId="77777777" w:rsidR="00AE0979" w:rsidRPr="00AE0979" w:rsidRDefault="00AE0979" w:rsidP="00AE0979">
      <w:pPr>
        <w:rPr>
          <w:szCs w:val="22"/>
        </w:rPr>
      </w:pPr>
      <w:r w:rsidRPr="00AE0979">
        <w:rPr>
          <w:szCs w:val="22"/>
        </w:rPr>
        <w:t>Expressions of interest will be assessed against the following criteria:</w:t>
      </w:r>
    </w:p>
    <w:p w14:paraId="2AF77704" w14:textId="2E61A3A7" w:rsidR="00AE0979" w:rsidRPr="00AE0979" w:rsidRDefault="00AE0979" w:rsidP="00353C36">
      <w:pPr>
        <w:pStyle w:val="Numbered"/>
        <w:numPr>
          <w:ilvl w:val="0"/>
          <w:numId w:val="21"/>
        </w:numPr>
        <w:ind w:left="714" w:hanging="357"/>
        <w:contextualSpacing/>
        <w:rPr>
          <w:rFonts w:cs="Arial"/>
          <w:color w:val="000000"/>
          <w:sz w:val="22"/>
          <w:szCs w:val="22"/>
        </w:rPr>
      </w:pPr>
      <w:r w:rsidRPr="00AE0979">
        <w:rPr>
          <w:rFonts w:cs="Arial"/>
          <w:color w:val="000000"/>
          <w:sz w:val="22"/>
          <w:szCs w:val="22"/>
        </w:rPr>
        <w:t>Methodological expertise and suitability of approach to this study (50%)</w:t>
      </w:r>
    </w:p>
    <w:p w14:paraId="729DA7D8" w14:textId="77777777" w:rsidR="00AE0979" w:rsidRPr="00AE0979" w:rsidRDefault="00AE0979" w:rsidP="00353C36">
      <w:pPr>
        <w:pStyle w:val="Numbered"/>
        <w:numPr>
          <w:ilvl w:val="0"/>
          <w:numId w:val="21"/>
        </w:numPr>
        <w:ind w:left="714" w:hanging="357"/>
        <w:contextualSpacing/>
        <w:rPr>
          <w:rFonts w:cs="Arial"/>
          <w:color w:val="000000"/>
          <w:sz w:val="22"/>
          <w:szCs w:val="22"/>
        </w:rPr>
      </w:pPr>
      <w:r w:rsidRPr="00AE0979">
        <w:rPr>
          <w:rFonts w:cs="Arial"/>
          <w:color w:val="000000"/>
          <w:sz w:val="22"/>
          <w:szCs w:val="22"/>
        </w:rPr>
        <w:t>Value for money (20%)</w:t>
      </w:r>
    </w:p>
    <w:p w14:paraId="69C332B9" w14:textId="77777777" w:rsidR="00AE0979" w:rsidRPr="00AE0979" w:rsidRDefault="00AE0979" w:rsidP="00353C36">
      <w:pPr>
        <w:pStyle w:val="Numbered"/>
        <w:numPr>
          <w:ilvl w:val="0"/>
          <w:numId w:val="21"/>
        </w:numPr>
        <w:ind w:left="714" w:hanging="357"/>
        <w:contextualSpacing/>
        <w:rPr>
          <w:rFonts w:cs="Arial"/>
          <w:color w:val="000000"/>
          <w:sz w:val="22"/>
          <w:szCs w:val="22"/>
        </w:rPr>
      </w:pPr>
      <w:r w:rsidRPr="00AE0979">
        <w:rPr>
          <w:rFonts w:cs="Arial"/>
          <w:color w:val="000000"/>
          <w:sz w:val="22"/>
          <w:szCs w:val="22"/>
        </w:rPr>
        <w:t>Evidence of delivering qualitative research to timescale and technical ability to undertake the research (15%)</w:t>
      </w:r>
    </w:p>
    <w:p w14:paraId="40F6F47F" w14:textId="183528FB" w:rsidR="00915C18" w:rsidRPr="00AE0979" w:rsidRDefault="00AE0979" w:rsidP="00353C36">
      <w:pPr>
        <w:pStyle w:val="Numbered"/>
        <w:numPr>
          <w:ilvl w:val="0"/>
          <w:numId w:val="21"/>
        </w:numPr>
        <w:ind w:left="714" w:hanging="357"/>
        <w:contextualSpacing/>
        <w:rPr>
          <w:rFonts w:cs="Arial"/>
          <w:color w:val="000000"/>
          <w:sz w:val="22"/>
          <w:szCs w:val="22"/>
        </w:rPr>
      </w:pPr>
      <w:r w:rsidRPr="00AE0979">
        <w:rPr>
          <w:rFonts w:cs="Arial"/>
          <w:color w:val="000000"/>
          <w:sz w:val="22"/>
          <w:szCs w:val="22"/>
        </w:rPr>
        <w:t>Knowledge and experience of</w:t>
      </w:r>
      <w:r w:rsidR="00946FCC">
        <w:rPr>
          <w:rFonts w:cs="Arial"/>
          <w:color w:val="000000"/>
          <w:sz w:val="22"/>
          <w:szCs w:val="22"/>
        </w:rPr>
        <w:t xml:space="preserve"> </w:t>
      </w:r>
      <w:r w:rsidR="00946FCC" w:rsidRPr="00AE0979">
        <w:rPr>
          <w:rFonts w:cs="Arial"/>
          <w:color w:val="000000"/>
          <w:sz w:val="22"/>
          <w:szCs w:val="22"/>
        </w:rPr>
        <w:t>employers</w:t>
      </w:r>
      <w:r w:rsidRPr="00AE0979">
        <w:rPr>
          <w:rFonts w:cs="Arial"/>
          <w:color w:val="000000"/>
          <w:sz w:val="22"/>
          <w:szCs w:val="22"/>
        </w:rPr>
        <w:t xml:space="preserve"> </w:t>
      </w:r>
      <w:r w:rsidR="00946FCC">
        <w:rPr>
          <w:rFonts w:cs="Arial"/>
          <w:color w:val="000000"/>
          <w:sz w:val="22"/>
          <w:szCs w:val="22"/>
        </w:rPr>
        <w:t xml:space="preserve">and </w:t>
      </w:r>
      <w:r w:rsidRPr="00AE0979">
        <w:rPr>
          <w:rFonts w:cs="Arial"/>
          <w:color w:val="000000"/>
          <w:sz w:val="22"/>
          <w:szCs w:val="22"/>
        </w:rPr>
        <w:t>post-16 and</w:t>
      </w:r>
      <w:r w:rsidR="00946FCC">
        <w:rPr>
          <w:rFonts w:cs="Arial"/>
          <w:color w:val="000000"/>
          <w:sz w:val="22"/>
          <w:szCs w:val="22"/>
        </w:rPr>
        <w:t xml:space="preserve"> technical education policy </w:t>
      </w:r>
      <w:r w:rsidRPr="00AE0979">
        <w:rPr>
          <w:rFonts w:cs="Arial"/>
          <w:color w:val="000000"/>
          <w:sz w:val="22"/>
          <w:szCs w:val="22"/>
        </w:rPr>
        <w:t>(15%).</w:t>
      </w:r>
    </w:p>
    <w:p w14:paraId="4156161E" w14:textId="577221F2" w:rsidR="00AE0979" w:rsidRDefault="0045777D" w:rsidP="00915C18">
      <w:r>
        <w:rPr>
          <w:szCs w:val="22"/>
        </w:rPr>
        <w:t xml:space="preserve">CVs and references should not be submitted. </w:t>
      </w:r>
      <w:r w:rsidRPr="00E35755">
        <w:rPr>
          <w:szCs w:val="22"/>
        </w:rPr>
        <w:t xml:space="preserve">Expressions of interests submitted must be no </w:t>
      </w:r>
      <w:r w:rsidRPr="00ED5FB7">
        <w:rPr>
          <w:szCs w:val="22"/>
        </w:rPr>
        <w:t>more than 1,000 words overall, this includes any website links. Anything longer will be disregarded.</w:t>
      </w:r>
    </w:p>
    <w:tbl>
      <w:tblPr>
        <w:tblStyle w:val="TableGrid"/>
        <w:tblpPr w:leftFromText="180" w:rightFromText="180" w:vertAnchor="text" w:tblpXSpec="center" w:tblpY="179"/>
        <w:tblW w:w="0" w:type="auto"/>
        <w:jc w:val="center"/>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45777D" w14:paraId="0C5C8454" w14:textId="77777777" w:rsidTr="0045777D">
        <w:trPr>
          <w:trHeight w:val="1266"/>
          <w:tblHeader/>
          <w:jc w:val="cent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13E4E37B" w14:textId="3C4D0EA2" w:rsidR="0045777D" w:rsidRDefault="0045777D" w:rsidP="0045777D">
            <w:pPr>
              <w:spacing w:before="160"/>
              <w:rPr>
                <w:b/>
                <w:bCs/>
                <w:sz w:val="28"/>
                <w:szCs w:val="20"/>
              </w:rPr>
            </w:pPr>
            <w:r w:rsidRPr="00915C18">
              <w:rPr>
                <w:b/>
                <w:bCs/>
                <w:sz w:val="28"/>
                <w:szCs w:val="20"/>
              </w:rPr>
              <w:t>Closing date for EOIs:</w:t>
            </w:r>
            <w:r>
              <w:rPr>
                <w:b/>
                <w:bCs/>
                <w:sz w:val="28"/>
                <w:szCs w:val="20"/>
              </w:rPr>
              <w:t xml:space="preserve"> Midnight, Wednesday 8</w:t>
            </w:r>
            <w:r w:rsidRPr="0045777D">
              <w:rPr>
                <w:b/>
                <w:bCs/>
                <w:sz w:val="28"/>
                <w:szCs w:val="20"/>
                <w:vertAlign w:val="superscript"/>
              </w:rPr>
              <w:t>th</w:t>
            </w:r>
            <w:r>
              <w:rPr>
                <w:b/>
                <w:bCs/>
                <w:sz w:val="28"/>
                <w:szCs w:val="20"/>
              </w:rPr>
              <w:t xml:space="preserve"> November</w:t>
            </w:r>
          </w:p>
          <w:p w14:paraId="4EF79D5B" w14:textId="1D281ED0" w:rsidR="0045777D" w:rsidRPr="0045777D" w:rsidRDefault="0045777D" w:rsidP="0045777D">
            <w:pPr>
              <w:rPr>
                <w:b/>
                <w:bCs/>
                <w:sz w:val="28"/>
                <w:szCs w:val="20"/>
              </w:rPr>
            </w:pPr>
            <w:r w:rsidRPr="00915C18">
              <w:rPr>
                <w:b/>
                <w:bCs/>
                <w:sz w:val="28"/>
                <w:szCs w:val="20"/>
              </w:rPr>
              <w:t>Send your EOI form to:</w:t>
            </w:r>
            <w:r>
              <w:rPr>
                <w:b/>
                <w:bCs/>
                <w:sz w:val="28"/>
                <w:szCs w:val="20"/>
              </w:rPr>
              <w:t xml:space="preserve"> </w:t>
            </w:r>
            <w:hyperlink r:id="rId14" w:history="1">
              <w:r w:rsidRPr="003D12B9">
                <w:rPr>
                  <w:rStyle w:val="Hyperlink"/>
                  <w:b/>
                  <w:bCs/>
                  <w:sz w:val="28"/>
                  <w:szCs w:val="20"/>
                </w:rPr>
                <w:t>Richard.Moore@education.gov.uk</w:t>
              </w:r>
            </w:hyperlink>
          </w:p>
        </w:tc>
      </w:tr>
    </w:tbl>
    <w:p w14:paraId="3EA17F59" w14:textId="293761FD" w:rsidR="00915C18" w:rsidRPr="003E05F9" w:rsidRDefault="00094338" w:rsidP="001F2CE2">
      <w:pPr>
        <w:pStyle w:val="Heading2"/>
      </w:pPr>
      <w:r>
        <w:t>H</w:t>
      </w:r>
      <w:r w:rsidR="00915C18" w:rsidRPr="003E05F9">
        <w:t xml:space="preserve">ow to submit an </w:t>
      </w:r>
      <w:r w:rsidRPr="00094338">
        <w:t>e</w:t>
      </w:r>
      <w:r w:rsidR="007E1D66">
        <w:t>x</w:t>
      </w:r>
      <w:r w:rsidRPr="00094338">
        <w:t>pressions of interest</w:t>
      </w:r>
    </w:p>
    <w:p w14:paraId="7D0EF2FE" w14:textId="77777777" w:rsidR="007520D5" w:rsidRDefault="007520D5" w:rsidP="007520D5">
      <w:pPr>
        <w:rPr>
          <w:szCs w:val="22"/>
        </w:rPr>
      </w:pPr>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418CF3BC" w14:textId="77777777" w:rsidR="007520D5" w:rsidRDefault="007520D5" w:rsidP="007520D5">
      <w:r>
        <w:t xml:space="preserve">All contracts are let on the basis of the </w:t>
      </w:r>
      <w:hyperlink r:id="rId15" w:history="1">
        <w:r>
          <w:rPr>
            <w:rStyle w:val="Hyperlink"/>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2C8938F5" w:rsidR="005D3B59" w:rsidRPr="00531385" w:rsidRDefault="00C2496D" w:rsidP="005D3B59">
      <w:r w:rsidRPr="00995398">
        <w:t>©</w:t>
      </w:r>
      <w:r w:rsidR="005D3B59" w:rsidRPr="005D3B59">
        <w:t xml:space="preserve"> </w:t>
      </w:r>
      <w:r w:rsidR="00EE71A2">
        <w:t xml:space="preserve">Crown copyright </w:t>
      </w:r>
      <w:r w:rsidR="0045777D">
        <w:t>2017</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07F94CE7"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150FF">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5BD71C" w:rsidR="00DA0AD5" w:rsidRPr="006E6ADB" w:rsidRDefault="00DA0AD5" w:rsidP="004A3626">
    <w:pPr>
      <w:tabs>
        <w:tab w:val="left" w:pos="7088"/>
      </w:tabs>
      <w:spacing w:before="240"/>
      <w:rPr>
        <w:szCs w:val="20"/>
      </w:rPr>
    </w:pPr>
    <w:r w:rsidRPr="006E6ADB">
      <w:rPr>
        <w:szCs w:val="20"/>
      </w:rPr>
      <w:tab/>
      <w:t xml:space="preserve">Published: </w:t>
    </w:r>
    <w:r w:rsidR="0045777D">
      <w:rPr>
        <w:szCs w:val="20"/>
      </w:rPr>
      <w:t xml:space="preserve">October </w:t>
    </w:r>
    <w:r>
      <w:rPr>
        <w:szCs w:val="20"/>
      </w:rPr>
      <w:t>201</w:t>
    </w:r>
    <w:r w:rsidR="0045777D">
      <w:rPr>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 w:id="1">
    <w:p w14:paraId="3CC91E51" w14:textId="77777777" w:rsidR="002C0C16" w:rsidRDefault="002C0C16" w:rsidP="002C0C16">
      <w:pPr>
        <w:pStyle w:val="FootnoteText"/>
      </w:pPr>
      <w:r>
        <w:rPr>
          <w:rStyle w:val="FootnoteReference"/>
        </w:rPr>
        <w:footnoteRef/>
      </w:r>
      <w:r>
        <w:t xml:space="preserve"> </w:t>
      </w:r>
      <w:r w:rsidRPr="00D17F20">
        <w:rPr>
          <w:szCs w:val="18"/>
        </w:rPr>
        <w:t xml:space="preserve">DfE and BIS (2016) </w:t>
      </w:r>
      <w:r w:rsidRPr="00D17F20">
        <w:rPr>
          <w:i/>
          <w:iCs/>
          <w:szCs w:val="18"/>
        </w:rPr>
        <w:t xml:space="preserve">Post-16 Skills Plan </w:t>
      </w:r>
      <w:r w:rsidRPr="00D17F20">
        <w:rPr>
          <w:sz w:val="22"/>
        </w:rPr>
        <w:t xml:space="preserve"> </w:t>
      </w:r>
    </w:p>
  </w:footnote>
  <w:footnote w:id="2">
    <w:p w14:paraId="3AF6D5D6" w14:textId="29190DC1" w:rsidR="00413A2C" w:rsidRPr="00413A2C" w:rsidRDefault="00413A2C">
      <w:pPr>
        <w:pStyle w:val="FootnoteText"/>
        <w:rPr>
          <w:i/>
        </w:rPr>
      </w:pPr>
      <w:r>
        <w:rPr>
          <w:rStyle w:val="FootnoteReference"/>
        </w:rPr>
        <w:footnoteRef/>
      </w:r>
      <w:r>
        <w:t xml:space="preserve"> DfE and BIS (2017) </w:t>
      </w:r>
      <w:r>
        <w:rPr>
          <w:i/>
        </w:rPr>
        <w:t>post-16 technical education reforms: T level action plan – October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25308"/>
    <w:multiLevelType w:val="hybridMultilevel"/>
    <w:tmpl w:val="5BD2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D8E5B72"/>
    <w:multiLevelType w:val="hybridMultilevel"/>
    <w:tmpl w:val="F202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3411E"/>
    <w:multiLevelType w:val="hybridMultilevel"/>
    <w:tmpl w:val="B798E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10"/>
  </w:num>
  <w:num w:numId="5">
    <w:abstractNumId w:val="8"/>
  </w:num>
  <w:num w:numId="6">
    <w:abstractNumId w:val="12"/>
  </w:num>
  <w:num w:numId="7">
    <w:abstractNumId w:val="3"/>
  </w:num>
  <w:num w:numId="8">
    <w:abstractNumId w:val="1"/>
  </w:num>
  <w:num w:numId="9">
    <w:abstractNumId w:val="0"/>
  </w:num>
  <w:num w:numId="10">
    <w:abstractNumId w:val="13"/>
  </w:num>
  <w:num w:numId="11">
    <w:abstractNumId w:val="12"/>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7"/>
  </w:num>
  <w:num w:numId="20">
    <w:abstractNumId w:val="19"/>
  </w:num>
  <w:num w:numId="21">
    <w:abstractNumId w:val="15"/>
  </w:num>
  <w:num w:numId="2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252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1F7A"/>
    <w:rsid w:val="002A28F7"/>
    <w:rsid w:val="002A3153"/>
    <w:rsid w:val="002A5858"/>
    <w:rsid w:val="002B6D93"/>
    <w:rsid w:val="002C0C16"/>
    <w:rsid w:val="002C34D4"/>
    <w:rsid w:val="002C3AA4"/>
    <w:rsid w:val="002D02BF"/>
    <w:rsid w:val="002E463F"/>
    <w:rsid w:val="002E4E9A"/>
    <w:rsid w:val="002E508B"/>
    <w:rsid w:val="002E5F9F"/>
    <w:rsid w:val="002E7849"/>
    <w:rsid w:val="002F7128"/>
    <w:rsid w:val="00300F99"/>
    <w:rsid w:val="00307DD0"/>
    <w:rsid w:val="00341A21"/>
    <w:rsid w:val="00342F8B"/>
    <w:rsid w:val="00353C36"/>
    <w:rsid w:val="00361752"/>
    <w:rsid w:val="00374981"/>
    <w:rsid w:val="003810D8"/>
    <w:rsid w:val="003853A4"/>
    <w:rsid w:val="0039725F"/>
    <w:rsid w:val="003A1CC2"/>
    <w:rsid w:val="003C60B5"/>
    <w:rsid w:val="003D1EFE"/>
    <w:rsid w:val="003E1329"/>
    <w:rsid w:val="003E3ED2"/>
    <w:rsid w:val="00400E1D"/>
    <w:rsid w:val="00403D1C"/>
    <w:rsid w:val="00413A2C"/>
    <w:rsid w:val="004216FF"/>
    <w:rsid w:val="004242C5"/>
    <w:rsid w:val="004339FB"/>
    <w:rsid w:val="004509BE"/>
    <w:rsid w:val="00456560"/>
    <w:rsid w:val="0045777D"/>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09F7"/>
    <w:rsid w:val="006A27AA"/>
    <w:rsid w:val="006A3602"/>
    <w:rsid w:val="006B1F9F"/>
    <w:rsid w:val="006C382D"/>
    <w:rsid w:val="006D1162"/>
    <w:rsid w:val="006E6ADB"/>
    <w:rsid w:val="006E7F39"/>
    <w:rsid w:val="006F1F96"/>
    <w:rsid w:val="00700B01"/>
    <w:rsid w:val="00702EBF"/>
    <w:rsid w:val="00713414"/>
    <w:rsid w:val="007150FF"/>
    <w:rsid w:val="00727EC4"/>
    <w:rsid w:val="00730350"/>
    <w:rsid w:val="0073516C"/>
    <w:rsid w:val="007403F5"/>
    <w:rsid w:val="007426B3"/>
    <w:rsid w:val="00743353"/>
    <w:rsid w:val="0075096B"/>
    <w:rsid w:val="00751648"/>
    <w:rsid w:val="007520D5"/>
    <w:rsid w:val="00754145"/>
    <w:rsid w:val="00760615"/>
    <w:rsid w:val="0076231A"/>
    <w:rsid w:val="00764D03"/>
    <w:rsid w:val="00766597"/>
    <w:rsid w:val="00774F55"/>
    <w:rsid w:val="00775D8A"/>
    <w:rsid w:val="0077659E"/>
    <w:rsid w:val="00777AD4"/>
    <w:rsid w:val="00780950"/>
    <w:rsid w:val="007809EF"/>
    <w:rsid w:val="007820C4"/>
    <w:rsid w:val="00783D2C"/>
    <w:rsid w:val="00794F29"/>
    <w:rsid w:val="007A2250"/>
    <w:rsid w:val="007A5759"/>
    <w:rsid w:val="007B3CFE"/>
    <w:rsid w:val="007C19E4"/>
    <w:rsid w:val="007C41A5"/>
    <w:rsid w:val="007C58BE"/>
    <w:rsid w:val="007D080B"/>
    <w:rsid w:val="007E0083"/>
    <w:rsid w:val="007E1D66"/>
    <w:rsid w:val="00814CCF"/>
    <w:rsid w:val="00816E77"/>
    <w:rsid w:val="00831263"/>
    <w:rsid w:val="00831DB7"/>
    <w:rsid w:val="00832EBF"/>
    <w:rsid w:val="0083342B"/>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46FCC"/>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87904"/>
    <w:rsid w:val="00AA3484"/>
    <w:rsid w:val="00AA7E7B"/>
    <w:rsid w:val="00AB6D0F"/>
    <w:rsid w:val="00AB7858"/>
    <w:rsid w:val="00AC61A6"/>
    <w:rsid w:val="00AD1BE5"/>
    <w:rsid w:val="00AD1DD2"/>
    <w:rsid w:val="00AD2062"/>
    <w:rsid w:val="00AD2F1D"/>
    <w:rsid w:val="00AE0979"/>
    <w:rsid w:val="00AE1E46"/>
    <w:rsid w:val="00AE4296"/>
    <w:rsid w:val="00AF0989"/>
    <w:rsid w:val="00AF2191"/>
    <w:rsid w:val="00AF785C"/>
    <w:rsid w:val="00B15B9A"/>
    <w:rsid w:val="00B24B2F"/>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16A6"/>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790"/>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semiHidden/>
    <w:unhideWhenUsed/>
    <w:rsid w:val="002C0C16"/>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C0C16"/>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2C0C16"/>
    <w:rPr>
      <w:vertAlign w:val="superscript"/>
    </w:rPr>
  </w:style>
  <w:style w:type="paragraph" w:customStyle="1" w:styleId="Numbered">
    <w:name w:val="Numbered"/>
    <w:basedOn w:val="Normal"/>
    <w:rsid w:val="00AE0979"/>
    <w:pPr>
      <w:widowControl w:val="0"/>
      <w:overflowPunct w:val="0"/>
      <w:autoSpaceDE w:val="0"/>
      <w:autoSpaceDN w:val="0"/>
      <w:adjustRightInd w:val="0"/>
      <w:spacing w:after="240" w:line="240" w:lineRule="auto"/>
      <w:textAlignment w:val="baseline"/>
    </w:pPr>
    <w:rPr>
      <w:sz w:val="24"/>
      <w:szCs w:val="20"/>
      <w:lang w:eastAsia="en-US"/>
    </w:rPr>
  </w:style>
  <w:style w:type="paragraph" w:customStyle="1" w:styleId="DfESBullets">
    <w:name w:val="DfESBullets"/>
    <w:basedOn w:val="Normal"/>
    <w:rsid w:val="00ED3790"/>
    <w:pPr>
      <w:widowControl w:val="0"/>
      <w:numPr>
        <w:numId w:val="22"/>
      </w:numPr>
      <w:overflowPunct w:val="0"/>
      <w:autoSpaceDE w:val="0"/>
      <w:autoSpaceDN w:val="0"/>
      <w:adjustRightInd w:val="0"/>
      <w:spacing w:after="240" w:line="240" w:lineRule="auto"/>
      <w:textAlignment w:val="baseline"/>
    </w:pPr>
    <w:rPr>
      <w:rFonts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4629938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chard.Moore@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www.w3.org/XML/1998/namespace"/>
    <ds:schemaRef ds:uri="http://purl.org/dc/dcmitype/"/>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A0811B9E-C366-469E-A0BC-AAD6B9A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885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6090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MOORE, Richard</cp:lastModifiedBy>
  <cp:revision>13</cp:revision>
  <cp:lastPrinted>2013-07-11T10:35:00Z</cp:lastPrinted>
  <dcterms:created xsi:type="dcterms:W3CDTF">2017-09-12T15:00:00Z</dcterms:created>
  <dcterms:modified xsi:type="dcterms:W3CDTF">2017-10-30T11:57:00Z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