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62" w:rsidRDefault="00001C62" w:rsidP="00001C62">
      <w:pPr>
        <w:pStyle w:val="Heading1"/>
      </w:pPr>
      <w:bookmarkStart w:id="0" w:name="SECTION3"/>
      <w:bookmarkStart w:id="1" w:name="_Toc490144147"/>
      <w:r>
        <w:t>SECTION 3</w:t>
      </w:r>
      <w:bookmarkEnd w:id="0"/>
      <w:r>
        <w:tab/>
        <w:t>SPECIFICATION</w:t>
      </w:r>
      <w:bookmarkEnd w:id="1"/>
    </w:p>
    <w:p w:rsidR="00DB2C25" w:rsidRPr="00DB2C25" w:rsidRDefault="00DB2C25" w:rsidP="00DB2C25">
      <w:pPr>
        <w:pStyle w:val="List"/>
      </w:pPr>
    </w:p>
    <w:p w:rsidR="00001C62" w:rsidRPr="00DB2C25" w:rsidRDefault="00001C62" w:rsidP="00001C62">
      <w:pPr>
        <w:pStyle w:val="Heading2"/>
        <w:numPr>
          <w:ilvl w:val="0"/>
          <w:numId w:val="0"/>
        </w:numPr>
        <w:tabs>
          <w:tab w:val="left" w:pos="794"/>
          <w:tab w:val="left" w:pos="1134"/>
        </w:tabs>
        <w:rPr>
          <w:rFonts w:cs="Arial"/>
          <w:iCs/>
          <w:sz w:val="22"/>
          <w:szCs w:val="22"/>
        </w:rPr>
      </w:pPr>
      <w:r w:rsidRPr="00DB2C25">
        <w:rPr>
          <w:rFonts w:cs="Arial"/>
          <w:iCs/>
          <w:sz w:val="22"/>
          <w:szCs w:val="22"/>
        </w:rPr>
        <w:t>1.</w:t>
      </w:r>
      <w:r w:rsidRPr="00DB2C25">
        <w:rPr>
          <w:rFonts w:cs="Arial"/>
          <w:iCs/>
          <w:sz w:val="22"/>
          <w:szCs w:val="22"/>
        </w:rPr>
        <w:tab/>
        <w:t>INTRODUCTION AND CONTEXT</w:t>
      </w:r>
    </w:p>
    <w:p w:rsidR="00DB2C25" w:rsidRPr="00DB2C25" w:rsidRDefault="00DB2C25" w:rsidP="00DB2C25">
      <w:pPr>
        <w:pStyle w:val="ListContinue"/>
      </w:pPr>
    </w:p>
    <w:p w:rsidR="00001C62" w:rsidRPr="005860ED" w:rsidRDefault="00001C62" w:rsidP="00001C62">
      <w:pPr>
        <w:keepNext/>
        <w:autoSpaceDE w:val="0"/>
        <w:autoSpaceDN w:val="0"/>
        <w:adjustRightInd w:val="0"/>
        <w:outlineLvl w:val="2"/>
        <w:rPr>
          <w:rFonts w:ascii="Arial" w:hAnsi="Arial" w:cs="Arial"/>
          <w:bCs/>
          <w:sz w:val="22"/>
          <w:szCs w:val="22"/>
        </w:rPr>
      </w:pPr>
      <w:r w:rsidRPr="005860ED">
        <w:rPr>
          <w:rFonts w:ascii="Arial" w:hAnsi="Arial" w:cs="Arial"/>
          <w:bCs/>
          <w:sz w:val="22"/>
          <w:szCs w:val="22"/>
        </w:rPr>
        <w:t>Local Authorities are required to provide Approved Mental Health Professionals (AMHP) to apply the Mental Health Act under section 13 of the 1983 Mental Health Act</w:t>
      </w:r>
    </w:p>
    <w:p w:rsidR="00001C62" w:rsidRPr="005860ED" w:rsidRDefault="00001C62" w:rsidP="00001C62">
      <w:pPr>
        <w:keepNext/>
        <w:autoSpaceDE w:val="0"/>
        <w:autoSpaceDN w:val="0"/>
        <w:adjustRightInd w:val="0"/>
        <w:ind w:left="720"/>
        <w:outlineLvl w:val="2"/>
        <w:rPr>
          <w:rFonts w:ascii="Arial" w:hAnsi="Arial" w:cs="Arial"/>
          <w:bCs/>
          <w:sz w:val="22"/>
          <w:szCs w:val="22"/>
        </w:rPr>
      </w:pPr>
    </w:p>
    <w:p w:rsidR="00001C62" w:rsidRPr="005860ED" w:rsidRDefault="00001C62" w:rsidP="00001C62">
      <w:pPr>
        <w:keepNext/>
        <w:autoSpaceDE w:val="0"/>
        <w:autoSpaceDN w:val="0"/>
        <w:adjustRightInd w:val="0"/>
        <w:outlineLvl w:val="2"/>
        <w:rPr>
          <w:rFonts w:ascii="Arial" w:hAnsi="Arial" w:cs="Arial"/>
          <w:sz w:val="22"/>
          <w:szCs w:val="22"/>
        </w:rPr>
      </w:pPr>
      <w:r w:rsidRPr="005860ED">
        <w:rPr>
          <w:rFonts w:ascii="Arial" w:hAnsi="Arial" w:cs="Arial"/>
          <w:sz w:val="22"/>
          <w:szCs w:val="22"/>
        </w:rPr>
        <w:t xml:space="preserve">Currently the Council delivers an Approved Mental Health Professional Service from 09:00-17:00 hours Monday to Friday, and through Derby City </w:t>
      </w:r>
      <w:proofErr w:type="spellStart"/>
      <w:r w:rsidRPr="005860ED">
        <w:rPr>
          <w:rFonts w:ascii="Arial" w:hAnsi="Arial" w:cs="Arial"/>
          <w:sz w:val="22"/>
          <w:szCs w:val="22"/>
        </w:rPr>
        <w:t>Careline</w:t>
      </w:r>
      <w:proofErr w:type="spellEnd"/>
      <w:r w:rsidRPr="005860ED">
        <w:rPr>
          <w:rFonts w:ascii="Arial" w:hAnsi="Arial" w:cs="Arial"/>
          <w:sz w:val="22"/>
          <w:szCs w:val="22"/>
        </w:rPr>
        <w:t xml:space="preserve"> outside of office hours</w:t>
      </w:r>
    </w:p>
    <w:p w:rsidR="00001C62" w:rsidRPr="005860ED" w:rsidRDefault="00001C62" w:rsidP="00001C62">
      <w:pPr>
        <w:keepNext/>
        <w:autoSpaceDE w:val="0"/>
        <w:autoSpaceDN w:val="0"/>
        <w:adjustRightInd w:val="0"/>
        <w:ind w:left="720"/>
        <w:outlineLvl w:val="2"/>
        <w:rPr>
          <w:rFonts w:ascii="Arial" w:hAnsi="Arial" w:cs="Arial"/>
          <w:bCs/>
          <w:sz w:val="22"/>
          <w:szCs w:val="22"/>
        </w:rPr>
      </w:pPr>
    </w:p>
    <w:p w:rsidR="00001C62" w:rsidRPr="005860ED" w:rsidRDefault="00001C62" w:rsidP="00001C62">
      <w:pPr>
        <w:rPr>
          <w:rFonts w:ascii="Arial" w:hAnsi="Arial" w:cs="Arial"/>
          <w:sz w:val="22"/>
          <w:szCs w:val="22"/>
          <w:lang w:eastAsia="en-GB"/>
        </w:rPr>
      </w:pPr>
      <w:r w:rsidRPr="005860ED">
        <w:rPr>
          <w:rFonts w:ascii="Arial" w:hAnsi="Arial" w:cs="Arial"/>
          <w:sz w:val="22"/>
          <w:szCs w:val="22"/>
          <w:lang w:eastAsia="en-GB"/>
        </w:rPr>
        <w:t xml:space="preserve">The Council is currently unable to consistently meet its statutory requirement to provide an Approved Mental Health Professional Service </w:t>
      </w:r>
      <w:r w:rsidRPr="005860ED">
        <w:rPr>
          <w:rFonts w:ascii="Arial" w:hAnsi="Arial" w:cs="Arial"/>
          <w:b/>
          <w:i/>
          <w:sz w:val="22"/>
          <w:szCs w:val="22"/>
          <w:lang w:eastAsia="en-GB"/>
        </w:rPr>
        <w:t>outside</w:t>
      </w:r>
      <w:r w:rsidRPr="005860ED">
        <w:rPr>
          <w:rFonts w:ascii="Arial" w:hAnsi="Arial" w:cs="Arial"/>
          <w:sz w:val="22"/>
          <w:szCs w:val="22"/>
          <w:lang w:eastAsia="en-GB"/>
        </w:rPr>
        <w:t xml:space="preserve"> of office hours. The intention is to look to provide this service through a contract with a third party service provider.  </w:t>
      </w:r>
    </w:p>
    <w:p w:rsidR="00001C62" w:rsidRPr="005860ED" w:rsidRDefault="00001C62" w:rsidP="00001C62">
      <w:pPr>
        <w:ind w:left="720"/>
        <w:rPr>
          <w:rFonts w:ascii="Arial" w:hAnsi="Arial" w:cs="Arial"/>
          <w:sz w:val="22"/>
          <w:szCs w:val="22"/>
          <w:lang w:eastAsia="en-GB"/>
        </w:rPr>
      </w:pPr>
    </w:p>
    <w:p w:rsidR="00001C62" w:rsidRPr="005860ED" w:rsidRDefault="00001C62" w:rsidP="00001C62">
      <w:pPr>
        <w:keepNext/>
        <w:autoSpaceDE w:val="0"/>
        <w:autoSpaceDN w:val="0"/>
        <w:adjustRightInd w:val="0"/>
        <w:outlineLvl w:val="2"/>
        <w:rPr>
          <w:rFonts w:ascii="Arial" w:hAnsi="Arial" w:cs="Arial"/>
          <w:bCs/>
          <w:sz w:val="22"/>
          <w:szCs w:val="22"/>
        </w:rPr>
      </w:pPr>
      <w:r w:rsidRPr="005860ED">
        <w:rPr>
          <w:rFonts w:ascii="Arial" w:hAnsi="Arial" w:cs="Arial"/>
          <w:bCs/>
          <w:sz w:val="22"/>
          <w:szCs w:val="22"/>
        </w:rPr>
        <w:t>Mental Health Services in Derby City are provided in partnership with a number of other organisations in relation to the use of the Mental Health Act.  Our key partner agencies in this regard are Derbyshire Healthcare NHS Foundation Trust, Derbyshire Police, and East Midlands Ambulance Service and Southern Derbyshire Clinical Commissioning Group</w:t>
      </w:r>
    </w:p>
    <w:p w:rsidR="00001C62" w:rsidRPr="005860ED" w:rsidRDefault="00001C62" w:rsidP="00001C62">
      <w:pPr>
        <w:tabs>
          <w:tab w:val="left" w:pos="794"/>
          <w:tab w:val="left" w:pos="1134"/>
        </w:tabs>
        <w:rPr>
          <w:rFonts w:ascii="Arial" w:hAnsi="Arial" w:cs="Arial"/>
          <w:b/>
          <w:iCs/>
          <w:sz w:val="22"/>
          <w:szCs w:val="22"/>
          <w:highlight w:val="yellow"/>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b/>
          <w:iCs/>
          <w:sz w:val="22"/>
          <w:szCs w:val="22"/>
        </w:rPr>
        <w:br/>
        <w:t xml:space="preserve">2. </w:t>
      </w:r>
      <w:r w:rsidRPr="005860ED">
        <w:rPr>
          <w:rFonts w:ascii="Arial" w:hAnsi="Arial" w:cs="Arial"/>
          <w:b/>
          <w:iCs/>
          <w:sz w:val="22"/>
          <w:szCs w:val="22"/>
        </w:rPr>
        <w:tab/>
        <w:t>CORE SERVICE REQUIRED</w:t>
      </w:r>
      <w:r w:rsidRPr="005860ED">
        <w:rPr>
          <w:rFonts w:ascii="Arial" w:hAnsi="Arial" w:cs="Arial"/>
          <w:b/>
          <w:iCs/>
          <w:sz w:val="22"/>
          <w:szCs w:val="22"/>
        </w:rPr>
        <w:br/>
      </w:r>
      <w:r w:rsidRPr="005860ED">
        <w:rPr>
          <w:rFonts w:ascii="Arial" w:hAnsi="Arial" w:cs="Arial"/>
          <w:b/>
          <w:iCs/>
          <w:sz w:val="22"/>
          <w:szCs w:val="22"/>
        </w:rPr>
        <w:br/>
      </w:r>
      <w:r w:rsidRPr="005860ED">
        <w:rPr>
          <w:rFonts w:ascii="Arial" w:hAnsi="Arial" w:cs="Arial"/>
          <w:iCs/>
          <w:sz w:val="22"/>
          <w:szCs w:val="22"/>
        </w:rPr>
        <w:t>The Service required is for an Approved Mental Health Professional Service outside of office hours on behalf of the Council</w:t>
      </w:r>
    </w:p>
    <w:p w:rsidR="00001C62" w:rsidRPr="005860ED" w:rsidRDefault="00001C62" w:rsidP="00001C62">
      <w:pPr>
        <w:tabs>
          <w:tab w:val="left" w:pos="794"/>
        </w:tabs>
        <w:ind w:left="720"/>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The Service will be available from 17:00 </w:t>
      </w:r>
      <w:proofErr w:type="spellStart"/>
      <w:r w:rsidRPr="005860ED">
        <w:rPr>
          <w:rFonts w:ascii="Arial" w:hAnsi="Arial" w:cs="Arial"/>
          <w:iCs/>
          <w:sz w:val="22"/>
          <w:szCs w:val="22"/>
        </w:rPr>
        <w:t>hrs</w:t>
      </w:r>
      <w:proofErr w:type="spellEnd"/>
      <w:r w:rsidRPr="005860ED">
        <w:rPr>
          <w:rFonts w:ascii="Arial" w:hAnsi="Arial" w:cs="Arial"/>
          <w:iCs/>
          <w:sz w:val="22"/>
          <w:szCs w:val="22"/>
        </w:rPr>
        <w:t xml:space="preserve"> till 09:00 </w:t>
      </w:r>
      <w:proofErr w:type="spellStart"/>
      <w:r w:rsidRPr="005860ED">
        <w:rPr>
          <w:rFonts w:ascii="Arial" w:hAnsi="Arial" w:cs="Arial"/>
          <w:iCs/>
          <w:sz w:val="22"/>
          <w:szCs w:val="22"/>
        </w:rPr>
        <w:t>hrs</w:t>
      </w:r>
      <w:proofErr w:type="spellEnd"/>
      <w:r w:rsidRPr="005860ED">
        <w:rPr>
          <w:rFonts w:ascii="Arial" w:hAnsi="Arial" w:cs="Arial"/>
          <w:iCs/>
          <w:sz w:val="22"/>
          <w:szCs w:val="22"/>
        </w:rPr>
        <w:t xml:space="preserve"> on weekdays and from 17:00 </w:t>
      </w:r>
      <w:proofErr w:type="spellStart"/>
      <w:r w:rsidRPr="005860ED">
        <w:rPr>
          <w:rFonts w:ascii="Arial" w:hAnsi="Arial" w:cs="Arial"/>
          <w:iCs/>
          <w:sz w:val="22"/>
          <w:szCs w:val="22"/>
        </w:rPr>
        <w:t>hrs</w:t>
      </w:r>
      <w:proofErr w:type="spellEnd"/>
      <w:r w:rsidRPr="005860ED">
        <w:rPr>
          <w:rFonts w:ascii="Arial" w:hAnsi="Arial" w:cs="Arial"/>
          <w:iCs/>
          <w:sz w:val="22"/>
          <w:szCs w:val="22"/>
        </w:rPr>
        <w:t xml:space="preserve"> Friday to 09:00 </w:t>
      </w:r>
      <w:proofErr w:type="spellStart"/>
      <w:r w:rsidRPr="005860ED">
        <w:rPr>
          <w:rFonts w:ascii="Arial" w:hAnsi="Arial" w:cs="Arial"/>
          <w:iCs/>
          <w:sz w:val="22"/>
          <w:szCs w:val="22"/>
        </w:rPr>
        <w:t>hrs</w:t>
      </w:r>
      <w:proofErr w:type="spellEnd"/>
      <w:r w:rsidRPr="005860ED">
        <w:rPr>
          <w:rFonts w:ascii="Arial" w:hAnsi="Arial" w:cs="Arial"/>
          <w:iCs/>
          <w:sz w:val="22"/>
          <w:szCs w:val="22"/>
        </w:rPr>
        <w:t xml:space="preserve"> on Mondays at weekends.  The Service will also provide 24 hour cover over Bank Holiday periods</w:t>
      </w:r>
    </w:p>
    <w:p w:rsidR="00001C62" w:rsidRPr="005860ED" w:rsidRDefault="00001C62" w:rsidP="00001C62">
      <w:pPr>
        <w:tabs>
          <w:tab w:val="left" w:pos="794"/>
          <w:tab w:val="left" w:pos="1134"/>
        </w:tabs>
        <w:rPr>
          <w:rFonts w:ascii="Arial" w:hAnsi="Arial" w:cs="Arial"/>
          <w:b/>
          <w:iCs/>
          <w:sz w:val="22"/>
          <w:szCs w:val="22"/>
          <w:highlight w:val="yellow"/>
        </w:rPr>
      </w:pPr>
    </w:p>
    <w:p w:rsidR="00001C62" w:rsidRPr="005860ED" w:rsidRDefault="00001C62" w:rsidP="00001C62">
      <w:pPr>
        <w:ind w:left="720"/>
        <w:rPr>
          <w:rFonts w:ascii="Arial" w:hAnsi="Arial" w:cs="Arial"/>
          <w:iCs/>
          <w:sz w:val="22"/>
          <w:szCs w:val="22"/>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 xml:space="preserve">3. </w:t>
      </w:r>
      <w:r w:rsidRPr="005860ED">
        <w:rPr>
          <w:rFonts w:ascii="Arial" w:hAnsi="Arial" w:cs="Arial"/>
          <w:b/>
          <w:iCs/>
          <w:sz w:val="22"/>
          <w:szCs w:val="22"/>
        </w:rPr>
        <w:tab/>
        <w:t>CODES OF PRACTICES AND ASSOCIATED WORKING METHODS TO BE UTILISED</w:t>
      </w:r>
      <w:r w:rsidRPr="005860ED">
        <w:rPr>
          <w:rFonts w:ascii="Arial" w:hAnsi="Arial" w:cs="Arial"/>
          <w:b/>
          <w:iCs/>
          <w:sz w:val="22"/>
          <w:szCs w:val="22"/>
        </w:rPr>
        <w:br/>
      </w:r>
    </w:p>
    <w:p w:rsidR="00001C62" w:rsidRPr="005860ED" w:rsidRDefault="00001C62" w:rsidP="00001C62">
      <w:pPr>
        <w:numPr>
          <w:ilvl w:val="0"/>
          <w:numId w:val="3"/>
        </w:numPr>
        <w:tabs>
          <w:tab w:val="left" w:pos="794"/>
          <w:tab w:val="left" w:pos="1134"/>
        </w:tabs>
        <w:rPr>
          <w:rFonts w:ascii="Arial" w:hAnsi="Arial" w:cs="Arial"/>
          <w:iCs/>
          <w:sz w:val="22"/>
          <w:szCs w:val="22"/>
        </w:rPr>
      </w:pPr>
      <w:r w:rsidRPr="005860ED">
        <w:rPr>
          <w:rFonts w:ascii="Arial" w:hAnsi="Arial" w:cs="Arial"/>
          <w:iCs/>
          <w:sz w:val="22"/>
          <w:szCs w:val="22"/>
        </w:rPr>
        <w:t>The Mental Health Act 1983</w:t>
      </w:r>
      <w:r w:rsidRPr="005860ED">
        <w:rPr>
          <w:rFonts w:ascii="Arial" w:hAnsi="Arial" w:cs="Arial"/>
          <w:iCs/>
          <w:sz w:val="22"/>
          <w:szCs w:val="22"/>
        </w:rPr>
        <w:br/>
      </w: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The Mental Health Act 1983 Code of Practice; Department of Health 2015</w:t>
      </w:r>
      <w:r w:rsidRPr="005860ED">
        <w:rPr>
          <w:rFonts w:ascii="Arial" w:hAnsi="Arial" w:cs="Arial"/>
          <w:iCs/>
          <w:sz w:val="22"/>
          <w:szCs w:val="22"/>
        </w:rPr>
        <w:br/>
      </w: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The Human Rights Act 1998</w:t>
      </w:r>
      <w:r w:rsidRPr="005860ED">
        <w:rPr>
          <w:rFonts w:ascii="Arial" w:hAnsi="Arial" w:cs="Arial"/>
          <w:iCs/>
          <w:sz w:val="22"/>
          <w:szCs w:val="22"/>
        </w:rPr>
        <w:br/>
      </w: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The Equalities Act 2010</w:t>
      </w:r>
      <w:r w:rsidRPr="005860ED">
        <w:rPr>
          <w:rFonts w:ascii="Arial" w:hAnsi="Arial" w:cs="Arial"/>
          <w:iCs/>
          <w:sz w:val="22"/>
          <w:szCs w:val="22"/>
        </w:rPr>
        <w:br/>
      </w: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 xml:space="preserve">The Protocol for Conveyance of Service Receivers subject to the Mental Health Act 1983.  </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 xml:space="preserve">Joint Policy for Derbyshire on the operation of Section 136 of the Mental Health Act 1983 Policy (as amended by Section 44 of the Mental Health Act 2007) “Mentally disordered persons found in public places”.   </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 xml:space="preserve">Section 117 Policy for Derbyshire; </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numPr>
          <w:ilvl w:val="0"/>
          <w:numId w:val="1"/>
        </w:numPr>
        <w:tabs>
          <w:tab w:val="left" w:pos="794"/>
        </w:tabs>
        <w:rPr>
          <w:rFonts w:ascii="Arial" w:hAnsi="Arial" w:cs="Arial"/>
          <w:iCs/>
          <w:sz w:val="22"/>
          <w:szCs w:val="22"/>
        </w:rPr>
      </w:pPr>
      <w:r w:rsidRPr="005860ED">
        <w:rPr>
          <w:rFonts w:ascii="Arial" w:hAnsi="Arial" w:cs="Arial"/>
          <w:iCs/>
          <w:sz w:val="22"/>
          <w:szCs w:val="22"/>
        </w:rPr>
        <w:t xml:space="preserve">Approved Mental Health Professional (AMHP) cross border protocol for the East Midlands. </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numPr>
          <w:ilvl w:val="0"/>
          <w:numId w:val="1"/>
        </w:numPr>
        <w:tabs>
          <w:tab w:val="left" w:pos="794"/>
          <w:tab w:val="left" w:pos="1134"/>
        </w:tabs>
        <w:rPr>
          <w:rFonts w:ascii="Arial" w:hAnsi="Arial" w:cs="Arial"/>
          <w:iCs/>
          <w:sz w:val="22"/>
          <w:szCs w:val="22"/>
        </w:rPr>
      </w:pPr>
      <w:r w:rsidRPr="005860ED">
        <w:rPr>
          <w:rFonts w:ascii="Arial" w:hAnsi="Arial" w:cs="Arial"/>
          <w:iCs/>
          <w:sz w:val="22"/>
          <w:szCs w:val="22"/>
        </w:rPr>
        <w:lastRenderedPageBreak/>
        <w:t xml:space="preserve">Community Treatment Order Policy MHA 1983 (as amended by the 2007 Act) </w:t>
      </w:r>
    </w:p>
    <w:p w:rsidR="00001C62" w:rsidRPr="005860ED" w:rsidRDefault="00001C62" w:rsidP="00001C62">
      <w:pPr>
        <w:tabs>
          <w:tab w:val="left" w:pos="794"/>
          <w:tab w:val="left" w:pos="1134"/>
        </w:tabs>
        <w:rPr>
          <w:rFonts w:ascii="Arial" w:hAnsi="Arial" w:cs="Arial"/>
          <w:iCs/>
          <w:sz w:val="22"/>
          <w:szCs w:val="22"/>
        </w:rPr>
      </w:pPr>
    </w:p>
    <w:p w:rsidR="00001C62" w:rsidRPr="005860ED" w:rsidRDefault="00001C62" w:rsidP="009752B0">
      <w:pPr>
        <w:tabs>
          <w:tab w:val="left" w:pos="794"/>
          <w:tab w:val="left" w:pos="1134"/>
        </w:tabs>
        <w:rPr>
          <w:rFonts w:ascii="Arial" w:hAnsi="Arial" w:cs="Arial"/>
          <w:b/>
          <w:iCs/>
          <w:sz w:val="22"/>
          <w:szCs w:val="22"/>
        </w:rPr>
      </w:pPr>
      <w:r w:rsidRPr="005860ED">
        <w:rPr>
          <w:rFonts w:ascii="Arial" w:hAnsi="Arial" w:cs="Arial"/>
          <w:b/>
          <w:iCs/>
          <w:sz w:val="22"/>
          <w:szCs w:val="22"/>
        </w:rPr>
        <w:t xml:space="preserve">4. </w:t>
      </w:r>
      <w:r w:rsidRPr="005860ED">
        <w:rPr>
          <w:rFonts w:ascii="Arial" w:hAnsi="Arial" w:cs="Arial"/>
          <w:b/>
          <w:iCs/>
          <w:sz w:val="22"/>
          <w:szCs w:val="22"/>
        </w:rPr>
        <w:tab/>
        <w:t>REQUIRED QUALITY AND PERFORMANCE STANDARDS</w:t>
      </w:r>
      <w:r w:rsidRPr="005860ED">
        <w:rPr>
          <w:rFonts w:ascii="Arial" w:hAnsi="Arial" w:cs="Arial"/>
          <w:b/>
          <w:iCs/>
          <w:sz w:val="22"/>
          <w:szCs w:val="22"/>
        </w:rPr>
        <w:br/>
      </w:r>
    </w:p>
    <w:p w:rsidR="00001C62" w:rsidRPr="005860ED" w:rsidRDefault="00001C62" w:rsidP="009752B0">
      <w:pPr>
        <w:tabs>
          <w:tab w:val="left" w:pos="794"/>
        </w:tabs>
        <w:rPr>
          <w:rFonts w:ascii="Arial" w:hAnsi="Arial" w:cs="Arial"/>
          <w:iCs/>
          <w:sz w:val="22"/>
          <w:szCs w:val="22"/>
        </w:rPr>
      </w:pPr>
      <w:r w:rsidRPr="005860ED">
        <w:rPr>
          <w:rFonts w:ascii="Arial" w:hAnsi="Arial" w:cs="Arial"/>
          <w:iCs/>
          <w:sz w:val="22"/>
          <w:szCs w:val="22"/>
        </w:rPr>
        <w:t>That an Approved Mental Health Professional is avail</w:t>
      </w:r>
      <w:r w:rsidR="00DB2C25">
        <w:rPr>
          <w:rFonts w:ascii="Arial" w:hAnsi="Arial" w:cs="Arial"/>
          <w:iCs/>
          <w:sz w:val="22"/>
          <w:szCs w:val="22"/>
        </w:rPr>
        <w:t xml:space="preserve">able at all specified times the </w:t>
      </w:r>
      <w:r w:rsidRPr="005860ED">
        <w:rPr>
          <w:rFonts w:ascii="Arial" w:hAnsi="Arial" w:cs="Arial"/>
          <w:iCs/>
          <w:sz w:val="22"/>
          <w:szCs w:val="22"/>
        </w:rPr>
        <w:t xml:space="preserve">Service is in operation as set out in 2. </w:t>
      </w:r>
    </w:p>
    <w:p w:rsidR="00001C62" w:rsidRPr="005860ED" w:rsidRDefault="00001C62" w:rsidP="009752B0">
      <w:pPr>
        <w:tabs>
          <w:tab w:val="left" w:pos="794"/>
          <w:tab w:val="left" w:pos="1134"/>
        </w:tabs>
        <w:ind w:left="1071"/>
        <w:rPr>
          <w:rFonts w:ascii="Arial" w:hAnsi="Arial" w:cs="Arial"/>
          <w:iCs/>
          <w:sz w:val="22"/>
          <w:szCs w:val="22"/>
        </w:rPr>
      </w:pPr>
    </w:p>
    <w:p w:rsidR="00001C62" w:rsidRPr="005860ED" w:rsidRDefault="00001C62" w:rsidP="009752B0">
      <w:pPr>
        <w:tabs>
          <w:tab w:val="left" w:pos="0"/>
          <w:tab w:val="left" w:pos="1134"/>
        </w:tabs>
        <w:rPr>
          <w:rFonts w:ascii="Arial" w:hAnsi="Arial" w:cs="Arial"/>
          <w:iCs/>
          <w:sz w:val="22"/>
          <w:szCs w:val="22"/>
        </w:rPr>
      </w:pPr>
      <w:r w:rsidRPr="005860ED">
        <w:rPr>
          <w:rFonts w:ascii="Arial" w:hAnsi="Arial" w:cs="Arial"/>
          <w:iCs/>
          <w:sz w:val="22"/>
          <w:szCs w:val="22"/>
        </w:rPr>
        <w:t>The Council expects that each referral for a Mental Health Act assessment should be allocated to an Approved Mental Health Professional within a two hour period</w:t>
      </w:r>
    </w:p>
    <w:p w:rsidR="00001C62" w:rsidRPr="005860ED" w:rsidRDefault="00001C62" w:rsidP="009752B0">
      <w:pPr>
        <w:tabs>
          <w:tab w:val="left" w:pos="794"/>
          <w:tab w:val="left" w:pos="1134"/>
        </w:tabs>
        <w:ind w:left="1071"/>
        <w:rPr>
          <w:rFonts w:ascii="Arial" w:hAnsi="Arial" w:cs="Arial"/>
          <w:iCs/>
          <w:sz w:val="22"/>
          <w:szCs w:val="22"/>
        </w:rPr>
      </w:pPr>
    </w:p>
    <w:p w:rsidR="00001C62" w:rsidRPr="005860ED" w:rsidRDefault="00001C62" w:rsidP="009752B0">
      <w:pPr>
        <w:tabs>
          <w:tab w:val="left" w:pos="0"/>
          <w:tab w:val="left" w:pos="1134"/>
        </w:tabs>
        <w:rPr>
          <w:rFonts w:ascii="Arial" w:hAnsi="Arial" w:cs="Arial"/>
          <w:iCs/>
          <w:sz w:val="22"/>
          <w:szCs w:val="22"/>
        </w:rPr>
      </w:pPr>
      <w:r w:rsidRPr="005860ED">
        <w:rPr>
          <w:rFonts w:ascii="Arial" w:hAnsi="Arial" w:cs="Arial"/>
          <w:iCs/>
          <w:sz w:val="22"/>
          <w:szCs w:val="22"/>
        </w:rPr>
        <w:t>Request for Section 135 and 136 assessments will commence within  4 hours of the referral being received</w:t>
      </w:r>
    </w:p>
    <w:p w:rsidR="00001C62" w:rsidRPr="005860ED" w:rsidRDefault="00001C62" w:rsidP="00001C62">
      <w:pPr>
        <w:pStyle w:val="ListParagraph"/>
        <w:ind w:left="714"/>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 xml:space="preserve">Request for Section 5.2 assessments will commence in order to meet statutory time frames </w:t>
      </w:r>
    </w:p>
    <w:p w:rsidR="00001C62" w:rsidRPr="005860ED" w:rsidRDefault="00001C62" w:rsidP="00001C62">
      <w:pPr>
        <w:tabs>
          <w:tab w:val="left" w:pos="794"/>
          <w:tab w:val="left" w:pos="1134"/>
        </w:tabs>
        <w:ind w:left="1071"/>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Request for Mental Health Act Assessments from nearest relatives commence within a 4 hour period</w:t>
      </w:r>
    </w:p>
    <w:p w:rsidR="009752B0" w:rsidRDefault="009752B0" w:rsidP="00001C62">
      <w:pPr>
        <w:tabs>
          <w:tab w:val="left" w:pos="794"/>
          <w:tab w:val="left" w:pos="1134"/>
        </w:tabs>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 xml:space="preserve">AMHPs will complete all statutory paperwork including an outline report that will be provided to any receiving hospital and will be then forwarded to Derby City Council the following day.  </w:t>
      </w:r>
    </w:p>
    <w:p w:rsidR="00001C62" w:rsidRPr="005860ED" w:rsidRDefault="00001C62" w:rsidP="00001C62">
      <w:pPr>
        <w:pStyle w:val="ListParagraph"/>
        <w:ind w:left="714"/>
        <w:rPr>
          <w:rFonts w:ascii="Arial" w:hAnsi="Arial" w:cs="Arial"/>
          <w:iCs/>
          <w:sz w:val="22"/>
          <w:szCs w:val="22"/>
        </w:rPr>
      </w:pPr>
    </w:p>
    <w:p w:rsidR="00001C62" w:rsidRPr="005860ED" w:rsidRDefault="00001C62" w:rsidP="00001C62">
      <w:pPr>
        <w:pStyle w:val="ListParagraph"/>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The AMHP service will respond to all referrals received 17:00hrs to 09:00hrs and throughout the 24 hour period at weekends and Bank Holidays</w:t>
      </w:r>
    </w:p>
    <w:p w:rsidR="00001C62" w:rsidRPr="005860ED" w:rsidRDefault="00001C62" w:rsidP="00001C62">
      <w:pPr>
        <w:pStyle w:val="ListParagraph"/>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The Practice of the AMHP service must comply with all statutory legislation with particular emphasis on 1983 Mental Health Act, 2005 Mental Capacity Act, 1989 Children Act, 2014 Care Act and 1984 Human Rights Act</w:t>
      </w:r>
    </w:p>
    <w:p w:rsidR="00001C62" w:rsidRPr="005860ED" w:rsidRDefault="00001C62" w:rsidP="00001C62">
      <w:pPr>
        <w:pStyle w:val="ListParagraph"/>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The AMHP service must comply with the Derbyshire and Derby City Safeguarding Adults Board Policy Procedure and Practice Guidance</w:t>
      </w:r>
    </w:p>
    <w:p w:rsidR="00001C62" w:rsidRPr="005860ED" w:rsidRDefault="00001C62" w:rsidP="00001C62">
      <w:pPr>
        <w:pStyle w:val="ListParagraph"/>
        <w:rPr>
          <w:rFonts w:ascii="Arial" w:hAnsi="Arial" w:cs="Arial"/>
          <w:iCs/>
          <w:sz w:val="22"/>
          <w:szCs w:val="22"/>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The AMHP service must comply with the Derbyshire and Derby City Safeguarding Children Board Policy Procedure and Practice Guidance</w:t>
      </w:r>
    </w:p>
    <w:p w:rsidR="00001C62" w:rsidRPr="005860ED" w:rsidRDefault="00001C62" w:rsidP="00001C62">
      <w:pPr>
        <w:tabs>
          <w:tab w:val="left" w:pos="794"/>
          <w:tab w:val="left" w:pos="1134"/>
        </w:tabs>
        <w:ind w:left="107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Performance will be monitored through a Governance Board (currently the MHA Committee) that meets on a quarterly basis and will examine performance against the above standards.</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The service will be required to complete the AMHP monitoring forms and for these to be made available to Derby City Council the next working day</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All AMHPs will have a recognised professional qualification, membership of their appropriate professional body, a recognised AMHP qualification.  A recognised approval to act as an AMHP.   </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All AMHPs will have a current and up to date CRB check covering both vulnerable Adults and Children </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The AMHP service is a statutory service which must be in operation 24 hours a day, 7 days a week, 365 days a year.   The service referred to here is to provide the Out of Hours element.</w:t>
      </w:r>
    </w:p>
    <w:p w:rsidR="00001C62" w:rsidRPr="005860ED" w:rsidRDefault="00001C62" w:rsidP="00001C62">
      <w:pPr>
        <w:tabs>
          <w:tab w:val="left" w:pos="794"/>
          <w:tab w:val="left" w:pos="1134"/>
        </w:tabs>
        <w:rPr>
          <w:rFonts w:ascii="Arial" w:hAnsi="Arial" w:cs="Arial"/>
          <w:b/>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 xml:space="preserve">5.  </w:t>
      </w:r>
      <w:r w:rsidRPr="005860ED">
        <w:rPr>
          <w:rFonts w:ascii="Arial" w:hAnsi="Arial" w:cs="Arial"/>
          <w:b/>
          <w:iCs/>
          <w:sz w:val="22"/>
          <w:szCs w:val="22"/>
        </w:rPr>
        <w:tab/>
        <w:t>PERFORMANCE TARGETS</w:t>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lastRenderedPageBreak/>
        <w:br/>
        <w:t>As described above.  Performance will be monitored against compliance with the Statutory Legislation and accompanying National Guidance</w:t>
      </w:r>
    </w:p>
    <w:p w:rsidR="00001C62" w:rsidRPr="005860ED" w:rsidRDefault="00001C62" w:rsidP="00001C62">
      <w:pPr>
        <w:tabs>
          <w:tab w:val="left" w:pos="794"/>
        </w:tabs>
        <w:ind w:left="73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Continuous Improvement will be monitored and managed through the scrutiny of the Governance Board</w:t>
      </w:r>
    </w:p>
    <w:p w:rsidR="00001C62" w:rsidRPr="005860ED" w:rsidRDefault="00001C62" w:rsidP="00001C62">
      <w:pPr>
        <w:tabs>
          <w:tab w:val="left" w:pos="794"/>
          <w:tab w:val="left" w:pos="1134"/>
        </w:tabs>
        <w:rPr>
          <w:rFonts w:ascii="Arial" w:hAnsi="Arial" w:cs="Arial"/>
          <w:b/>
          <w:iCs/>
          <w:sz w:val="22"/>
          <w:szCs w:val="22"/>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 xml:space="preserve">6. </w:t>
      </w:r>
      <w:r w:rsidRPr="005860ED">
        <w:rPr>
          <w:rFonts w:ascii="Arial" w:hAnsi="Arial" w:cs="Arial"/>
          <w:b/>
          <w:iCs/>
          <w:sz w:val="22"/>
          <w:szCs w:val="22"/>
        </w:rPr>
        <w:tab/>
        <w:t>INTERFACE WITH OTHER SUPPLIERS / SERVICE PROVIDERS</w:t>
      </w:r>
    </w:p>
    <w:p w:rsidR="00001C62" w:rsidRPr="005860ED" w:rsidRDefault="00001C62" w:rsidP="00001C62">
      <w:pPr>
        <w:tabs>
          <w:tab w:val="left" w:pos="794"/>
        </w:tabs>
        <w:ind w:left="1077"/>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The Council will ensure that there are arrangements in place for the appropriate handover of AMHP referrals from the Derby City in hours AMHP service provision to the Service Provider’s out of office hours AMHPs provision and vice versa.  The outcome and wellbeing of the service user will be the deciding factor in relation to any handovers.  </w:t>
      </w:r>
      <w:r w:rsidRPr="005860ED">
        <w:rPr>
          <w:rFonts w:ascii="Arial" w:hAnsi="Arial" w:cs="Arial"/>
          <w:iCs/>
          <w:sz w:val="22"/>
          <w:szCs w:val="22"/>
        </w:rPr>
        <w:br/>
      </w:r>
      <w:r w:rsidRPr="005860ED">
        <w:rPr>
          <w:rFonts w:ascii="Arial" w:hAnsi="Arial" w:cs="Arial"/>
          <w:iCs/>
          <w:sz w:val="22"/>
          <w:szCs w:val="22"/>
        </w:rPr>
        <w:br/>
      </w:r>
      <w:r w:rsidR="009752B0">
        <w:rPr>
          <w:rFonts w:ascii="Arial" w:hAnsi="Arial" w:cs="Arial"/>
          <w:iCs/>
          <w:sz w:val="22"/>
          <w:szCs w:val="22"/>
        </w:rPr>
        <w:t>T</w:t>
      </w:r>
      <w:r w:rsidRPr="005860ED">
        <w:rPr>
          <w:rFonts w:ascii="Arial" w:hAnsi="Arial" w:cs="Arial"/>
          <w:iCs/>
          <w:sz w:val="22"/>
          <w:szCs w:val="22"/>
        </w:rPr>
        <w:t>he general working arrangements will be that referrals should be dealt with by the team in which they are received, however, it is recognised that where an assessment is unlikely to commence until after the relevant team has come into operation,  that service will be often be best placed to meet the outcomes and wellbeing of the service user.  Please refer to ‘Protocol for MHA referrals between in hours and out of hours AMHP services’ and relevant Practice Guidance</w:t>
      </w:r>
    </w:p>
    <w:p w:rsidR="00001C62" w:rsidRPr="005860ED" w:rsidRDefault="00001C62" w:rsidP="00001C62">
      <w:pPr>
        <w:tabs>
          <w:tab w:val="left" w:pos="794"/>
          <w:tab w:val="left" w:pos="1134"/>
        </w:tabs>
        <w:rPr>
          <w:rFonts w:ascii="Arial" w:hAnsi="Arial" w:cs="Arial"/>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7.</w:t>
      </w:r>
      <w:r w:rsidRPr="005860ED">
        <w:rPr>
          <w:rFonts w:ascii="Arial" w:hAnsi="Arial" w:cs="Arial"/>
          <w:b/>
          <w:iCs/>
          <w:sz w:val="22"/>
          <w:szCs w:val="22"/>
        </w:rPr>
        <w:tab/>
        <w:t>CONFIDENTIALITY</w:t>
      </w:r>
    </w:p>
    <w:p w:rsidR="00001C62" w:rsidRPr="005860ED" w:rsidRDefault="00001C62" w:rsidP="00001C62">
      <w:pPr>
        <w:tabs>
          <w:tab w:val="left" w:pos="794"/>
          <w:tab w:val="left" w:pos="1134"/>
        </w:tabs>
        <w:rPr>
          <w:rFonts w:ascii="Arial" w:hAnsi="Arial" w:cs="Arial"/>
          <w:iCs/>
          <w:sz w:val="22"/>
          <w:szCs w:val="22"/>
          <w:highlight w:val="yellow"/>
        </w:rPr>
      </w:pPr>
    </w:p>
    <w:p w:rsidR="00001C62" w:rsidRPr="005860ED" w:rsidRDefault="00001C62" w:rsidP="00001C62">
      <w:pPr>
        <w:tabs>
          <w:tab w:val="left" w:pos="794"/>
          <w:tab w:val="left" w:pos="1134"/>
        </w:tabs>
        <w:rPr>
          <w:rFonts w:ascii="Arial" w:hAnsi="Arial" w:cs="Arial"/>
          <w:iCs/>
          <w:sz w:val="22"/>
          <w:szCs w:val="22"/>
        </w:rPr>
      </w:pPr>
      <w:r w:rsidRPr="005860ED">
        <w:rPr>
          <w:rFonts w:ascii="Arial" w:hAnsi="Arial" w:cs="Arial"/>
          <w:iCs/>
          <w:sz w:val="22"/>
          <w:szCs w:val="22"/>
        </w:rPr>
        <w:t xml:space="preserve">AMHP staff will comply with Local Information Sharing Agreements and are bound by the Data Protection Act and accompanying guidance </w:t>
      </w:r>
    </w:p>
    <w:p w:rsidR="00001C62" w:rsidRPr="005860ED" w:rsidRDefault="00001C62" w:rsidP="00001C62">
      <w:pPr>
        <w:tabs>
          <w:tab w:val="left" w:pos="3000"/>
        </w:tabs>
        <w:ind w:left="340"/>
        <w:rPr>
          <w:rFonts w:ascii="Arial" w:hAnsi="Arial" w:cs="Arial"/>
          <w:iCs/>
          <w:sz w:val="22"/>
          <w:szCs w:val="22"/>
        </w:rPr>
      </w:pPr>
      <w:r w:rsidRPr="005860ED">
        <w:rPr>
          <w:rFonts w:ascii="Arial" w:hAnsi="Arial" w:cs="Arial"/>
          <w:iCs/>
          <w:sz w:val="22"/>
          <w:szCs w:val="22"/>
        </w:rPr>
        <w:tab/>
      </w: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8.</w:t>
      </w:r>
      <w:r w:rsidRPr="005860ED">
        <w:rPr>
          <w:rFonts w:ascii="Arial" w:hAnsi="Arial" w:cs="Arial"/>
          <w:b/>
          <w:iCs/>
          <w:sz w:val="22"/>
          <w:szCs w:val="22"/>
        </w:rPr>
        <w:tab/>
        <w:t>REPORTING / CONTRACT MONITORING</w:t>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br/>
        <w:t xml:space="preserve">The Contract and performance of the Service will be monitored through the establishment of a quarterly Contract Management Meeting.  The membership of this meeting will comprise of senior officers from both the Council and the Service Provider.  </w:t>
      </w:r>
      <w:r w:rsidRPr="005860ED">
        <w:rPr>
          <w:rFonts w:ascii="Arial" w:hAnsi="Arial" w:cs="Arial"/>
          <w:iCs/>
          <w:sz w:val="22"/>
          <w:szCs w:val="22"/>
        </w:rPr>
        <w:br/>
      </w:r>
      <w:r w:rsidRPr="005860ED">
        <w:rPr>
          <w:rFonts w:ascii="Arial" w:hAnsi="Arial" w:cs="Arial"/>
          <w:iCs/>
          <w:sz w:val="22"/>
          <w:szCs w:val="22"/>
        </w:rPr>
        <w:br/>
        <w:t>The Contract Managers role will primarily be to ensure that the Service fulfils the Council’s statutory duty to provide an Out of Hours AMHP service. The Board will also consider outcomes for service users and will monitor performance against regional and national benchmarks. The Contract Management meeting will convene on a quarterly basis</w:t>
      </w:r>
    </w:p>
    <w:p w:rsidR="00001C62" w:rsidRPr="005860ED" w:rsidRDefault="00001C62" w:rsidP="00001C62">
      <w:pPr>
        <w:tabs>
          <w:tab w:val="left" w:pos="794"/>
        </w:tabs>
        <w:ind w:left="737"/>
        <w:rPr>
          <w:rFonts w:ascii="Arial" w:hAnsi="Arial" w:cs="Arial"/>
          <w:iCs/>
          <w:sz w:val="22"/>
          <w:szCs w:val="22"/>
        </w:rPr>
      </w:pPr>
    </w:p>
    <w:p w:rsidR="00001C62" w:rsidRPr="005860ED" w:rsidRDefault="009752B0" w:rsidP="00001C62">
      <w:pPr>
        <w:tabs>
          <w:tab w:val="left" w:pos="794"/>
        </w:tabs>
        <w:rPr>
          <w:rFonts w:ascii="Arial" w:hAnsi="Arial" w:cs="Arial"/>
          <w:iCs/>
          <w:sz w:val="22"/>
          <w:szCs w:val="22"/>
        </w:rPr>
      </w:pPr>
      <w:r>
        <w:rPr>
          <w:rFonts w:ascii="Arial" w:hAnsi="Arial" w:cs="Arial"/>
          <w:iCs/>
          <w:sz w:val="22"/>
          <w:szCs w:val="22"/>
        </w:rPr>
        <w:t>T</w:t>
      </w:r>
      <w:r w:rsidR="00001C62" w:rsidRPr="005860ED">
        <w:rPr>
          <w:rFonts w:ascii="Arial" w:hAnsi="Arial" w:cs="Arial"/>
          <w:iCs/>
          <w:sz w:val="22"/>
          <w:szCs w:val="22"/>
        </w:rPr>
        <w:t xml:space="preserve">he Service Provider will provide statistical information on a quarterly basis through AMHP monitoring forms which will provide data on activity and outcomes.  </w:t>
      </w:r>
    </w:p>
    <w:p w:rsidR="00001C62" w:rsidRPr="005860ED" w:rsidRDefault="00001C62" w:rsidP="00001C62">
      <w:pPr>
        <w:tabs>
          <w:tab w:val="left" w:pos="794"/>
        </w:tabs>
        <w:rPr>
          <w:rFonts w:ascii="Arial" w:hAnsi="Arial" w:cs="Arial"/>
          <w:iCs/>
          <w:sz w:val="22"/>
          <w:szCs w:val="22"/>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9.</w:t>
      </w:r>
      <w:r w:rsidRPr="005860ED">
        <w:rPr>
          <w:rFonts w:ascii="Arial" w:hAnsi="Arial" w:cs="Arial"/>
          <w:b/>
          <w:iCs/>
          <w:sz w:val="22"/>
          <w:szCs w:val="22"/>
        </w:rPr>
        <w:tab/>
        <w:t>PROBLEM SOLVING AND DEALING WITH CLIENT COMPLAINTS</w:t>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br/>
      </w:r>
      <w:r w:rsidR="009752B0">
        <w:rPr>
          <w:rFonts w:ascii="Arial" w:hAnsi="Arial" w:cs="Arial"/>
          <w:iCs/>
          <w:sz w:val="22"/>
          <w:szCs w:val="22"/>
        </w:rPr>
        <w:t>O</w:t>
      </w:r>
      <w:r w:rsidRPr="005860ED">
        <w:rPr>
          <w:rFonts w:ascii="Arial" w:hAnsi="Arial" w:cs="Arial"/>
          <w:iCs/>
          <w:sz w:val="22"/>
          <w:szCs w:val="22"/>
        </w:rPr>
        <w:t xml:space="preserve">perational problems with the Service specifically relating to Derby City will be addressed on an on-going basis through liaison between the Service Provider and a senior officer from the Council, and also through the quarterly Contract Management Meeting. </w:t>
      </w:r>
      <w:r w:rsidRPr="005860ED">
        <w:rPr>
          <w:rFonts w:ascii="Arial" w:hAnsi="Arial" w:cs="Arial"/>
          <w:iCs/>
          <w:sz w:val="22"/>
          <w:szCs w:val="22"/>
        </w:rPr>
        <w:br/>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Client complaints will be dealt with in the usual manner through the Provider’s complaints policy.  Data on complaints will be reported at the Contract Management meeting. </w:t>
      </w:r>
    </w:p>
    <w:p w:rsidR="00001C62" w:rsidRPr="005860ED" w:rsidRDefault="00001C62" w:rsidP="00001C62">
      <w:pPr>
        <w:tabs>
          <w:tab w:val="left" w:pos="794"/>
          <w:tab w:val="left" w:pos="1134"/>
        </w:tabs>
        <w:rPr>
          <w:rFonts w:ascii="Arial" w:hAnsi="Arial" w:cs="Arial"/>
          <w:b/>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10.</w:t>
      </w:r>
      <w:r w:rsidRPr="005860ED">
        <w:rPr>
          <w:rFonts w:ascii="Arial" w:hAnsi="Arial" w:cs="Arial"/>
          <w:b/>
          <w:iCs/>
          <w:sz w:val="22"/>
          <w:szCs w:val="22"/>
        </w:rPr>
        <w:tab/>
        <w:t>TRAINING AND MAINTENANCE</w:t>
      </w:r>
    </w:p>
    <w:p w:rsidR="00001C62" w:rsidRPr="005860ED" w:rsidRDefault="00001C62" w:rsidP="00001C62">
      <w:pPr>
        <w:tabs>
          <w:tab w:val="left" w:pos="794"/>
        </w:tabs>
        <w:ind w:left="1077"/>
        <w:rPr>
          <w:rFonts w:ascii="Arial" w:hAnsi="Arial" w:cs="Arial"/>
          <w:iCs/>
          <w:sz w:val="22"/>
          <w:szCs w:val="22"/>
          <w:highlight w:val="yellow"/>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All AMHPs will have a recognised professional qualification, membership of their appropriate professional body, a recognised AMHP qualification and recognised approval to act as an AMHP</w:t>
      </w:r>
    </w:p>
    <w:p w:rsidR="00001C62" w:rsidRPr="005860ED" w:rsidRDefault="00001C62" w:rsidP="00001C62">
      <w:pPr>
        <w:tabs>
          <w:tab w:val="left" w:pos="794"/>
        </w:tabs>
        <w:ind w:left="720"/>
        <w:rPr>
          <w:rFonts w:ascii="Arial" w:hAnsi="Arial" w:cs="Arial"/>
          <w:iCs/>
          <w:sz w:val="22"/>
          <w:szCs w:val="22"/>
          <w:highlight w:val="yellow"/>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The Out of Hours AMHP service will provide the AMHPs employed to deliver this Service, with a minimum of 18 hours Continued Professional Development relevant to their role and which enables them to meet the regulation guidance in the 1983 Mental Health Act.</w:t>
      </w:r>
    </w:p>
    <w:p w:rsidR="00001C62" w:rsidRPr="005860ED" w:rsidRDefault="00001C62" w:rsidP="00001C62">
      <w:pPr>
        <w:tabs>
          <w:tab w:val="left" w:pos="794"/>
        </w:tabs>
        <w:ind w:left="720"/>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All Provider AMHPs should be given sufficient opportunities to meet their wider continuing professional development needs in order to maintain their professional registration </w:t>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br/>
        <w:t xml:space="preserve">All Provider AMHPs will receive a minimum of monthly face to face reflective supervision </w:t>
      </w:r>
    </w:p>
    <w:p w:rsidR="00001C62" w:rsidRPr="005860ED" w:rsidRDefault="00001C62" w:rsidP="00001C62">
      <w:pPr>
        <w:tabs>
          <w:tab w:val="left" w:pos="794"/>
          <w:tab w:val="left" w:pos="1134"/>
        </w:tabs>
        <w:rPr>
          <w:rFonts w:ascii="Arial" w:hAnsi="Arial" w:cs="Arial"/>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 xml:space="preserve">11. </w:t>
      </w:r>
      <w:r w:rsidRPr="005860ED">
        <w:rPr>
          <w:rFonts w:ascii="Arial" w:hAnsi="Arial" w:cs="Arial"/>
          <w:b/>
          <w:iCs/>
          <w:sz w:val="22"/>
          <w:szCs w:val="22"/>
        </w:rPr>
        <w:tab/>
        <w:t>REVIEW OF PROCEDURES / CHANGE</w:t>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br/>
        <w:t>Any changes to the Specification will be managed and authorised through the quarterly Contract Management Meeting</w:t>
      </w:r>
    </w:p>
    <w:p w:rsidR="00001C62" w:rsidRPr="005860ED" w:rsidRDefault="00001C62" w:rsidP="00001C62">
      <w:pPr>
        <w:tabs>
          <w:tab w:val="left" w:pos="794"/>
        </w:tabs>
        <w:rPr>
          <w:rFonts w:ascii="Arial" w:hAnsi="Arial" w:cs="Arial"/>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12.</w:t>
      </w:r>
      <w:r w:rsidRPr="005860ED">
        <w:rPr>
          <w:rFonts w:ascii="Arial" w:hAnsi="Arial" w:cs="Arial"/>
          <w:b/>
          <w:iCs/>
          <w:sz w:val="22"/>
          <w:szCs w:val="22"/>
        </w:rPr>
        <w:tab/>
        <w:t>INPUTS, OUTPUTS AND OUTCOMES</w:t>
      </w:r>
    </w:p>
    <w:p w:rsidR="00001C62" w:rsidRPr="005860ED" w:rsidRDefault="00001C62" w:rsidP="00001C62">
      <w:pPr>
        <w:keepNext/>
        <w:autoSpaceDE w:val="0"/>
        <w:autoSpaceDN w:val="0"/>
        <w:adjustRightInd w:val="0"/>
        <w:spacing w:before="100" w:after="100"/>
        <w:outlineLvl w:val="2"/>
        <w:rPr>
          <w:rFonts w:ascii="Arial" w:hAnsi="Arial" w:cs="Arial"/>
          <w:bCs/>
          <w:sz w:val="22"/>
          <w:szCs w:val="22"/>
        </w:rPr>
      </w:pPr>
      <w:r w:rsidRPr="005860ED">
        <w:rPr>
          <w:rFonts w:ascii="Arial" w:hAnsi="Arial" w:cs="Arial"/>
          <w:iCs/>
          <w:sz w:val="22"/>
          <w:szCs w:val="22"/>
        </w:rPr>
        <w:br/>
        <w:t xml:space="preserve">Provision of an AMHP service outside of office hours as set out in 2.2, to meet the statutory requirement on Local Authorities </w:t>
      </w:r>
      <w:r w:rsidRPr="005860ED">
        <w:rPr>
          <w:rFonts w:ascii="Arial" w:hAnsi="Arial" w:cs="Arial"/>
          <w:bCs/>
          <w:sz w:val="22"/>
          <w:szCs w:val="22"/>
        </w:rPr>
        <w:t>under section 13 of the 1983 Mental Health Act</w:t>
      </w:r>
    </w:p>
    <w:p w:rsidR="00001C62" w:rsidRPr="005860ED" w:rsidRDefault="00001C62" w:rsidP="00001C62">
      <w:pPr>
        <w:tabs>
          <w:tab w:val="left" w:pos="794"/>
        </w:tabs>
        <w:rPr>
          <w:rFonts w:ascii="Arial" w:hAnsi="Arial" w:cs="Arial"/>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13.</w:t>
      </w:r>
      <w:r w:rsidRPr="005860ED">
        <w:rPr>
          <w:rFonts w:ascii="Arial" w:hAnsi="Arial" w:cs="Arial"/>
          <w:b/>
          <w:iCs/>
          <w:sz w:val="22"/>
          <w:szCs w:val="22"/>
        </w:rPr>
        <w:tab/>
        <w:t xml:space="preserve">SOCIAL VALUE, COMMUNITY BENEFITS AND LOCAL ECONOMY </w:t>
      </w: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br/>
        <w:t xml:space="preserve">This Service will provide an improved experience for the people of the city of Derby who need to use the Service through a more timely response to referrals for AMHPs.  The Council is a signatory to the Derbyshire Crisis Care Concordat which seeks to provide an improved experience for people with mental health needs in crisis.  </w:t>
      </w:r>
      <w:r w:rsidRPr="005860ED">
        <w:rPr>
          <w:rFonts w:ascii="Arial" w:hAnsi="Arial" w:cs="Arial"/>
          <w:iCs/>
          <w:sz w:val="22"/>
          <w:szCs w:val="22"/>
        </w:rPr>
        <w:br/>
      </w:r>
      <w:r w:rsidRPr="005860ED">
        <w:rPr>
          <w:rFonts w:ascii="Arial" w:hAnsi="Arial" w:cs="Arial"/>
          <w:iCs/>
          <w:sz w:val="22"/>
          <w:szCs w:val="22"/>
        </w:rPr>
        <w:br/>
        <w:t xml:space="preserve">The Concordat also seeks to provide parity of esteem for people with mental health needs and the development of this service will contribute significantly towards these.  </w:t>
      </w:r>
    </w:p>
    <w:p w:rsidR="00001C62" w:rsidRPr="005860ED" w:rsidRDefault="00001C62" w:rsidP="00001C62">
      <w:pPr>
        <w:rPr>
          <w:rFonts w:ascii="Arial" w:hAnsi="Arial" w:cs="Arial"/>
          <w:i/>
          <w:sz w:val="22"/>
          <w:szCs w:val="22"/>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14.</w:t>
      </w:r>
      <w:r w:rsidRPr="005860ED">
        <w:rPr>
          <w:rFonts w:ascii="Arial" w:hAnsi="Arial" w:cs="Arial"/>
          <w:b/>
          <w:iCs/>
          <w:sz w:val="22"/>
          <w:szCs w:val="22"/>
        </w:rPr>
        <w:tab/>
        <w:t>USE OF I.T.</w:t>
      </w:r>
    </w:p>
    <w:p w:rsidR="00001C62" w:rsidRPr="005860ED" w:rsidRDefault="00001C62" w:rsidP="00001C62">
      <w:pPr>
        <w:tabs>
          <w:tab w:val="left" w:pos="794"/>
        </w:tabs>
        <w:ind w:left="794"/>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The AMHPs employed in this service will use I.T. and equipment provided by the Service Provider.</w:t>
      </w:r>
    </w:p>
    <w:p w:rsidR="00001C62" w:rsidRPr="005860ED" w:rsidRDefault="00001C62" w:rsidP="00001C62">
      <w:pPr>
        <w:tabs>
          <w:tab w:val="left" w:pos="794"/>
        </w:tabs>
        <w:rPr>
          <w:rFonts w:ascii="Arial" w:hAnsi="Arial" w:cs="Arial"/>
          <w:iCs/>
          <w:sz w:val="22"/>
          <w:szCs w:val="22"/>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AMHPs employed within this service will be provided with access to the Council’s relevant Social Care Case Management Systems  to enable effective delivery of the requirements of the Service.</w:t>
      </w:r>
    </w:p>
    <w:p w:rsidR="00001C62" w:rsidRPr="005860ED" w:rsidRDefault="00001C62" w:rsidP="00001C62">
      <w:pPr>
        <w:tabs>
          <w:tab w:val="left" w:pos="794"/>
        </w:tabs>
        <w:ind w:left="720"/>
        <w:rPr>
          <w:rFonts w:ascii="Arial" w:hAnsi="Arial" w:cs="Arial"/>
          <w:iCs/>
          <w:sz w:val="22"/>
          <w:szCs w:val="22"/>
          <w:highlight w:val="yellow"/>
        </w:rPr>
      </w:pPr>
    </w:p>
    <w:p w:rsidR="00001C62" w:rsidRPr="005860ED" w:rsidRDefault="00001C62" w:rsidP="00001C62">
      <w:pPr>
        <w:tabs>
          <w:tab w:val="left" w:pos="794"/>
          <w:tab w:val="left" w:pos="1134"/>
        </w:tabs>
        <w:rPr>
          <w:rFonts w:ascii="Arial" w:hAnsi="Arial" w:cs="Arial"/>
          <w:b/>
          <w:iCs/>
          <w:sz w:val="22"/>
          <w:szCs w:val="22"/>
        </w:rPr>
      </w:pPr>
      <w:r w:rsidRPr="005860ED">
        <w:rPr>
          <w:rFonts w:ascii="Arial" w:hAnsi="Arial" w:cs="Arial"/>
          <w:b/>
          <w:iCs/>
          <w:sz w:val="22"/>
          <w:szCs w:val="22"/>
        </w:rPr>
        <w:t>15.</w:t>
      </w:r>
      <w:r w:rsidRPr="005860ED">
        <w:rPr>
          <w:rFonts w:ascii="Arial" w:hAnsi="Arial" w:cs="Arial"/>
          <w:b/>
          <w:iCs/>
          <w:sz w:val="22"/>
          <w:szCs w:val="22"/>
        </w:rPr>
        <w:tab/>
        <w:t>RISKS / BUSINES CONTINUITY / EXIT STRATEGY</w:t>
      </w:r>
    </w:p>
    <w:p w:rsidR="00001C62" w:rsidRPr="005860ED" w:rsidRDefault="00001C62" w:rsidP="00001C62">
      <w:pPr>
        <w:tabs>
          <w:tab w:val="left" w:pos="794"/>
        </w:tabs>
        <w:rPr>
          <w:rFonts w:ascii="Arial" w:hAnsi="Arial" w:cs="Arial"/>
          <w:iCs/>
          <w:sz w:val="22"/>
          <w:szCs w:val="22"/>
          <w:highlight w:val="yellow"/>
        </w:rPr>
      </w:pPr>
    </w:p>
    <w:p w:rsidR="00001C62" w:rsidRPr="005860ED" w:rsidRDefault="00001C62" w:rsidP="00001C62">
      <w:pPr>
        <w:tabs>
          <w:tab w:val="left" w:pos="794"/>
        </w:tabs>
        <w:rPr>
          <w:rFonts w:ascii="Arial" w:hAnsi="Arial" w:cs="Arial"/>
          <w:iCs/>
          <w:sz w:val="22"/>
          <w:szCs w:val="22"/>
        </w:rPr>
      </w:pPr>
      <w:r w:rsidRPr="005860ED">
        <w:rPr>
          <w:rFonts w:ascii="Arial" w:hAnsi="Arial" w:cs="Arial"/>
          <w:iCs/>
          <w:sz w:val="22"/>
          <w:szCs w:val="22"/>
        </w:rPr>
        <w:t xml:space="preserve">Failure to meet the requirements of the Out of Hours Service as set out in this Agreement would result in the Council not meeting its statutory requirement to provide an Out of Hours AMHP Service and would require urgent review of the Agreement. The Service Provider will be required to provide an AMHP service as set out in 2.2.  </w:t>
      </w:r>
    </w:p>
    <w:p w:rsidR="00001C62" w:rsidRPr="00702DB7" w:rsidRDefault="00001C62" w:rsidP="00001C62">
      <w:pPr>
        <w:tabs>
          <w:tab w:val="left" w:pos="794"/>
        </w:tabs>
        <w:ind w:left="720"/>
        <w:jc w:val="both"/>
        <w:rPr>
          <w:rFonts w:ascii="Arial" w:hAnsi="Arial" w:cs="Arial"/>
          <w:iCs/>
          <w:sz w:val="24"/>
          <w:szCs w:val="24"/>
          <w:highlight w:val="yellow"/>
        </w:rPr>
      </w:pPr>
    </w:p>
    <w:p w:rsidR="003D24F9" w:rsidRDefault="009752B0">
      <w:bookmarkStart w:id="2" w:name="_GoBack"/>
      <w:bookmarkEnd w:id="2"/>
    </w:p>
    <w:sectPr w:rsidR="003D2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1B6"/>
    <w:multiLevelType w:val="multilevel"/>
    <w:tmpl w:val="51A6DC44"/>
    <w:lvl w:ilvl="0">
      <w:start w:val="1"/>
      <w:numFmt w:val="none"/>
      <w:suff w:val="space"/>
      <w:lvlText w:val="APPENDIX 1"/>
      <w:lvlJc w:val="left"/>
      <w:pPr>
        <w:ind w:left="0" w:firstLine="0"/>
      </w:pPr>
      <w:rPr>
        <w:rFonts w:hint="default"/>
        <w:u w:val="no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339A5089"/>
    <w:multiLevelType w:val="hybridMultilevel"/>
    <w:tmpl w:val="3AE84B02"/>
    <w:lvl w:ilvl="0" w:tplc="9B64B58C">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363DDC"/>
    <w:multiLevelType w:val="hybridMultilevel"/>
    <w:tmpl w:val="E4A06C68"/>
    <w:lvl w:ilvl="0" w:tplc="5ECC47CC">
      <w:start w:val="1"/>
      <w:numFmt w:val="bullet"/>
      <w:lvlText w:val=""/>
      <w:lvlJc w:val="left"/>
      <w:pPr>
        <w:tabs>
          <w:tab w:val="num" w:pos="1080"/>
        </w:tabs>
        <w:ind w:left="1077" w:hanging="357"/>
      </w:pPr>
      <w:rPr>
        <w:rFonts w:ascii="Symbol" w:hAnsi="Symbol" w:hint="default"/>
      </w:rPr>
    </w:lvl>
    <w:lvl w:ilvl="1" w:tplc="E9040020" w:tentative="1">
      <w:start w:val="1"/>
      <w:numFmt w:val="bullet"/>
      <w:lvlText w:val="o"/>
      <w:lvlJc w:val="left"/>
      <w:pPr>
        <w:tabs>
          <w:tab w:val="num" w:pos="1440"/>
        </w:tabs>
        <w:ind w:left="1440" w:hanging="360"/>
      </w:pPr>
      <w:rPr>
        <w:rFonts w:ascii="Courier New" w:hAnsi="Courier New" w:hint="default"/>
      </w:rPr>
    </w:lvl>
    <w:lvl w:ilvl="2" w:tplc="0AACBBC0" w:tentative="1">
      <w:start w:val="1"/>
      <w:numFmt w:val="bullet"/>
      <w:lvlText w:val=""/>
      <w:lvlJc w:val="left"/>
      <w:pPr>
        <w:tabs>
          <w:tab w:val="num" w:pos="2160"/>
        </w:tabs>
        <w:ind w:left="2160" w:hanging="360"/>
      </w:pPr>
      <w:rPr>
        <w:rFonts w:ascii="Wingdings" w:hAnsi="Wingdings" w:hint="default"/>
      </w:rPr>
    </w:lvl>
    <w:lvl w:ilvl="3" w:tplc="6CA8FD88" w:tentative="1">
      <w:start w:val="1"/>
      <w:numFmt w:val="bullet"/>
      <w:lvlText w:val=""/>
      <w:lvlJc w:val="left"/>
      <w:pPr>
        <w:tabs>
          <w:tab w:val="num" w:pos="2880"/>
        </w:tabs>
        <w:ind w:left="2880" w:hanging="360"/>
      </w:pPr>
      <w:rPr>
        <w:rFonts w:ascii="Symbol" w:hAnsi="Symbol" w:hint="default"/>
      </w:rPr>
    </w:lvl>
    <w:lvl w:ilvl="4" w:tplc="0A465A50" w:tentative="1">
      <w:start w:val="1"/>
      <w:numFmt w:val="bullet"/>
      <w:lvlText w:val="o"/>
      <w:lvlJc w:val="left"/>
      <w:pPr>
        <w:tabs>
          <w:tab w:val="num" w:pos="3600"/>
        </w:tabs>
        <w:ind w:left="3600" w:hanging="360"/>
      </w:pPr>
      <w:rPr>
        <w:rFonts w:ascii="Courier New" w:hAnsi="Courier New" w:hint="default"/>
      </w:rPr>
    </w:lvl>
    <w:lvl w:ilvl="5" w:tplc="193EC61E" w:tentative="1">
      <w:start w:val="1"/>
      <w:numFmt w:val="bullet"/>
      <w:lvlText w:val=""/>
      <w:lvlJc w:val="left"/>
      <w:pPr>
        <w:tabs>
          <w:tab w:val="num" w:pos="4320"/>
        </w:tabs>
        <w:ind w:left="4320" w:hanging="360"/>
      </w:pPr>
      <w:rPr>
        <w:rFonts w:ascii="Wingdings" w:hAnsi="Wingdings" w:hint="default"/>
      </w:rPr>
    </w:lvl>
    <w:lvl w:ilvl="6" w:tplc="FC26EEFC" w:tentative="1">
      <w:start w:val="1"/>
      <w:numFmt w:val="bullet"/>
      <w:lvlText w:val=""/>
      <w:lvlJc w:val="left"/>
      <w:pPr>
        <w:tabs>
          <w:tab w:val="num" w:pos="5040"/>
        </w:tabs>
        <w:ind w:left="5040" w:hanging="360"/>
      </w:pPr>
      <w:rPr>
        <w:rFonts w:ascii="Symbol" w:hAnsi="Symbol" w:hint="default"/>
      </w:rPr>
    </w:lvl>
    <w:lvl w:ilvl="7" w:tplc="DA0445D6" w:tentative="1">
      <w:start w:val="1"/>
      <w:numFmt w:val="bullet"/>
      <w:lvlText w:val="o"/>
      <w:lvlJc w:val="left"/>
      <w:pPr>
        <w:tabs>
          <w:tab w:val="num" w:pos="5760"/>
        </w:tabs>
        <w:ind w:left="5760" w:hanging="360"/>
      </w:pPr>
      <w:rPr>
        <w:rFonts w:ascii="Courier New" w:hAnsi="Courier New" w:hint="default"/>
      </w:rPr>
    </w:lvl>
    <w:lvl w:ilvl="8" w:tplc="B120BC4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62"/>
    <w:rsid w:val="00001C62"/>
    <w:rsid w:val="004816D5"/>
    <w:rsid w:val="009752B0"/>
    <w:rsid w:val="00985973"/>
    <w:rsid w:val="00DB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62"/>
    <w:pPr>
      <w:spacing w:after="0" w:line="240" w:lineRule="auto"/>
    </w:pPr>
    <w:rPr>
      <w:rFonts w:ascii="CG Times" w:eastAsia="Times New Roman" w:hAnsi="CG Times" w:cs="Times New Roman"/>
      <w:sz w:val="20"/>
      <w:szCs w:val="20"/>
    </w:rPr>
  </w:style>
  <w:style w:type="paragraph" w:styleId="Heading1">
    <w:name w:val="heading 1"/>
    <w:basedOn w:val="List"/>
    <w:next w:val="List"/>
    <w:link w:val="Heading1Char"/>
    <w:autoRedefine/>
    <w:uiPriority w:val="99"/>
    <w:qFormat/>
    <w:rsid w:val="00001C62"/>
    <w:pPr>
      <w:keepNext/>
      <w:spacing w:line="360" w:lineRule="auto"/>
      <w:jc w:val="center"/>
      <w:outlineLvl w:val="0"/>
    </w:pPr>
    <w:rPr>
      <w:rFonts w:ascii="Arial" w:hAnsi="Arial" w:cs="Arial"/>
      <w:b/>
      <w:sz w:val="24"/>
      <w:szCs w:val="24"/>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qFormat/>
    <w:rsid w:val="00001C62"/>
    <w:pPr>
      <w:keepNext/>
      <w:numPr>
        <w:ilvl w:val="1"/>
        <w:numId w:val="2"/>
      </w:numP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001C62"/>
    <w:pPr>
      <w:keepNext/>
      <w:numPr>
        <w:ilvl w:val="2"/>
        <w:numId w:val="2"/>
      </w:numPr>
      <w:jc w:val="both"/>
      <w:outlineLvl w:val="2"/>
    </w:pPr>
    <w:rPr>
      <w:rFonts w:ascii="Arial" w:hAnsi="Arial"/>
      <w:u w:val="single"/>
    </w:rPr>
  </w:style>
  <w:style w:type="paragraph" w:styleId="Heading4">
    <w:name w:val="heading 4"/>
    <w:basedOn w:val="Normal"/>
    <w:next w:val="Normal"/>
    <w:link w:val="Heading4Char"/>
    <w:qFormat/>
    <w:rsid w:val="00001C62"/>
    <w:pPr>
      <w:numPr>
        <w:ilvl w:val="3"/>
        <w:numId w:val="2"/>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01C62"/>
    <w:pPr>
      <w:numPr>
        <w:ilvl w:val="4"/>
        <w:numId w:val="2"/>
      </w:numPr>
      <w:outlineLvl w:val="4"/>
    </w:pPr>
    <w:rPr>
      <w:b/>
    </w:rPr>
  </w:style>
  <w:style w:type="paragraph" w:styleId="Heading6">
    <w:name w:val="heading 6"/>
    <w:basedOn w:val="Normal"/>
    <w:next w:val="Normal"/>
    <w:link w:val="Heading6Char"/>
    <w:qFormat/>
    <w:rsid w:val="00001C62"/>
    <w:pPr>
      <w:numPr>
        <w:ilvl w:val="5"/>
        <w:numId w:val="2"/>
      </w:numPr>
      <w:outlineLvl w:val="5"/>
    </w:pPr>
    <w:rPr>
      <w:u w:val="single"/>
    </w:rPr>
  </w:style>
  <w:style w:type="paragraph" w:styleId="Heading7">
    <w:name w:val="heading 7"/>
    <w:basedOn w:val="Normal"/>
    <w:next w:val="Normal"/>
    <w:link w:val="Heading7Char"/>
    <w:qFormat/>
    <w:rsid w:val="00001C62"/>
    <w:pPr>
      <w:numPr>
        <w:ilvl w:val="6"/>
        <w:numId w:val="2"/>
      </w:numPr>
      <w:outlineLvl w:val="6"/>
    </w:pPr>
    <w:rPr>
      <w:i/>
    </w:rPr>
  </w:style>
  <w:style w:type="paragraph" w:styleId="Heading8">
    <w:name w:val="heading 8"/>
    <w:basedOn w:val="Normal"/>
    <w:next w:val="Normal"/>
    <w:link w:val="Heading8Char"/>
    <w:qFormat/>
    <w:rsid w:val="00001C62"/>
    <w:pPr>
      <w:numPr>
        <w:ilvl w:val="7"/>
        <w:numId w:val="2"/>
      </w:numPr>
      <w:outlineLvl w:val="7"/>
    </w:pPr>
    <w:rPr>
      <w:i/>
    </w:rPr>
  </w:style>
  <w:style w:type="paragraph" w:styleId="Heading9">
    <w:name w:val="heading 9"/>
    <w:basedOn w:val="Normal"/>
    <w:next w:val="Normal"/>
    <w:link w:val="Heading9Char"/>
    <w:qFormat/>
    <w:rsid w:val="00001C62"/>
    <w:pPr>
      <w:numPr>
        <w:ilvl w:val="8"/>
        <w:numId w:val="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1C62"/>
    <w:rPr>
      <w:rFonts w:ascii="Arial" w:eastAsia="Times New Roman" w:hAnsi="Arial" w:cs="Arial"/>
      <w:b/>
      <w:sz w:val="24"/>
      <w:szCs w:val="24"/>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001C62"/>
    <w:rPr>
      <w:rFonts w:ascii="Arial" w:eastAsia="Times New Roman" w:hAnsi="Arial" w:cs="Times New Roman"/>
      <w:b/>
      <w:sz w:val="24"/>
      <w:szCs w:val="20"/>
    </w:rPr>
  </w:style>
  <w:style w:type="character" w:customStyle="1" w:styleId="Heading3Char">
    <w:name w:val="Heading 3 Char"/>
    <w:basedOn w:val="DefaultParagraphFont"/>
    <w:link w:val="Heading3"/>
    <w:rsid w:val="00001C62"/>
    <w:rPr>
      <w:rFonts w:ascii="Arial" w:eastAsia="Times New Roman" w:hAnsi="Arial" w:cs="Times New Roman"/>
      <w:sz w:val="20"/>
      <w:szCs w:val="20"/>
      <w:u w:val="single"/>
    </w:rPr>
  </w:style>
  <w:style w:type="character" w:customStyle="1" w:styleId="Heading4Char">
    <w:name w:val="Heading 4 Char"/>
    <w:basedOn w:val="DefaultParagraphFont"/>
    <w:link w:val="Heading4"/>
    <w:rsid w:val="00001C62"/>
    <w:rPr>
      <w:rFonts w:ascii="CG Times" w:eastAsia="Times New Roman" w:hAnsi="CG Times" w:cs="Times New Roman"/>
      <w:sz w:val="24"/>
      <w:szCs w:val="20"/>
      <w:u w:val="single"/>
    </w:rPr>
  </w:style>
  <w:style w:type="character" w:customStyle="1" w:styleId="Heading5Char">
    <w:name w:val="Heading 5 Char"/>
    <w:basedOn w:val="DefaultParagraphFont"/>
    <w:link w:val="Heading5"/>
    <w:rsid w:val="00001C62"/>
    <w:rPr>
      <w:rFonts w:ascii="CG Times" w:eastAsia="Times New Roman" w:hAnsi="CG Times" w:cs="Times New Roman"/>
      <w:b/>
      <w:sz w:val="20"/>
      <w:szCs w:val="20"/>
    </w:rPr>
  </w:style>
  <w:style w:type="character" w:customStyle="1" w:styleId="Heading6Char">
    <w:name w:val="Heading 6 Char"/>
    <w:basedOn w:val="DefaultParagraphFont"/>
    <w:link w:val="Heading6"/>
    <w:rsid w:val="00001C62"/>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001C62"/>
    <w:rPr>
      <w:rFonts w:ascii="CG Times" w:eastAsia="Times New Roman" w:hAnsi="CG Times" w:cs="Times New Roman"/>
      <w:i/>
      <w:sz w:val="20"/>
      <w:szCs w:val="20"/>
    </w:rPr>
  </w:style>
  <w:style w:type="character" w:customStyle="1" w:styleId="Heading8Char">
    <w:name w:val="Heading 8 Char"/>
    <w:basedOn w:val="DefaultParagraphFont"/>
    <w:link w:val="Heading8"/>
    <w:rsid w:val="00001C62"/>
    <w:rPr>
      <w:rFonts w:ascii="CG Times" w:eastAsia="Times New Roman" w:hAnsi="CG Times" w:cs="Times New Roman"/>
      <w:i/>
      <w:sz w:val="20"/>
      <w:szCs w:val="20"/>
    </w:rPr>
  </w:style>
  <w:style w:type="character" w:customStyle="1" w:styleId="Heading9Char">
    <w:name w:val="Heading 9 Char"/>
    <w:basedOn w:val="DefaultParagraphFont"/>
    <w:link w:val="Heading9"/>
    <w:rsid w:val="00001C62"/>
    <w:rPr>
      <w:rFonts w:ascii="CG Times" w:eastAsia="Times New Roman" w:hAnsi="CG Times" w:cs="Times New Roman"/>
      <w:i/>
      <w:sz w:val="20"/>
      <w:szCs w:val="20"/>
    </w:rPr>
  </w:style>
  <w:style w:type="paragraph" w:styleId="ListParagraph">
    <w:name w:val="List Paragraph"/>
    <w:basedOn w:val="Normal"/>
    <w:uiPriority w:val="34"/>
    <w:qFormat/>
    <w:rsid w:val="00001C62"/>
    <w:pPr>
      <w:ind w:left="720"/>
    </w:pPr>
  </w:style>
  <w:style w:type="paragraph" w:styleId="List">
    <w:name w:val="List"/>
    <w:basedOn w:val="Normal"/>
    <w:uiPriority w:val="99"/>
    <w:semiHidden/>
    <w:unhideWhenUsed/>
    <w:rsid w:val="00001C62"/>
    <w:pPr>
      <w:ind w:left="283" w:hanging="283"/>
      <w:contextualSpacing/>
    </w:pPr>
  </w:style>
  <w:style w:type="paragraph" w:styleId="ListNumber">
    <w:name w:val="List Number"/>
    <w:basedOn w:val="Normal"/>
    <w:uiPriority w:val="99"/>
    <w:semiHidden/>
    <w:unhideWhenUsed/>
    <w:rsid w:val="00001C62"/>
    <w:pPr>
      <w:numPr>
        <w:numId w:val="1"/>
      </w:numPr>
      <w:contextualSpacing/>
    </w:pPr>
  </w:style>
  <w:style w:type="paragraph" w:styleId="ListContinue">
    <w:name w:val="List Continue"/>
    <w:basedOn w:val="Normal"/>
    <w:uiPriority w:val="99"/>
    <w:semiHidden/>
    <w:unhideWhenUsed/>
    <w:rsid w:val="00001C62"/>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62"/>
    <w:pPr>
      <w:spacing w:after="0" w:line="240" w:lineRule="auto"/>
    </w:pPr>
    <w:rPr>
      <w:rFonts w:ascii="CG Times" w:eastAsia="Times New Roman" w:hAnsi="CG Times" w:cs="Times New Roman"/>
      <w:sz w:val="20"/>
      <w:szCs w:val="20"/>
    </w:rPr>
  </w:style>
  <w:style w:type="paragraph" w:styleId="Heading1">
    <w:name w:val="heading 1"/>
    <w:basedOn w:val="List"/>
    <w:next w:val="List"/>
    <w:link w:val="Heading1Char"/>
    <w:autoRedefine/>
    <w:uiPriority w:val="99"/>
    <w:qFormat/>
    <w:rsid w:val="00001C62"/>
    <w:pPr>
      <w:keepNext/>
      <w:spacing w:line="360" w:lineRule="auto"/>
      <w:jc w:val="center"/>
      <w:outlineLvl w:val="0"/>
    </w:pPr>
    <w:rPr>
      <w:rFonts w:ascii="Arial" w:hAnsi="Arial" w:cs="Arial"/>
      <w:b/>
      <w:sz w:val="24"/>
      <w:szCs w:val="24"/>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qFormat/>
    <w:rsid w:val="00001C62"/>
    <w:pPr>
      <w:keepNext/>
      <w:numPr>
        <w:ilvl w:val="1"/>
        <w:numId w:val="2"/>
      </w:numP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001C62"/>
    <w:pPr>
      <w:keepNext/>
      <w:numPr>
        <w:ilvl w:val="2"/>
        <w:numId w:val="2"/>
      </w:numPr>
      <w:jc w:val="both"/>
      <w:outlineLvl w:val="2"/>
    </w:pPr>
    <w:rPr>
      <w:rFonts w:ascii="Arial" w:hAnsi="Arial"/>
      <w:u w:val="single"/>
    </w:rPr>
  </w:style>
  <w:style w:type="paragraph" w:styleId="Heading4">
    <w:name w:val="heading 4"/>
    <w:basedOn w:val="Normal"/>
    <w:next w:val="Normal"/>
    <w:link w:val="Heading4Char"/>
    <w:qFormat/>
    <w:rsid w:val="00001C62"/>
    <w:pPr>
      <w:numPr>
        <w:ilvl w:val="3"/>
        <w:numId w:val="2"/>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01C62"/>
    <w:pPr>
      <w:numPr>
        <w:ilvl w:val="4"/>
        <w:numId w:val="2"/>
      </w:numPr>
      <w:outlineLvl w:val="4"/>
    </w:pPr>
    <w:rPr>
      <w:b/>
    </w:rPr>
  </w:style>
  <w:style w:type="paragraph" w:styleId="Heading6">
    <w:name w:val="heading 6"/>
    <w:basedOn w:val="Normal"/>
    <w:next w:val="Normal"/>
    <w:link w:val="Heading6Char"/>
    <w:qFormat/>
    <w:rsid w:val="00001C62"/>
    <w:pPr>
      <w:numPr>
        <w:ilvl w:val="5"/>
        <w:numId w:val="2"/>
      </w:numPr>
      <w:outlineLvl w:val="5"/>
    </w:pPr>
    <w:rPr>
      <w:u w:val="single"/>
    </w:rPr>
  </w:style>
  <w:style w:type="paragraph" w:styleId="Heading7">
    <w:name w:val="heading 7"/>
    <w:basedOn w:val="Normal"/>
    <w:next w:val="Normal"/>
    <w:link w:val="Heading7Char"/>
    <w:qFormat/>
    <w:rsid w:val="00001C62"/>
    <w:pPr>
      <w:numPr>
        <w:ilvl w:val="6"/>
        <w:numId w:val="2"/>
      </w:numPr>
      <w:outlineLvl w:val="6"/>
    </w:pPr>
    <w:rPr>
      <w:i/>
    </w:rPr>
  </w:style>
  <w:style w:type="paragraph" w:styleId="Heading8">
    <w:name w:val="heading 8"/>
    <w:basedOn w:val="Normal"/>
    <w:next w:val="Normal"/>
    <w:link w:val="Heading8Char"/>
    <w:qFormat/>
    <w:rsid w:val="00001C62"/>
    <w:pPr>
      <w:numPr>
        <w:ilvl w:val="7"/>
        <w:numId w:val="2"/>
      </w:numPr>
      <w:outlineLvl w:val="7"/>
    </w:pPr>
    <w:rPr>
      <w:i/>
    </w:rPr>
  </w:style>
  <w:style w:type="paragraph" w:styleId="Heading9">
    <w:name w:val="heading 9"/>
    <w:basedOn w:val="Normal"/>
    <w:next w:val="Normal"/>
    <w:link w:val="Heading9Char"/>
    <w:qFormat/>
    <w:rsid w:val="00001C62"/>
    <w:pPr>
      <w:numPr>
        <w:ilvl w:val="8"/>
        <w:numId w:val="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1C62"/>
    <w:rPr>
      <w:rFonts w:ascii="Arial" w:eastAsia="Times New Roman" w:hAnsi="Arial" w:cs="Arial"/>
      <w:b/>
      <w:sz w:val="24"/>
      <w:szCs w:val="24"/>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001C62"/>
    <w:rPr>
      <w:rFonts w:ascii="Arial" w:eastAsia="Times New Roman" w:hAnsi="Arial" w:cs="Times New Roman"/>
      <w:b/>
      <w:sz w:val="24"/>
      <w:szCs w:val="20"/>
    </w:rPr>
  </w:style>
  <w:style w:type="character" w:customStyle="1" w:styleId="Heading3Char">
    <w:name w:val="Heading 3 Char"/>
    <w:basedOn w:val="DefaultParagraphFont"/>
    <w:link w:val="Heading3"/>
    <w:rsid w:val="00001C62"/>
    <w:rPr>
      <w:rFonts w:ascii="Arial" w:eastAsia="Times New Roman" w:hAnsi="Arial" w:cs="Times New Roman"/>
      <w:sz w:val="20"/>
      <w:szCs w:val="20"/>
      <w:u w:val="single"/>
    </w:rPr>
  </w:style>
  <w:style w:type="character" w:customStyle="1" w:styleId="Heading4Char">
    <w:name w:val="Heading 4 Char"/>
    <w:basedOn w:val="DefaultParagraphFont"/>
    <w:link w:val="Heading4"/>
    <w:rsid w:val="00001C62"/>
    <w:rPr>
      <w:rFonts w:ascii="CG Times" w:eastAsia="Times New Roman" w:hAnsi="CG Times" w:cs="Times New Roman"/>
      <w:sz w:val="24"/>
      <w:szCs w:val="20"/>
      <w:u w:val="single"/>
    </w:rPr>
  </w:style>
  <w:style w:type="character" w:customStyle="1" w:styleId="Heading5Char">
    <w:name w:val="Heading 5 Char"/>
    <w:basedOn w:val="DefaultParagraphFont"/>
    <w:link w:val="Heading5"/>
    <w:rsid w:val="00001C62"/>
    <w:rPr>
      <w:rFonts w:ascii="CG Times" w:eastAsia="Times New Roman" w:hAnsi="CG Times" w:cs="Times New Roman"/>
      <w:b/>
      <w:sz w:val="20"/>
      <w:szCs w:val="20"/>
    </w:rPr>
  </w:style>
  <w:style w:type="character" w:customStyle="1" w:styleId="Heading6Char">
    <w:name w:val="Heading 6 Char"/>
    <w:basedOn w:val="DefaultParagraphFont"/>
    <w:link w:val="Heading6"/>
    <w:rsid w:val="00001C62"/>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001C62"/>
    <w:rPr>
      <w:rFonts w:ascii="CG Times" w:eastAsia="Times New Roman" w:hAnsi="CG Times" w:cs="Times New Roman"/>
      <w:i/>
      <w:sz w:val="20"/>
      <w:szCs w:val="20"/>
    </w:rPr>
  </w:style>
  <w:style w:type="character" w:customStyle="1" w:styleId="Heading8Char">
    <w:name w:val="Heading 8 Char"/>
    <w:basedOn w:val="DefaultParagraphFont"/>
    <w:link w:val="Heading8"/>
    <w:rsid w:val="00001C62"/>
    <w:rPr>
      <w:rFonts w:ascii="CG Times" w:eastAsia="Times New Roman" w:hAnsi="CG Times" w:cs="Times New Roman"/>
      <w:i/>
      <w:sz w:val="20"/>
      <w:szCs w:val="20"/>
    </w:rPr>
  </w:style>
  <w:style w:type="character" w:customStyle="1" w:styleId="Heading9Char">
    <w:name w:val="Heading 9 Char"/>
    <w:basedOn w:val="DefaultParagraphFont"/>
    <w:link w:val="Heading9"/>
    <w:rsid w:val="00001C62"/>
    <w:rPr>
      <w:rFonts w:ascii="CG Times" w:eastAsia="Times New Roman" w:hAnsi="CG Times" w:cs="Times New Roman"/>
      <w:i/>
      <w:sz w:val="20"/>
      <w:szCs w:val="20"/>
    </w:rPr>
  </w:style>
  <w:style w:type="paragraph" w:styleId="ListParagraph">
    <w:name w:val="List Paragraph"/>
    <w:basedOn w:val="Normal"/>
    <w:uiPriority w:val="34"/>
    <w:qFormat/>
    <w:rsid w:val="00001C62"/>
    <w:pPr>
      <w:ind w:left="720"/>
    </w:pPr>
  </w:style>
  <w:style w:type="paragraph" w:styleId="List">
    <w:name w:val="List"/>
    <w:basedOn w:val="Normal"/>
    <w:uiPriority w:val="99"/>
    <w:semiHidden/>
    <w:unhideWhenUsed/>
    <w:rsid w:val="00001C62"/>
    <w:pPr>
      <w:ind w:left="283" w:hanging="283"/>
      <w:contextualSpacing/>
    </w:pPr>
  </w:style>
  <w:style w:type="paragraph" w:styleId="ListNumber">
    <w:name w:val="List Number"/>
    <w:basedOn w:val="Normal"/>
    <w:uiPriority w:val="99"/>
    <w:semiHidden/>
    <w:unhideWhenUsed/>
    <w:rsid w:val="00001C62"/>
    <w:pPr>
      <w:numPr>
        <w:numId w:val="1"/>
      </w:numPr>
      <w:contextualSpacing/>
    </w:pPr>
  </w:style>
  <w:style w:type="paragraph" w:styleId="ListContinue">
    <w:name w:val="List Continue"/>
    <w:basedOn w:val="Normal"/>
    <w:uiPriority w:val="99"/>
    <w:semiHidden/>
    <w:unhideWhenUsed/>
    <w:rsid w:val="00001C62"/>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DCC User</dc:creator>
  <cp:lastModifiedBy>Any DCC User</cp:lastModifiedBy>
  <cp:revision>3</cp:revision>
  <dcterms:created xsi:type="dcterms:W3CDTF">2017-12-19T09:29:00Z</dcterms:created>
  <dcterms:modified xsi:type="dcterms:W3CDTF">2017-12-19T09:39:00Z</dcterms:modified>
</cp:coreProperties>
</file>