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3A" w:rsidRDefault="0038073A">
      <w:pPr>
        <w:rPr>
          <w:b/>
        </w:rPr>
      </w:pPr>
      <w:r w:rsidRPr="0038073A">
        <w:rPr>
          <w:b/>
        </w:rPr>
        <w:t xml:space="preserve">RSSB2646 - T1117 - Developing Guidance on accessibility for GB rail </w:t>
      </w:r>
    </w:p>
    <w:p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F137F3" w:rsidRDefault="00946481" w:rsidP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:rsidR="0017132A" w:rsidRPr="00F137F3" w:rsidRDefault="0017132A">
            <w:pPr>
              <w:rPr>
                <w:color w:val="000000" w:themeColor="text1"/>
                <w:sz w:val="24"/>
                <w:szCs w:val="24"/>
              </w:rPr>
            </w:pPr>
          </w:p>
          <w:p w:rsidR="0038073A" w:rsidRDefault="0038073A" w:rsidP="0038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writing in connection to the above tender. We are currently </w:t>
            </w:r>
            <w:proofErr w:type="gramStart"/>
            <w:r>
              <w:rPr>
                <w:rFonts w:ascii="Arial" w:hAnsi="Arial" w:cs="Arial"/>
              </w:rPr>
              <w:t>looking into</w:t>
            </w:r>
            <w:proofErr w:type="gramEnd"/>
            <w:r>
              <w:rPr>
                <w:rFonts w:ascii="Arial" w:hAnsi="Arial" w:cs="Arial"/>
              </w:rPr>
              <w:t xml:space="preserve"> our submission for the above and would appreciate further information or web link directing us to the previously researched documents on accessibility for GB rail?</w:t>
            </w:r>
          </w:p>
          <w:p w:rsidR="0038073A" w:rsidRDefault="0038073A" w:rsidP="0038073A">
            <w:pPr>
              <w:rPr>
                <w:rFonts w:ascii="Arial" w:hAnsi="Arial" w:cs="Arial"/>
              </w:rPr>
            </w:pPr>
          </w:p>
          <w:p w:rsidR="0038073A" w:rsidRDefault="0038073A" w:rsidP="0038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It’ll be also useful your thoughts on idea of partnering with the other transport authority such as</w:t>
            </w:r>
            <w:r>
              <w:rPr>
                <w:rFonts w:ascii="Arial" w:hAnsi="Arial" w:cs="Arial"/>
              </w:rPr>
              <w:t xml:space="preserve"> OMITTED</w:t>
            </w:r>
            <w:r>
              <w:rPr>
                <w:rFonts w:ascii="Arial" w:hAnsi="Arial" w:cs="Arial"/>
              </w:rPr>
              <w:t xml:space="preserve"> as an enhancement to our submission.</w:t>
            </w:r>
          </w:p>
          <w:p w:rsidR="0038073A" w:rsidRDefault="0038073A" w:rsidP="0038073A">
            <w:pPr>
              <w:rPr>
                <w:rFonts w:ascii="Arial" w:hAnsi="Arial" w:cs="Arial"/>
              </w:rPr>
            </w:pPr>
          </w:p>
          <w:p w:rsidR="0038073A" w:rsidRDefault="0038073A" w:rsidP="0038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Many thanks for your help.</w:t>
            </w:r>
          </w:p>
          <w:p w:rsidR="00946481" w:rsidRPr="00F137F3" w:rsidRDefault="00946481" w:rsidP="00A2599A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F137F3" w:rsidRDefault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RSSB Answer 1</w:t>
            </w:r>
          </w:p>
          <w:p w:rsidR="0038073A" w:rsidRDefault="0038073A" w:rsidP="00B73850">
            <w:pPr>
              <w:rPr>
                <w:color w:val="000000" w:themeColor="text1"/>
                <w:sz w:val="24"/>
                <w:szCs w:val="24"/>
              </w:rPr>
            </w:pPr>
          </w:p>
          <w:p w:rsidR="0038073A" w:rsidRDefault="0038073A" w:rsidP="00B738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Tenderers are expected to have the necessary expertise to conduct their own literature viewing in respect of the referenced research documents.</w:t>
            </w:r>
          </w:p>
          <w:p w:rsidR="0038073A" w:rsidRDefault="0038073A" w:rsidP="00B73850">
            <w:pPr>
              <w:rPr>
                <w:color w:val="000000" w:themeColor="text1"/>
                <w:sz w:val="24"/>
                <w:szCs w:val="24"/>
              </w:rPr>
            </w:pPr>
          </w:p>
          <w:p w:rsidR="0038073A" w:rsidRDefault="0038073A" w:rsidP="00B738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RSSB is unable to offer an opinion on any tenderer forming a sub-contracting relationship with another legal entity other than the I.T.T does provide instructions regarding if a tenderer does indeed to choose that model.</w:t>
            </w:r>
          </w:p>
          <w:p w:rsidR="0038073A" w:rsidRDefault="0038073A" w:rsidP="00B73850">
            <w:pPr>
              <w:rPr>
                <w:color w:val="000000" w:themeColor="text1"/>
                <w:sz w:val="24"/>
                <w:szCs w:val="24"/>
              </w:rPr>
            </w:pPr>
          </w:p>
          <w:p w:rsidR="00946481" w:rsidRPr="00F137F3" w:rsidRDefault="0038073A" w:rsidP="00B7385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Tenderers are to be advised that RSSB will only go into a contract with a single legal entity forming a two-party contract. It is the tenderers responsibility 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>with regards to their own legal sub-contracting arrangements.</w:t>
            </w:r>
            <w:r w:rsidR="00A2599A" w:rsidRPr="00F137F3">
              <w:rPr>
                <w:color w:val="000000" w:themeColor="text1"/>
                <w:sz w:val="24"/>
                <w:szCs w:val="24"/>
              </w:rPr>
              <w:br/>
            </w:r>
          </w:p>
        </w:tc>
      </w:tr>
    </w:tbl>
    <w:p w:rsidR="00A2599A" w:rsidRDefault="00946481">
      <w:r>
        <w:t xml:space="preserve"> </w:t>
      </w:r>
    </w:p>
    <w:p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4099B"/>
    <w:multiLevelType w:val="hybridMultilevel"/>
    <w:tmpl w:val="639C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0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"/>
  </w:num>
  <w:num w:numId="11">
    <w:abstractNumId w:val="14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19"/>
  </w:num>
  <w:num w:numId="17">
    <w:abstractNumId w:val="20"/>
  </w:num>
  <w:num w:numId="18">
    <w:abstractNumId w:val="16"/>
  </w:num>
  <w:num w:numId="19">
    <w:abstractNumId w:val="0"/>
  </w:num>
  <w:num w:numId="20">
    <w:abstractNumId w:val="2"/>
  </w:num>
  <w:num w:numId="21">
    <w:abstractNumId w:val="12"/>
  </w:num>
  <w:num w:numId="22">
    <w:abstractNumId w:val="8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17132A"/>
    <w:rsid w:val="003602CA"/>
    <w:rsid w:val="0038073A"/>
    <w:rsid w:val="0039370C"/>
    <w:rsid w:val="00561C5C"/>
    <w:rsid w:val="007F70D9"/>
    <w:rsid w:val="00946481"/>
    <w:rsid w:val="00A2599A"/>
    <w:rsid w:val="00A26BA4"/>
    <w:rsid w:val="00A60C78"/>
    <w:rsid w:val="00A65249"/>
    <w:rsid w:val="00A83354"/>
    <w:rsid w:val="00B73850"/>
    <w:rsid w:val="00C93221"/>
    <w:rsid w:val="00C94CB5"/>
    <w:rsid w:val="00EA08D0"/>
    <w:rsid w:val="00F137F3"/>
    <w:rsid w:val="00F344DD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CC33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819D-1632-4D1F-86DC-42347308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2017-09-26T12:15:00Z</dcterms:created>
  <dcterms:modified xsi:type="dcterms:W3CDTF">2017-09-26T12:15:00Z</dcterms:modified>
</cp:coreProperties>
</file>