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DD" w:rsidRPr="002F5BF8" w:rsidRDefault="00F22CDD" w:rsidP="00F22CDD">
      <w:pPr>
        <w:rPr>
          <w:rFonts w:ascii="Arial" w:hAnsi="Arial" w:cs="Arial"/>
          <w:sz w:val="32"/>
          <w:szCs w:val="32"/>
        </w:rPr>
      </w:pPr>
      <w:r w:rsidRPr="002F5BF8">
        <w:rPr>
          <w:rFonts w:ascii="Arial" w:hAnsi="Arial" w:cs="Arial"/>
          <w:sz w:val="32"/>
          <w:szCs w:val="32"/>
        </w:rPr>
        <w:t>CSS/012</w:t>
      </w:r>
      <w:r>
        <w:rPr>
          <w:rFonts w:ascii="Arial" w:hAnsi="Arial" w:cs="Arial"/>
          <w:sz w:val="32"/>
          <w:szCs w:val="32"/>
        </w:rPr>
        <w:t>6</w:t>
      </w:r>
    </w:p>
    <w:tbl>
      <w:tblPr>
        <w:tblW w:w="90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395"/>
      </w:tblGrid>
      <w:tr w:rsidR="00F22CDD" w:rsidRPr="002F5BF8" w:rsidTr="00A51482">
        <w:trPr>
          <w:trHeight w:val="264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2F5BF8">
              <w:rPr>
                <w:rFonts w:ascii="Arial" w:hAnsi="Arial" w:cs="Arial"/>
                <w:b/>
                <w:bCs/>
                <w:sz w:val="36"/>
                <w:szCs w:val="36"/>
              </w:rPr>
              <w:t>Actual Procurement Timescales</w:t>
            </w:r>
          </w:p>
        </w:tc>
      </w:tr>
      <w:tr w:rsidR="00F22CDD" w:rsidRPr="002F5BF8" w:rsidTr="00A51482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Department / organisation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>Defence Equipment &amp; Support</w:t>
            </w:r>
            <w:r w:rsidR="00CE6B12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Pr="002F5BF8">
              <w:rPr>
                <w:rFonts w:ascii="Arial" w:hAnsi="Arial" w:cs="Arial"/>
                <w:sz w:val="18"/>
                <w:szCs w:val="18"/>
              </w:rPr>
              <w:t xml:space="preserve"> Commercially Supported Shipping</w:t>
            </w:r>
          </w:p>
        </w:tc>
      </w:tr>
      <w:tr w:rsidR="00F22CDD" w:rsidRPr="002F5BF8" w:rsidTr="00A51482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Title of procurement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provision of Classification, Survey and Design Appraisal Services to Support the Future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Service Support requirement for Royal Fleet Auxiliary Vessels, Royal Navy Ocean Survey Vessel and Survey Vessels Hydrographic and Oceanographic.</w:t>
            </w:r>
          </w:p>
        </w:tc>
      </w:tr>
      <w:tr w:rsidR="00F22CDD" w:rsidRPr="002F5BF8" w:rsidTr="00A51482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Start date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July</w:t>
            </w:r>
            <w:r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22CDD" w:rsidRPr="002F5BF8" w:rsidTr="00A51482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Planned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Pr="002F5BF8">
              <w:rPr>
                <w:rFonts w:ascii="Arial" w:hAnsi="Arial" w:cs="Arial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z w:val="18"/>
                <w:szCs w:val="18"/>
              </w:rPr>
              <w:t>anuary</w:t>
            </w:r>
            <w:r w:rsidRPr="002F5BF8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F22CDD" w:rsidRPr="002F5BF8" w:rsidTr="00A51482">
        <w:trPr>
          <w:trHeight w:val="6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F5BF8">
              <w:rPr>
                <w:rFonts w:ascii="Arial" w:hAnsi="Arial" w:cs="Arial"/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DD" w:rsidRPr="002F5BF8" w:rsidRDefault="00F22CDD" w:rsidP="00A51482">
            <w:pPr>
              <w:pStyle w:val="Default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2F5BF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March</w:t>
            </w:r>
            <w:r w:rsidRPr="002F5BF8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F22CDD" w:rsidRDefault="00F22CDD" w:rsidP="00F22CDD"/>
    <w:p w:rsidR="00EC44C6" w:rsidRDefault="00CE6B12">
      <w:bookmarkStart w:id="0" w:name="_GoBack"/>
      <w:bookmarkEnd w:id="0"/>
    </w:p>
    <w:sectPr w:rsidR="00EC4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DD"/>
    <w:rsid w:val="003658DC"/>
    <w:rsid w:val="004E2424"/>
    <w:rsid w:val="005B25DD"/>
    <w:rsid w:val="00CE6B12"/>
    <w:rsid w:val="00F22CDD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E0B4"/>
  <w15:chartTrackingRefBased/>
  <w15:docId w15:val="{FE1F1B99-E62E-4283-88E9-1BA61489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2C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Mark D (DES Ships Comrcl-CSS1a2)</dc:creator>
  <cp:keywords/>
  <dc:description/>
  <cp:lastModifiedBy>Raven, Mark D (DES Ships Comrcl-CSS1a2)</cp:lastModifiedBy>
  <cp:revision>2</cp:revision>
  <dcterms:created xsi:type="dcterms:W3CDTF">2019-03-25T14:35:00Z</dcterms:created>
  <dcterms:modified xsi:type="dcterms:W3CDTF">2019-03-25T14:40:00Z</dcterms:modified>
</cp:coreProperties>
</file>