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D5DDC" w14:textId="77777777" w:rsidR="00640AA1" w:rsidRDefault="0087499A">
      <w:pPr>
        <w:pBdr>
          <w:top w:val="nil"/>
          <w:left w:val="nil"/>
          <w:bottom w:val="nil"/>
          <w:right w:val="nil"/>
          <w:between w:val="nil"/>
        </w:pBdr>
        <w:tabs>
          <w:tab w:val="center" w:pos="4513"/>
          <w:tab w:val="right" w:pos="9026"/>
        </w:tabs>
        <w:spacing w:after="0"/>
        <w:rPr>
          <w:rFonts w:ascii="Arial" w:eastAsia="Arial" w:hAnsi="Arial"/>
          <w:b/>
          <w:color w:val="000000"/>
          <w:sz w:val="36"/>
          <w:szCs w:val="36"/>
        </w:rPr>
      </w:pPr>
      <w:r>
        <w:rPr>
          <w:rFonts w:ascii="Arial" w:eastAsia="Arial" w:hAnsi="Arial"/>
          <w:b/>
          <w:color w:val="000000"/>
          <w:sz w:val="36"/>
          <w:szCs w:val="36"/>
        </w:rPr>
        <w:t>Schedule 22 (Insurance Requirements)</w:t>
      </w:r>
    </w:p>
    <w:p w14:paraId="40E68C26" w14:textId="666DED10" w:rsidR="00640AA1" w:rsidRDefault="0087499A">
      <w:pPr>
        <w:pBdr>
          <w:top w:val="nil"/>
          <w:left w:val="nil"/>
          <w:bottom w:val="nil"/>
          <w:right w:val="nil"/>
          <w:between w:val="nil"/>
        </w:pBdr>
        <w:tabs>
          <w:tab w:val="left" w:pos="1134"/>
        </w:tabs>
        <w:spacing w:before="120" w:after="120"/>
        <w:jc w:val="left"/>
        <w:rPr>
          <w:rFonts w:ascii="Arial" w:eastAsia="Arial" w:hAnsi="Arial"/>
          <w:b/>
          <w:i/>
          <w:color w:val="000000"/>
          <w:sz w:val="24"/>
          <w:szCs w:val="24"/>
        </w:rPr>
      </w:pPr>
      <w:r>
        <w:rPr>
          <w:rFonts w:ascii="Arial" w:eastAsia="Arial" w:hAnsi="Arial"/>
          <w:b/>
          <w:i/>
          <w:color w:val="000000"/>
          <w:sz w:val="24"/>
          <w:szCs w:val="24"/>
          <w:highlight w:val="yellow"/>
        </w:rPr>
        <w:t xml:space="preserve">[Guidance: For guidance on risk, liability and insurance generally, see paragraph 1.5 and Annex 1 of the </w:t>
      </w:r>
      <w:hyperlink r:id="rId11">
        <w:r>
          <w:rPr>
            <w:rFonts w:ascii="Arial" w:eastAsia="Arial" w:hAnsi="Arial"/>
            <w:b/>
            <w:i/>
            <w:color w:val="0000FF"/>
            <w:sz w:val="24"/>
            <w:szCs w:val="24"/>
            <w:highlight w:val="yellow"/>
            <w:u w:val="single"/>
          </w:rPr>
          <w:t>Model Services Contract Guidance on Gov.uk</w:t>
        </w:r>
      </w:hyperlink>
      <w:r>
        <w:rPr>
          <w:rFonts w:ascii="Arial" w:eastAsia="Arial" w:hAnsi="Arial"/>
          <w:b/>
          <w:i/>
          <w:color w:val="000000"/>
          <w:sz w:val="24"/>
          <w:szCs w:val="24"/>
          <w:highlight w:val="yellow"/>
        </w:rPr>
        <w:t>]</w:t>
      </w:r>
    </w:p>
    <w:p w14:paraId="679B75BA" w14:textId="77777777" w:rsidR="00640AA1" w:rsidRDefault="0087499A" w:rsidP="00EF2ECD">
      <w:pPr>
        <w:keepNext/>
        <w:numPr>
          <w:ilvl w:val="0"/>
          <w:numId w:val="4"/>
        </w:numPr>
        <w:pBdr>
          <w:top w:val="nil"/>
          <w:left w:val="nil"/>
          <w:bottom w:val="nil"/>
          <w:right w:val="nil"/>
          <w:between w:val="nil"/>
        </w:pBdr>
        <w:spacing w:before="120"/>
        <w:ind w:left="360"/>
        <w:jc w:val="left"/>
        <w:rPr>
          <w:rFonts w:ascii="Arial" w:eastAsia="Arial" w:hAnsi="Arial"/>
          <w:b/>
          <w:smallCaps/>
          <w:color w:val="000000"/>
          <w:sz w:val="24"/>
          <w:szCs w:val="24"/>
        </w:rPr>
      </w:pPr>
      <w:r>
        <w:rPr>
          <w:rFonts w:ascii="Arial Bold" w:eastAsia="Arial Bold" w:hAnsi="Arial Bold" w:cs="Arial Bold"/>
          <w:b/>
          <w:color w:val="000000"/>
          <w:sz w:val="24"/>
          <w:szCs w:val="24"/>
        </w:rPr>
        <w:t xml:space="preserve">The insurance you need to </w:t>
      </w:r>
      <w:proofErr w:type="gramStart"/>
      <w:r>
        <w:rPr>
          <w:rFonts w:ascii="Arial Bold" w:eastAsia="Arial Bold" w:hAnsi="Arial Bold" w:cs="Arial Bold"/>
          <w:b/>
          <w:color w:val="000000"/>
          <w:sz w:val="24"/>
          <w:szCs w:val="24"/>
        </w:rPr>
        <w:t>have</w:t>
      </w:r>
      <w:proofErr w:type="gramEnd"/>
    </w:p>
    <w:p w14:paraId="52005E4D" w14:textId="65E8EDBB"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The Supplier shall take out and maintain or procure the taking out and maintenance of the insurances as set out in the Annex to this Schedule and any other insurances as may be required by applicable Law (together the “</w:t>
      </w:r>
      <w:r>
        <w:rPr>
          <w:rFonts w:ascii="Arial" w:eastAsia="Arial" w:hAnsi="Arial"/>
          <w:b/>
          <w:color w:val="000000"/>
          <w:sz w:val="24"/>
          <w:szCs w:val="24"/>
        </w:rPr>
        <w:t>Insurances</w:t>
      </w:r>
      <w:r>
        <w:rPr>
          <w:rFonts w:ascii="Arial" w:eastAsia="Arial" w:hAnsi="Arial"/>
          <w:color w:val="000000"/>
          <w:sz w:val="24"/>
          <w:szCs w:val="24"/>
        </w:rPr>
        <w:t xml:space="preserve">”). The Supplier shall ensure that each of the Insurances is effective no later than the Effective Date in respect of those Insurances set out in the Annex to this Schedule and those required by applicable Law; and </w:t>
      </w:r>
    </w:p>
    <w:p w14:paraId="732E81DE"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Insurances shall be: </w:t>
      </w:r>
    </w:p>
    <w:p w14:paraId="5A390FF1" w14:textId="77777777" w:rsidR="00640AA1" w:rsidRDefault="0087499A" w:rsidP="00EF2ECD">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 xml:space="preserve">maintained in accordance with Good Industry </w:t>
      </w:r>
      <w:proofErr w:type="gramStart"/>
      <w:r>
        <w:rPr>
          <w:rFonts w:ascii="Arial" w:eastAsia="Arial" w:hAnsi="Arial"/>
          <w:color w:val="000000"/>
          <w:sz w:val="24"/>
          <w:szCs w:val="24"/>
        </w:rPr>
        <w:t>Practice;</w:t>
      </w:r>
      <w:proofErr w:type="gramEnd"/>
      <w:r>
        <w:rPr>
          <w:rFonts w:ascii="Arial" w:eastAsia="Arial" w:hAnsi="Arial"/>
          <w:color w:val="000000"/>
          <w:sz w:val="24"/>
          <w:szCs w:val="24"/>
        </w:rPr>
        <w:t xml:space="preserve"> </w:t>
      </w:r>
    </w:p>
    <w:p w14:paraId="5A2578C6"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 xml:space="preserve">(so far as is reasonably practicable) on terms no less favourable than those generally available to a prudent contractor in respect of risks insured in the international insurance market from time to </w:t>
      </w:r>
      <w:proofErr w:type="gramStart"/>
      <w:r>
        <w:rPr>
          <w:rFonts w:ascii="Arial" w:eastAsia="Arial" w:hAnsi="Arial"/>
          <w:color w:val="000000"/>
          <w:sz w:val="24"/>
          <w:szCs w:val="24"/>
        </w:rPr>
        <w:t>time;</w:t>
      </w:r>
      <w:proofErr w:type="gramEnd"/>
    </w:p>
    <w:p w14:paraId="6A97372B"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taken out and maintained with insurers of good financial standing and good repute in the international insurance market; and</w:t>
      </w:r>
    </w:p>
    <w:p w14:paraId="462C5466"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maintained until the End Date except in relation to Professional Indemnity where required under the Annex Part C which shall be maintained for at least six (6) years after the End Date.</w:t>
      </w:r>
    </w:p>
    <w:p w14:paraId="2DAE967C"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Supplier shall ensure that the public and products liability policy contain an indemnity to </w:t>
      </w:r>
      <w:proofErr w:type="gramStart"/>
      <w:r>
        <w:rPr>
          <w:rFonts w:ascii="Arial" w:eastAsia="Arial" w:hAnsi="Arial"/>
          <w:color w:val="000000"/>
          <w:sz w:val="24"/>
          <w:szCs w:val="24"/>
        </w:rPr>
        <w:t>principals</w:t>
      </w:r>
      <w:proofErr w:type="gramEnd"/>
      <w:r>
        <w:rPr>
          <w:rFonts w:ascii="Arial" w:eastAsia="Arial" w:hAnsi="Arial"/>
          <w:color w:val="000000"/>
          <w:sz w:val="24"/>
          <w:szCs w:val="24"/>
        </w:rPr>
        <w:t xml:space="preserve"> clause under which the Buyer shall be indemnified in respect of claims made against the Buyer in respect of death or bodily injury or third party property damage arising out of or in connection with the Deliverables and for which the Supplier is legally liable.</w:t>
      </w:r>
    </w:p>
    <w:p w14:paraId="1DCFED30"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How to manage the insurance</w:t>
      </w:r>
    </w:p>
    <w:p w14:paraId="4CCB119E"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Without limiting the other provisions of this Contract, the Supplier shall:</w:t>
      </w:r>
    </w:p>
    <w:p w14:paraId="256FC9AB"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Pr>
          <w:rFonts w:ascii="Arial" w:eastAsia="Arial" w:hAnsi="Arial"/>
          <w:color w:val="000000"/>
          <w:sz w:val="24"/>
          <w:szCs w:val="24"/>
        </w:rPr>
        <w:t>insurers;</w:t>
      </w:r>
      <w:proofErr w:type="gramEnd"/>
    </w:p>
    <w:p w14:paraId="4C9874D8"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promptly notify the insurers in writing of any relevant material fact under any Insurances of which the Supplier is or becomes aware; and</w:t>
      </w:r>
    </w:p>
    <w:p w14:paraId="0FC76680"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color w:val="000000"/>
          <w:sz w:val="24"/>
          <w:szCs w:val="24"/>
        </w:rPr>
      </w:pPr>
      <w:r>
        <w:rPr>
          <w:rFonts w:ascii="Arial" w:eastAsia="Arial" w:hAnsi="Arial"/>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14:paraId="6FB402C8"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What happens if you aren’t insured</w:t>
      </w:r>
    </w:p>
    <w:p w14:paraId="67DB9B07"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bookmarkStart w:id="0" w:name="_heading=h.gjdgxs" w:colFirst="0" w:colLast="0"/>
      <w:bookmarkEnd w:id="0"/>
      <w:r>
        <w:rPr>
          <w:rFonts w:ascii="Arial" w:eastAsia="Arial" w:hAnsi="Arial"/>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14:paraId="6ED75CCB"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Where the Supplier has failed to purchase or maintain any of the Insurances in full force and effect, the Buyer may elect (but shall not be obliged) following written notice to the Supplier to purchase the relevant Insurances and recover the reasonable premium and other reasonable costs incurred in connection therewith as a debt due from the Supplier.</w:t>
      </w:r>
    </w:p>
    <w:p w14:paraId="570FBE3F"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Evidence of insurance you must </w:t>
      </w:r>
      <w:proofErr w:type="gramStart"/>
      <w:r>
        <w:rPr>
          <w:rFonts w:ascii="Arial Bold" w:eastAsia="Arial Bold" w:hAnsi="Arial Bold" w:cs="Arial Bold"/>
          <w:b/>
          <w:color w:val="000000"/>
          <w:sz w:val="24"/>
          <w:szCs w:val="24"/>
        </w:rPr>
        <w:t>provide</w:t>
      </w:r>
      <w:proofErr w:type="gramEnd"/>
    </w:p>
    <w:p w14:paraId="12026350" w14:textId="0E82C309" w:rsidR="00640AA1" w:rsidRDefault="0087499A" w:rsidP="00DE27E5">
      <w:pPr>
        <w:keepNext/>
        <w:pBdr>
          <w:top w:val="nil"/>
          <w:left w:val="nil"/>
          <w:bottom w:val="nil"/>
          <w:right w:val="nil"/>
          <w:between w:val="nil"/>
        </w:pBdr>
        <w:tabs>
          <w:tab w:val="left" w:pos="1134"/>
        </w:tabs>
        <w:spacing w:before="120" w:after="120"/>
        <w:ind w:left="360"/>
        <w:jc w:val="left"/>
        <w:rPr>
          <w:rFonts w:ascii="Arial" w:eastAsia="Arial" w:hAnsi="Arial"/>
          <w:smallCaps/>
          <w:color w:val="000000"/>
          <w:sz w:val="24"/>
          <w:szCs w:val="24"/>
        </w:rPr>
      </w:pPr>
      <w:r>
        <w:rPr>
          <w:rFonts w:ascii="Arial" w:eastAsia="Arial" w:hAnsi="Arial"/>
          <w:color w:val="000000"/>
          <w:sz w:val="24"/>
          <w:szCs w:val="24"/>
        </w:rPr>
        <w:t>The Supplier shall upon the Effective</w:t>
      </w:r>
      <w:r w:rsidR="00DE27E5">
        <w:t xml:space="preserve"> </w:t>
      </w:r>
      <w:r>
        <w:rPr>
          <w:rFonts w:ascii="Arial" w:eastAsia="Arial" w:hAnsi="Arial"/>
          <w:color w:val="000000"/>
          <w:sz w:val="24"/>
          <w:szCs w:val="24"/>
        </w:rPr>
        <w:t>Date and within 15 Working Days after the renewal of each of the Insurances, provide evidence, in a form satisfactory to the Buyer, that the Insurances are in force and effect and meet in full the requirements of this Schedule.</w:t>
      </w:r>
    </w:p>
    <w:p w14:paraId="00A8A12C"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bookmarkStart w:id="1" w:name="_heading=h.3znysh7" w:colFirst="0" w:colLast="0"/>
      <w:bookmarkStart w:id="2" w:name="_Ref141085648"/>
      <w:bookmarkEnd w:id="1"/>
      <w:r>
        <w:rPr>
          <w:rFonts w:ascii="Arial Bold" w:eastAsia="Arial Bold" w:hAnsi="Arial Bold" w:cs="Arial Bold"/>
          <w:b/>
          <w:color w:val="000000"/>
          <w:sz w:val="24"/>
          <w:szCs w:val="24"/>
        </w:rPr>
        <w:t xml:space="preserve">Making sure you are insured to the required </w:t>
      </w:r>
      <w:proofErr w:type="gramStart"/>
      <w:r>
        <w:rPr>
          <w:rFonts w:ascii="Arial Bold" w:eastAsia="Arial Bold" w:hAnsi="Arial Bold" w:cs="Arial Bold"/>
          <w:b/>
          <w:color w:val="000000"/>
          <w:sz w:val="24"/>
          <w:szCs w:val="24"/>
        </w:rPr>
        <w:t>amount</w:t>
      </w:r>
      <w:bookmarkEnd w:id="2"/>
      <w:proofErr w:type="gramEnd"/>
    </w:p>
    <w:p w14:paraId="603BD5CC" w14:textId="55C23CB9"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Supplier shall ensure that any Insurances which are stated to have a minimum limit "in the aggregate" are maintained </w:t>
      </w:r>
      <w:bookmarkStart w:id="3" w:name="_heading=h.30j0zll" w:colFirst="0" w:colLast="0"/>
      <w:bookmarkEnd w:id="3"/>
      <w:r>
        <w:rPr>
          <w:rFonts w:ascii="Arial" w:eastAsia="Arial" w:hAnsi="Arial"/>
          <w:color w:val="000000"/>
          <w:sz w:val="24"/>
          <w:szCs w:val="24"/>
        </w:rPr>
        <w:t>for the minimum limit of indemnity for the periods specified in this Schedule.</w:t>
      </w:r>
    </w:p>
    <w:p w14:paraId="7285D184" w14:textId="1F74EE59"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Where the Supplier intends to claim under any of the Insurances </w:t>
      </w:r>
      <w:r w:rsidRPr="00EF2ECD">
        <w:rPr>
          <w:rFonts w:ascii="Arial" w:eastAsia="Arial" w:hAnsi="Arial"/>
          <w:sz w:val="24"/>
          <w:szCs w:val="24"/>
        </w:rPr>
        <w:t xml:space="preserve"> for any matters that are not related to the Deliverables and/or </w:t>
      </w:r>
      <w:r w:rsidR="00AE7224">
        <w:rPr>
          <w:rFonts w:ascii="Arial" w:eastAsia="Arial" w:hAnsi="Arial"/>
          <w:sz w:val="24"/>
          <w:szCs w:val="24"/>
        </w:rPr>
        <w:t>this Contract</w:t>
      </w:r>
      <w:r w:rsidRPr="00EF2ECD">
        <w:rPr>
          <w:rFonts w:ascii="Arial" w:eastAsia="Arial" w:hAnsi="Arial"/>
          <w:sz w:val="24"/>
          <w:szCs w:val="24"/>
        </w:rPr>
        <w:t>, the Supplier shall, where such claim is likely to result in the level of cover available under any of the Insurances being reduced below the minimum limit of indemnity specified in this Schedule, promptly notify the Buyer and provide details of its proposed solution for maintaining the minimum limit of indemnity specified in this Schedule.</w:t>
      </w:r>
    </w:p>
    <w:p w14:paraId="12C3BB87"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Cancelled Insurance</w:t>
      </w:r>
    </w:p>
    <w:p w14:paraId="79FDE635"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mallCaps/>
          <w:color w:val="000000"/>
          <w:sz w:val="24"/>
          <w:szCs w:val="24"/>
        </w:rPr>
      </w:pPr>
      <w:r>
        <w:rPr>
          <w:rFonts w:ascii="Arial" w:eastAsia="Arial" w:hAnsi="Arial"/>
          <w:color w:val="000000"/>
          <w:sz w:val="24"/>
          <w:szCs w:val="24"/>
        </w:rPr>
        <w:t xml:space="preserve">The Supplier shall notify the Buyer in writing at least five (5) Working Days prior to the cancellation, suspension, </w:t>
      </w:r>
      <w:proofErr w:type="gramStart"/>
      <w:r>
        <w:rPr>
          <w:rFonts w:ascii="Arial" w:eastAsia="Arial" w:hAnsi="Arial"/>
          <w:color w:val="000000"/>
          <w:sz w:val="24"/>
          <w:szCs w:val="24"/>
        </w:rPr>
        <w:t>termination</w:t>
      </w:r>
      <w:proofErr w:type="gramEnd"/>
      <w:r>
        <w:rPr>
          <w:rFonts w:ascii="Arial" w:eastAsia="Arial" w:hAnsi="Arial"/>
          <w:color w:val="000000"/>
          <w:sz w:val="24"/>
          <w:szCs w:val="24"/>
        </w:rPr>
        <w:t xml:space="preserve"> or non-renewal of any of the Insurances.</w:t>
      </w:r>
    </w:p>
    <w:p w14:paraId="1C7579FD"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mallCaps/>
          <w:color w:val="000000"/>
          <w:sz w:val="24"/>
          <w:szCs w:val="24"/>
        </w:rPr>
      </w:pPr>
      <w:r>
        <w:rPr>
          <w:rFonts w:ascii="Arial" w:eastAsia="Arial" w:hAnsi="Arial"/>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the Buyer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1D5A6C4" w14:textId="77777777" w:rsidR="00640AA1" w:rsidRDefault="0087499A" w:rsidP="00B322CD">
      <w:pPr>
        <w:keepNext/>
        <w:keepLines/>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Insurance claims</w:t>
      </w:r>
    </w:p>
    <w:p w14:paraId="5C6B8E75" w14:textId="6C087C83" w:rsidR="00640AA1" w:rsidRDefault="0087499A" w:rsidP="00B322CD">
      <w:pPr>
        <w:keepNext/>
        <w:keepLines/>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The Supplier shall promptly notify to insurers any matter arising from, or in relation to, the Deliverables, or </w:t>
      </w:r>
      <w:r w:rsidR="00AE7224">
        <w:rPr>
          <w:rFonts w:ascii="Arial" w:eastAsia="Arial" w:hAnsi="Arial"/>
          <w:color w:val="000000"/>
          <w:sz w:val="24"/>
          <w:szCs w:val="24"/>
        </w:rPr>
        <w:t>this Contract</w:t>
      </w:r>
      <w:r>
        <w:rPr>
          <w:rFonts w:ascii="Arial" w:eastAsia="Arial" w:hAnsi="Arial"/>
          <w:color w:val="000000"/>
          <w:sz w:val="24"/>
          <w:szCs w:val="24"/>
        </w:rPr>
        <w:t xml:space="preserve"> for which it may be entitled to claim under any of the Insurances.  </w:t>
      </w:r>
      <w:proofErr w:type="gramStart"/>
      <w:r>
        <w:rPr>
          <w:rFonts w:ascii="Arial" w:eastAsia="Arial" w:hAnsi="Arial"/>
          <w:color w:val="000000"/>
          <w:sz w:val="24"/>
          <w:szCs w:val="24"/>
        </w:rPr>
        <w:t>In the event that</w:t>
      </w:r>
      <w:proofErr w:type="gramEnd"/>
      <w:r>
        <w:rPr>
          <w:rFonts w:ascii="Arial" w:eastAsia="Arial" w:hAnsi="Arial"/>
          <w:color w:val="000000"/>
          <w:sz w:val="24"/>
          <w:szCs w:val="24"/>
        </w:rPr>
        <w:t xml:space="preserve"> the Buyer receives a claim relating to or arising out of </w:t>
      </w:r>
      <w:r w:rsidR="00AE7224">
        <w:rPr>
          <w:rFonts w:ascii="Arial" w:eastAsia="Arial" w:hAnsi="Arial"/>
          <w:color w:val="000000"/>
          <w:sz w:val="24"/>
          <w:szCs w:val="24"/>
        </w:rPr>
        <w:t>this Contract</w:t>
      </w:r>
      <w:r>
        <w:rPr>
          <w:rFonts w:ascii="Arial" w:eastAsia="Arial" w:hAnsi="Arial"/>
          <w:color w:val="000000"/>
          <w:sz w:val="24"/>
          <w:szCs w:val="24"/>
        </w:rPr>
        <w:t xml:space="preserve"> or the Deliverables, the Supplier shall co-operate with the Buyer and assist it in dealing with such claims including without limitation providing information and documentation in a timely manner.</w:t>
      </w:r>
    </w:p>
    <w:p w14:paraId="254515DE"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 xml:space="preserve">Except where the Buyer is the claimant party, the Supplier shall give the Buyer notice within twenty (20) Working Days after any insurance claim in excess of </w:t>
      </w:r>
      <w:r>
        <w:rPr>
          <w:rFonts w:ascii="Arial" w:eastAsia="Arial" w:hAnsi="Arial"/>
          <w:b/>
          <w:sz w:val="24"/>
          <w:szCs w:val="24"/>
          <w:highlight w:val="yellow"/>
        </w:rPr>
        <w:t>[£to be determined by the Buyer]</w:t>
      </w:r>
      <w:r>
        <w:rPr>
          <w:rFonts w:ascii="Arial" w:eastAsia="Arial" w:hAnsi="Arial"/>
          <w:sz w:val="24"/>
          <w:szCs w:val="24"/>
        </w:rPr>
        <w:t xml:space="preserve"> </w:t>
      </w:r>
      <w:r>
        <w:rPr>
          <w:rFonts w:ascii="Arial" w:eastAsia="Arial" w:hAnsi="Arial"/>
          <w:color w:val="000000"/>
          <w:sz w:val="24"/>
          <w:szCs w:val="24"/>
        </w:rPr>
        <w:t>relating to or arising out of the provision of the Deliverables or this Contract on any of the Insurances or which, but for the application of the applicable policy excess, would be made on any of the Insurances and (if required by the Buyer) full details of the incident giving rise to the claim.</w:t>
      </w:r>
    </w:p>
    <w:p w14:paraId="6664A6AF" w14:textId="77777777" w:rsidR="00640AA1" w:rsidRDefault="0087499A" w:rsidP="00DE27E5">
      <w:pPr>
        <w:keepNext/>
        <w:pBdr>
          <w:top w:val="nil"/>
          <w:left w:val="nil"/>
          <w:bottom w:val="nil"/>
          <w:right w:val="nil"/>
          <w:between w:val="nil"/>
        </w:pBdr>
        <w:tabs>
          <w:tab w:val="left" w:pos="1134"/>
        </w:tabs>
        <w:spacing w:before="120" w:after="120"/>
        <w:ind w:left="360"/>
        <w:jc w:val="left"/>
        <w:rPr>
          <w:rFonts w:ascii="Arial" w:eastAsia="Arial" w:hAnsi="Arial"/>
          <w:b/>
          <w:i/>
          <w:color w:val="000000"/>
          <w:sz w:val="24"/>
          <w:szCs w:val="24"/>
        </w:rPr>
      </w:pPr>
      <w:r>
        <w:rPr>
          <w:rFonts w:ascii="Arial" w:eastAsia="Arial" w:hAnsi="Arial"/>
          <w:b/>
          <w:i/>
          <w:color w:val="000000"/>
          <w:sz w:val="24"/>
          <w:szCs w:val="24"/>
          <w:highlight w:val="yellow"/>
        </w:rPr>
        <w:t>[Guidance: The insurance claims notification threshold should normally represent a significant or material value claim in connection with the requirement or represent an amount that would provide comfort to the Buyer that it has knowledge of claims that might impact on the Buyer.]</w:t>
      </w:r>
      <w:r>
        <w:rPr>
          <w:rFonts w:ascii="Arial" w:eastAsia="Arial" w:hAnsi="Arial"/>
          <w:b/>
          <w:i/>
          <w:color w:val="000000"/>
          <w:sz w:val="24"/>
          <w:szCs w:val="24"/>
        </w:rPr>
        <w:t xml:space="preserve"> </w:t>
      </w:r>
    </w:p>
    <w:p w14:paraId="3E5B7AE4"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Where any Insurance requires payment of a premium, the Supplier shall be liable for and shall promptly pay such premium.</w:t>
      </w:r>
    </w:p>
    <w:p w14:paraId="56864535"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color w:val="000000"/>
          <w:sz w:val="24"/>
          <w:szCs w:val="24"/>
        </w:rPr>
      </w:pPr>
      <w:r>
        <w:rPr>
          <w:rFonts w:ascii="Arial" w:eastAsia="Arial" w:hAnsi="Arial"/>
          <w:color w:val="000000"/>
          <w:sz w:val="24"/>
          <w:szCs w:val="24"/>
        </w:rPr>
        <w:t>Where any Insurance is subject to an excess or deductible below which the indemnity from insurers is excluded, the Supplier shall be liable for such excess or deductible. The Supplier shall not be entitled to recover from the Buyer any sum paid by way of excess or deductible under the Insurances whether under the terms of this Contract or otherwise.</w:t>
      </w:r>
      <w:r>
        <w:br w:type="page"/>
      </w:r>
    </w:p>
    <w:p w14:paraId="7819EDEC" w14:textId="77777777" w:rsidR="00640AA1" w:rsidRDefault="0087499A">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r>
        <w:rPr>
          <w:rFonts w:ascii="Arial" w:eastAsia="Arial" w:hAnsi="Arial"/>
          <w:b/>
          <w:color w:val="000000"/>
          <w:sz w:val="24"/>
          <w:szCs w:val="24"/>
        </w:rPr>
        <w:lastRenderedPageBreak/>
        <w:t>ANNEX: REQUIRED INSURANCES</w:t>
      </w:r>
    </w:p>
    <w:p w14:paraId="15C9779D" w14:textId="77777777" w:rsidR="00640AA1" w:rsidRDefault="00640AA1">
      <w:pPr>
        <w:pBdr>
          <w:top w:val="nil"/>
          <w:left w:val="nil"/>
          <w:bottom w:val="nil"/>
          <w:right w:val="nil"/>
          <w:between w:val="nil"/>
        </w:pBdr>
        <w:tabs>
          <w:tab w:val="left" w:pos="1134"/>
        </w:tabs>
        <w:spacing w:before="120" w:after="120"/>
        <w:ind w:left="648" w:hanging="576"/>
        <w:jc w:val="center"/>
        <w:rPr>
          <w:rFonts w:ascii="Arial" w:eastAsia="Arial" w:hAnsi="Arial"/>
          <w:b/>
          <w:color w:val="000000"/>
          <w:sz w:val="24"/>
          <w:szCs w:val="24"/>
        </w:rPr>
      </w:pPr>
    </w:p>
    <w:p w14:paraId="6CFE85B1" w14:textId="77777777" w:rsidR="00640AA1" w:rsidRDefault="0087499A">
      <w:pPr>
        <w:spacing w:before="100" w:after="200"/>
        <w:rPr>
          <w:rFonts w:ascii="Arial Bold" w:eastAsia="Arial Bold" w:hAnsi="Arial Bold" w:cs="Arial Bold"/>
          <w:b/>
          <w:smallCaps/>
          <w:sz w:val="24"/>
          <w:szCs w:val="24"/>
        </w:rPr>
      </w:pPr>
      <w:r>
        <w:rPr>
          <w:rFonts w:ascii="Arial Bold" w:eastAsia="Arial Bold" w:hAnsi="Arial Bold" w:cs="Arial Bold"/>
          <w:b/>
          <w:smallCaps/>
          <w:sz w:val="24"/>
          <w:szCs w:val="24"/>
        </w:rPr>
        <w:t>PART A: THIRD PARTY PUBLIC AND PRODUCTS LIABILITY INSURANCE</w:t>
      </w:r>
    </w:p>
    <w:p w14:paraId="7B5BD853" w14:textId="317EA1D7" w:rsidR="00640AA1" w:rsidRPr="00DE27E5" w:rsidRDefault="00DE27E5" w:rsidP="00DE27E5">
      <w:pPr>
        <w:pStyle w:val="AnnexHeading"/>
        <w:keepNext/>
        <w:numPr>
          <w:ilvl w:val="0"/>
          <w:numId w:val="8"/>
        </w:numPr>
        <w:pBdr>
          <w:top w:val="nil"/>
          <w:left w:val="nil"/>
          <w:bottom w:val="nil"/>
          <w:right w:val="nil"/>
          <w:between w:val="nil"/>
        </w:pBdr>
        <w:spacing w:before="120" w:after="240"/>
        <w:ind w:left="360"/>
        <w:jc w:val="left"/>
        <w:rPr>
          <w:rFonts w:eastAsia="Arial Bold" w:cs="Arial Bold"/>
          <w:color w:val="000000"/>
        </w:rPr>
      </w:pPr>
      <w:r w:rsidRPr="00DE27E5">
        <w:rPr>
          <w:rFonts w:eastAsia="Arial Bold" w:cs="Arial Bold"/>
          <w:caps w:val="0"/>
          <w:color w:val="000000"/>
        </w:rPr>
        <w:t xml:space="preserve">Insured </w:t>
      </w:r>
    </w:p>
    <w:p w14:paraId="0D86E044" w14:textId="77777777" w:rsidR="00640AA1" w:rsidRDefault="0087499A" w:rsidP="00DE27E5">
      <w:pPr>
        <w:keepNext/>
        <w:pBdr>
          <w:top w:val="nil"/>
          <w:left w:val="nil"/>
          <w:bottom w:val="nil"/>
          <w:right w:val="nil"/>
          <w:between w:val="nil"/>
        </w:pBdr>
        <w:tabs>
          <w:tab w:val="left" w:pos="1134"/>
        </w:tabs>
        <w:spacing w:before="120" w:after="120"/>
        <w:ind w:left="360"/>
        <w:jc w:val="left"/>
        <w:rPr>
          <w:rFonts w:ascii="Arial" w:eastAsia="Arial" w:hAnsi="Arial"/>
          <w:sz w:val="24"/>
          <w:szCs w:val="24"/>
        </w:rPr>
      </w:pPr>
      <w:r w:rsidRPr="00EF2ECD">
        <w:rPr>
          <w:rFonts w:ascii="Arial" w:eastAsia="Arial" w:hAnsi="Arial"/>
          <w:color w:val="000000"/>
          <w:sz w:val="24"/>
          <w:szCs w:val="24"/>
        </w:rPr>
        <w:t>The</w:t>
      </w:r>
      <w:r>
        <w:rPr>
          <w:rFonts w:ascii="Arial" w:eastAsia="Arial" w:hAnsi="Arial"/>
          <w:sz w:val="24"/>
          <w:szCs w:val="24"/>
        </w:rPr>
        <w:t xml:space="preserve"> Supplier</w:t>
      </w:r>
    </w:p>
    <w:p w14:paraId="0A564AC7"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Interest</w:t>
      </w:r>
    </w:p>
    <w:p w14:paraId="2B7F5F01"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To indemnify the Insured in respect of all sums which the Insured shall become legally liable to pay as damages, including claimant's costs and expenses, in respect of accidental:</w:t>
      </w:r>
    </w:p>
    <w:p w14:paraId="506C715E"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sz w:val="24"/>
          <w:szCs w:val="24"/>
        </w:rPr>
      </w:pPr>
      <w:r w:rsidRPr="00DE27E5">
        <w:rPr>
          <w:rFonts w:ascii="Arial" w:eastAsia="Arial" w:hAnsi="Arial"/>
          <w:color w:val="000000"/>
          <w:sz w:val="24"/>
          <w:szCs w:val="24"/>
        </w:rPr>
        <w:t>death</w:t>
      </w:r>
      <w:r>
        <w:rPr>
          <w:rFonts w:ascii="Arial" w:eastAsia="Arial" w:hAnsi="Arial"/>
          <w:sz w:val="24"/>
          <w:szCs w:val="24"/>
        </w:rPr>
        <w:t xml:space="preserve"> or bodily injury to or sickness, illness or disease contracted by any person; and</w:t>
      </w:r>
    </w:p>
    <w:p w14:paraId="6B461257" w14:textId="77777777" w:rsidR="00640AA1" w:rsidRDefault="0087499A" w:rsidP="00DE27E5">
      <w:pPr>
        <w:numPr>
          <w:ilvl w:val="2"/>
          <w:numId w:val="4"/>
        </w:numPr>
        <w:pBdr>
          <w:top w:val="nil"/>
          <w:left w:val="nil"/>
          <w:bottom w:val="nil"/>
          <w:right w:val="nil"/>
          <w:between w:val="nil"/>
        </w:pBdr>
        <w:tabs>
          <w:tab w:val="left" w:pos="1985"/>
        </w:tabs>
        <w:spacing w:before="120" w:after="120"/>
        <w:ind w:left="1757" w:hanging="850"/>
        <w:jc w:val="left"/>
        <w:rPr>
          <w:rFonts w:ascii="Arial" w:eastAsia="Arial" w:hAnsi="Arial"/>
          <w:sz w:val="24"/>
          <w:szCs w:val="24"/>
        </w:rPr>
      </w:pPr>
      <w:r w:rsidRPr="00DE27E5">
        <w:rPr>
          <w:rFonts w:ascii="Arial" w:eastAsia="Arial" w:hAnsi="Arial"/>
          <w:color w:val="000000"/>
          <w:sz w:val="24"/>
          <w:szCs w:val="24"/>
        </w:rPr>
        <w:t>loss</w:t>
      </w:r>
      <w:r>
        <w:rPr>
          <w:rFonts w:ascii="Arial" w:eastAsia="Arial" w:hAnsi="Arial"/>
          <w:sz w:val="24"/>
          <w:szCs w:val="24"/>
        </w:rPr>
        <w:t xml:space="preserve"> of or damage to physical </w:t>
      </w:r>
      <w:proofErr w:type="gramStart"/>
      <w:r>
        <w:rPr>
          <w:rFonts w:ascii="Arial" w:eastAsia="Arial" w:hAnsi="Arial"/>
          <w:sz w:val="24"/>
          <w:szCs w:val="24"/>
        </w:rPr>
        <w:t>property;</w:t>
      </w:r>
      <w:proofErr w:type="gramEnd"/>
    </w:p>
    <w:p w14:paraId="7A3A82B9" w14:textId="1AED095C" w:rsidR="00640AA1" w:rsidRDefault="0087499A" w:rsidP="00DE27E5">
      <w:pPr>
        <w:spacing w:before="100" w:after="200"/>
        <w:ind w:left="907"/>
        <w:jc w:val="left"/>
        <w:rPr>
          <w:rFonts w:ascii="Arial" w:eastAsia="Arial" w:hAnsi="Arial"/>
          <w:sz w:val="24"/>
          <w:szCs w:val="24"/>
        </w:rPr>
      </w:pPr>
      <w:r>
        <w:rPr>
          <w:rFonts w:ascii="Arial" w:eastAsia="Arial" w:hAnsi="Arial"/>
          <w:sz w:val="24"/>
          <w:szCs w:val="24"/>
        </w:rPr>
        <w:t xml:space="preserve">happening during the period of insurance (as specified in Paragraph </w:t>
      </w:r>
      <w:r w:rsidR="003F54A7">
        <w:rPr>
          <w:rFonts w:ascii="Arial" w:eastAsia="Arial" w:hAnsi="Arial"/>
          <w:sz w:val="24"/>
          <w:szCs w:val="24"/>
        </w:rPr>
        <w:fldChar w:fldCharType="begin"/>
      </w:r>
      <w:r w:rsidR="003F54A7">
        <w:rPr>
          <w:rFonts w:ascii="Arial" w:eastAsia="Arial" w:hAnsi="Arial"/>
          <w:sz w:val="24"/>
          <w:szCs w:val="24"/>
        </w:rPr>
        <w:instrText xml:space="preserve"> REF _Ref141085648 \w \h </w:instrText>
      </w:r>
      <w:r w:rsidR="003F54A7">
        <w:rPr>
          <w:rFonts w:ascii="Arial" w:eastAsia="Arial" w:hAnsi="Arial"/>
          <w:sz w:val="24"/>
          <w:szCs w:val="24"/>
        </w:rPr>
      </w:r>
      <w:r w:rsidR="003F54A7">
        <w:rPr>
          <w:rFonts w:ascii="Arial" w:eastAsia="Arial" w:hAnsi="Arial"/>
          <w:sz w:val="24"/>
          <w:szCs w:val="24"/>
        </w:rPr>
        <w:fldChar w:fldCharType="separate"/>
      </w:r>
      <w:r w:rsidR="007D5ABF">
        <w:rPr>
          <w:rFonts w:ascii="Arial" w:eastAsia="Arial" w:hAnsi="Arial"/>
          <w:sz w:val="24"/>
          <w:szCs w:val="24"/>
        </w:rPr>
        <w:t>5</w:t>
      </w:r>
      <w:r w:rsidR="003F54A7">
        <w:rPr>
          <w:rFonts w:ascii="Arial" w:eastAsia="Arial" w:hAnsi="Arial"/>
          <w:sz w:val="24"/>
          <w:szCs w:val="24"/>
        </w:rPr>
        <w:fldChar w:fldCharType="end"/>
      </w:r>
      <w:r>
        <w:rPr>
          <w:rFonts w:ascii="Arial" w:eastAsia="Arial" w:hAnsi="Arial"/>
          <w:sz w:val="24"/>
          <w:szCs w:val="24"/>
        </w:rPr>
        <w:t>) and arising out of or in connection with the provision of the Deliverables and in connection with this Contract.</w:t>
      </w:r>
    </w:p>
    <w:p w14:paraId="31B5DB6F"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Limit of indemnity</w:t>
      </w:r>
    </w:p>
    <w:p w14:paraId="28AFFE47" w14:textId="77777777" w:rsidR="00640AA1" w:rsidRDefault="0087499A" w:rsidP="00EF2ECD">
      <w:pPr>
        <w:keepNext/>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sidRPr="00EF2ECD">
        <w:rPr>
          <w:rFonts w:ascii="Arial" w:eastAsia="Arial" w:hAnsi="Arial"/>
          <w:color w:val="000000"/>
          <w:sz w:val="24"/>
          <w:szCs w:val="24"/>
        </w:rPr>
        <w:t>Not</w:t>
      </w:r>
      <w:r>
        <w:rPr>
          <w:rFonts w:ascii="Arial" w:eastAsia="Arial" w:hAnsi="Arial"/>
          <w:sz w:val="24"/>
          <w:szCs w:val="24"/>
        </w:rPr>
        <w:t xml:space="preserve"> less than </w:t>
      </w:r>
      <w:proofErr w:type="gramStart"/>
      <w:r w:rsidRPr="007D5ABF">
        <w:rPr>
          <w:rFonts w:ascii="Arial" w:eastAsia="Arial" w:hAnsi="Arial"/>
          <w:bCs/>
          <w:sz w:val="24"/>
          <w:szCs w:val="24"/>
          <w:highlight w:val="yellow"/>
        </w:rPr>
        <w:t>£[</w:t>
      </w:r>
      <w:proofErr w:type="gramEnd"/>
      <w:r w:rsidRPr="007D5ABF">
        <w:rPr>
          <w:rFonts w:ascii="Arial" w:eastAsia="Arial" w:hAnsi="Arial"/>
          <w:bCs/>
          <w:sz w:val="24"/>
          <w:szCs w:val="24"/>
          <w:highlight w:val="yellow"/>
        </w:rPr>
        <w:t>to be determined by the Buyer]</w:t>
      </w:r>
      <w:r>
        <w:rPr>
          <w:rFonts w:ascii="Arial" w:eastAsia="Arial" w:hAnsi="Arial"/>
          <w:sz w:val="24"/>
          <w:szCs w:val="24"/>
        </w:rPr>
        <w:t xml:space="preserve"> in respect of any one occurrence, the number of occurrences being unlimited in any annual policy period, but </w:t>
      </w:r>
      <w:r w:rsidRPr="007D5ABF">
        <w:rPr>
          <w:rFonts w:ascii="Arial" w:eastAsia="Arial" w:hAnsi="Arial"/>
          <w:bCs/>
          <w:sz w:val="24"/>
          <w:szCs w:val="24"/>
          <w:highlight w:val="yellow"/>
        </w:rPr>
        <w:t>£[to be determined by the Buyer]</w:t>
      </w:r>
      <w:r w:rsidRPr="007D5ABF">
        <w:rPr>
          <w:rFonts w:ascii="Arial" w:eastAsia="Arial" w:hAnsi="Arial"/>
          <w:bCs/>
          <w:sz w:val="24"/>
          <w:szCs w:val="24"/>
        </w:rPr>
        <w:t xml:space="preserve"> </w:t>
      </w:r>
      <w:r>
        <w:rPr>
          <w:rFonts w:ascii="Arial" w:eastAsia="Arial" w:hAnsi="Arial"/>
          <w:sz w:val="24"/>
          <w:szCs w:val="24"/>
        </w:rPr>
        <w:t>in the aggregate per annum in respect of products and pollution liability (to the extent insured by the relevant policy).</w:t>
      </w:r>
    </w:p>
    <w:p w14:paraId="02BAB22E" w14:textId="77777777" w:rsidR="00640AA1" w:rsidRDefault="0087499A" w:rsidP="00DE27E5">
      <w:pPr>
        <w:spacing w:before="100" w:after="200"/>
        <w:ind w:left="907"/>
        <w:jc w:val="left"/>
        <w:rPr>
          <w:rFonts w:ascii="Arial" w:eastAsia="Arial" w:hAnsi="Arial"/>
          <w:b/>
          <w:i/>
          <w:sz w:val="24"/>
          <w:szCs w:val="24"/>
          <w:highlight w:val="yellow"/>
        </w:rPr>
      </w:pPr>
      <w:r>
        <w:rPr>
          <w:rFonts w:ascii="Arial" w:eastAsia="Arial" w:hAnsi="Arial"/>
          <w:b/>
          <w:i/>
          <w:sz w:val="24"/>
          <w:szCs w:val="24"/>
          <w:highlight w:val="yellow"/>
        </w:rPr>
        <w:t>[Guidance: The Buyer should set the Limit of Indemnity by way of an insurable risk review (supported by the Buyers professional insurance adviser). The level specified in the limit of indemnity above should be predicated upon:</w:t>
      </w:r>
    </w:p>
    <w:p w14:paraId="4F522DA8" w14:textId="77777777" w:rsidR="00640AA1" w:rsidRDefault="0087499A" w:rsidP="00DE27E5">
      <w:pPr>
        <w:numPr>
          <w:ilvl w:val="0"/>
          <w:numId w:val="2"/>
        </w:numPr>
        <w:pBdr>
          <w:top w:val="nil"/>
          <w:left w:val="nil"/>
          <w:bottom w:val="nil"/>
          <w:right w:val="nil"/>
          <w:between w:val="nil"/>
        </w:pBdr>
        <w:tabs>
          <w:tab w:val="left" w:pos="1797"/>
        </w:tabs>
        <w:spacing w:before="100" w:after="0"/>
        <w:ind w:left="1267"/>
        <w:jc w:val="left"/>
        <w:rPr>
          <w:rFonts w:ascii="Arial" w:eastAsia="Arial" w:hAnsi="Arial"/>
          <w:b/>
          <w:i/>
          <w:color w:val="000000"/>
          <w:sz w:val="24"/>
          <w:szCs w:val="24"/>
          <w:highlight w:val="yellow"/>
        </w:rPr>
      </w:pPr>
      <w:r>
        <w:rPr>
          <w:rFonts w:ascii="Arial" w:eastAsia="Arial" w:hAnsi="Arial"/>
          <w:b/>
          <w:i/>
          <w:color w:val="000000"/>
          <w:sz w:val="24"/>
          <w:szCs w:val="24"/>
          <w:highlight w:val="yellow"/>
        </w:rPr>
        <w:t xml:space="preserve">The risk profile represented by the Buyer requirement in </w:t>
      </w:r>
      <w:proofErr w:type="gramStart"/>
      <w:r>
        <w:rPr>
          <w:rFonts w:ascii="Arial" w:eastAsia="Arial" w:hAnsi="Arial"/>
          <w:b/>
          <w:i/>
          <w:color w:val="000000"/>
          <w:sz w:val="24"/>
          <w:szCs w:val="24"/>
          <w:highlight w:val="yellow"/>
        </w:rPr>
        <w:t>question</w:t>
      </w:r>
      <w:proofErr w:type="gramEnd"/>
    </w:p>
    <w:p w14:paraId="1EAE608D" w14:textId="77777777" w:rsidR="00640AA1" w:rsidRDefault="0087499A" w:rsidP="00DE27E5">
      <w:pPr>
        <w:numPr>
          <w:ilvl w:val="0"/>
          <w:numId w:val="2"/>
        </w:numPr>
        <w:pBdr>
          <w:top w:val="nil"/>
          <w:left w:val="nil"/>
          <w:bottom w:val="nil"/>
          <w:right w:val="nil"/>
          <w:between w:val="nil"/>
        </w:pBdr>
        <w:tabs>
          <w:tab w:val="left" w:pos="1797"/>
        </w:tabs>
        <w:spacing w:after="0"/>
        <w:ind w:left="1267"/>
        <w:jc w:val="left"/>
        <w:rPr>
          <w:rFonts w:ascii="Arial" w:eastAsia="Arial" w:hAnsi="Arial"/>
          <w:b/>
          <w:i/>
          <w:color w:val="000000"/>
          <w:sz w:val="24"/>
          <w:szCs w:val="24"/>
          <w:highlight w:val="yellow"/>
        </w:rPr>
      </w:pPr>
      <w:r>
        <w:rPr>
          <w:rFonts w:ascii="Arial" w:eastAsia="Arial" w:hAnsi="Arial"/>
          <w:b/>
          <w:i/>
          <w:color w:val="000000"/>
          <w:sz w:val="24"/>
          <w:szCs w:val="24"/>
          <w:highlight w:val="yellow"/>
        </w:rPr>
        <w:t>Potential frequency and severity of claims and losses (not the value of the contract) relative to the risk exposure</w:t>
      </w:r>
    </w:p>
    <w:p w14:paraId="22BAB586" w14:textId="77777777" w:rsidR="00640AA1" w:rsidRDefault="0087499A" w:rsidP="00DE27E5">
      <w:pPr>
        <w:numPr>
          <w:ilvl w:val="0"/>
          <w:numId w:val="2"/>
        </w:numPr>
        <w:pBdr>
          <w:top w:val="nil"/>
          <w:left w:val="nil"/>
          <w:bottom w:val="nil"/>
          <w:right w:val="nil"/>
          <w:between w:val="nil"/>
        </w:pBdr>
        <w:tabs>
          <w:tab w:val="left" w:pos="1797"/>
        </w:tabs>
        <w:spacing w:after="200"/>
        <w:ind w:left="1267"/>
        <w:jc w:val="left"/>
        <w:rPr>
          <w:rFonts w:ascii="Arial" w:eastAsia="Arial" w:hAnsi="Arial"/>
          <w:b/>
          <w:i/>
          <w:color w:val="000000"/>
          <w:sz w:val="24"/>
          <w:szCs w:val="24"/>
          <w:highlight w:val="yellow"/>
        </w:rPr>
      </w:pPr>
      <w:r>
        <w:rPr>
          <w:rFonts w:ascii="Arial" w:eastAsia="Arial" w:hAnsi="Arial"/>
          <w:b/>
          <w:i/>
          <w:color w:val="000000"/>
          <w:sz w:val="24"/>
          <w:szCs w:val="24"/>
          <w:highlight w:val="yellow"/>
        </w:rPr>
        <w:t>Insurance market availability in prevailing insurance market conditions.</w:t>
      </w:r>
    </w:p>
    <w:p w14:paraId="6FD2A746" w14:textId="77777777" w:rsidR="00640AA1" w:rsidRDefault="0087499A" w:rsidP="00DE27E5">
      <w:pPr>
        <w:numPr>
          <w:ilvl w:val="1"/>
          <w:numId w:val="1"/>
        </w:numPr>
        <w:tabs>
          <w:tab w:val="left" w:pos="1797"/>
        </w:tabs>
        <w:spacing w:before="100" w:after="200"/>
        <w:ind w:left="907"/>
        <w:jc w:val="left"/>
        <w:rPr>
          <w:rFonts w:ascii="Arial" w:eastAsia="Arial" w:hAnsi="Arial"/>
          <w:b/>
          <w:i/>
          <w:sz w:val="24"/>
          <w:szCs w:val="24"/>
          <w:highlight w:val="yellow"/>
        </w:rPr>
      </w:pPr>
      <w:r>
        <w:rPr>
          <w:rFonts w:ascii="Arial" w:eastAsia="Arial" w:hAnsi="Arial"/>
          <w:b/>
          <w:i/>
          <w:sz w:val="24"/>
          <w:szCs w:val="24"/>
          <w:highlight w:val="yellow"/>
        </w:rPr>
        <w:t xml:space="preserve">The wording on the limit of indemnity for third party public and products liability reflects what is available in UK insurance market conditions for this type of insurance only. While insurance is available in the UK on this basis, it may not be available in other parts of the world, in which case Suppliers may need to seek an alternative UK insurance policy on this basis.] </w:t>
      </w:r>
    </w:p>
    <w:p w14:paraId="7F682136" w14:textId="77777777" w:rsidR="00640AA1" w:rsidRPr="00EF2ECD" w:rsidRDefault="0087499A" w:rsidP="00B322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lastRenderedPageBreak/>
        <w:t>Territorial limits</w:t>
      </w:r>
    </w:p>
    <w:p w14:paraId="58CF0D53" w14:textId="77777777" w:rsidR="00640AA1" w:rsidRDefault="0087499A" w:rsidP="00B322CD">
      <w:pPr>
        <w:keepNext/>
        <w:spacing w:before="100" w:after="200"/>
        <w:ind w:left="360"/>
        <w:jc w:val="left"/>
        <w:rPr>
          <w:rFonts w:ascii="Arial" w:eastAsia="Arial" w:hAnsi="Arial"/>
          <w:sz w:val="24"/>
          <w:szCs w:val="24"/>
        </w:rPr>
      </w:pPr>
      <w:r>
        <w:rPr>
          <w:rFonts w:ascii="Arial" w:eastAsia="Arial" w:hAnsi="Arial"/>
          <w:b/>
          <w:sz w:val="24"/>
          <w:szCs w:val="24"/>
          <w:highlight w:val="yellow"/>
        </w:rPr>
        <w:t>[United</w:t>
      </w:r>
      <w:r>
        <w:rPr>
          <w:rFonts w:ascii="Arial" w:eastAsia="Arial" w:hAnsi="Arial"/>
          <w:sz w:val="24"/>
          <w:szCs w:val="24"/>
          <w:highlight w:val="yellow"/>
        </w:rPr>
        <w:t xml:space="preserve"> </w:t>
      </w:r>
      <w:r>
        <w:rPr>
          <w:rFonts w:ascii="Arial" w:eastAsia="Arial" w:hAnsi="Arial"/>
          <w:b/>
          <w:sz w:val="24"/>
          <w:szCs w:val="24"/>
          <w:highlight w:val="yellow"/>
        </w:rPr>
        <w:t>Kingdom]</w:t>
      </w:r>
    </w:p>
    <w:p w14:paraId="1A3F1AF9" w14:textId="77777777" w:rsidR="00640AA1" w:rsidRDefault="0087499A" w:rsidP="00DE27E5">
      <w:pPr>
        <w:spacing w:before="100" w:after="200"/>
        <w:ind w:left="360"/>
        <w:jc w:val="left"/>
        <w:rPr>
          <w:rFonts w:ascii="Arial" w:eastAsia="Arial" w:hAnsi="Arial"/>
          <w:b/>
          <w:i/>
          <w:sz w:val="24"/>
          <w:szCs w:val="24"/>
        </w:rPr>
      </w:pPr>
      <w:r>
        <w:rPr>
          <w:rFonts w:ascii="Arial" w:eastAsia="Arial" w:hAnsi="Arial"/>
          <w:b/>
          <w:i/>
          <w:sz w:val="24"/>
          <w:szCs w:val="24"/>
          <w:highlight w:val="yellow"/>
        </w:rPr>
        <w:t>[Guidance: The Buyer should populate any additional territories relative to the service delivery. The Annex drafting reflects United Kingdom insurance market conditions and availability only. Where there is an overseas requirement consider obtaining professional insurance advice to set the appropriate requirement in the Annex]</w:t>
      </w:r>
    </w:p>
    <w:p w14:paraId="01FA7291"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Period of insurance</w:t>
      </w:r>
    </w:p>
    <w:p w14:paraId="0009C952" w14:textId="1C9D9E96" w:rsidR="00640AA1" w:rsidRDefault="0087499A" w:rsidP="00B322CD">
      <w:pPr>
        <w:keepNext/>
        <w:pBdr>
          <w:top w:val="nil"/>
          <w:left w:val="nil"/>
          <w:bottom w:val="nil"/>
          <w:right w:val="nil"/>
          <w:between w:val="nil"/>
        </w:pBdr>
        <w:tabs>
          <w:tab w:val="left" w:pos="1134"/>
        </w:tabs>
        <w:spacing w:before="120" w:after="120"/>
        <w:ind w:left="360"/>
        <w:jc w:val="left"/>
        <w:rPr>
          <w:rFonts w:ascii="Arial" w:eastAsia="Arial" w:hAnsi="Arial"/>
          <w:sz w:val="24"/>
          <w:szCs w:val="24"/>
        </w:rPr>
      </w:pPr>
      <w:r w:rsidRPr="00EF2ECD">
        <w:rPr>
          <w:rFonts w:ascii="Arial" w:eastAsia="Arial" w:hAnsi="Arial"/>
          <w:color w:val="000000"/>
          <w:sz w:val="24"/>
          <w:szCs w:val="24"/>
        </w:rPr>
        <w:t>From</w:t>
      </w:r>
      <w:r>
        <w:rPr>
          <w:rFonts w:ascii="Arial" w:eastAsia="Arial" w:hAnsi="Arial"/>
          <w:sz w:val="24"/>
          <w:szCs w:val="24"/>
        </w:rPr>
        <w:t xml:space="preserve"> the date of this Contract for the period of </w:t>
      </w:r>
      <w:r w:rsidR="00AE7224">
        <w:rPr>
          <w:rFonts w:ascii="Arial" w:eastAsia="Arial" w:hAnsi="Arial"/>
          <w:sz w:val="24"/>
          <w:szCs w:val="24"/>
        </w:rPr>
        <w:t>this Contract</w:t>
      </w:r>
      <w:r>
        <w:rPr>
          <w:rFonts w:ascii="Arial" w:eastAsia="Arial" w:hAnsi="Arial"/>
          <w:sz w:val="24"/>
          <w:szCs w:val="24"/>
        </w:rPr>
        <w:t xml:space="preserve"> and renewable on an annual basis unless agreed otherwise by the Buyer in writing.</w:t>
      </w:r>
    </w:p>
    <w:p w14:paraId="127CFB74" w14:textId="77777777" w:rsidR="00640AA1" w:rsidRDefault="0087499A" w:rsidP="00B322CD">
      <w:pPr>
        <w:spacing w:before="100" w:after="200"/>
        <w:ind w:left="360"/>
        <w:jc w:val="left"/>
        <w:rPr>
          <w:rFonts w:ascii="Arial" w:eastAsia="Arial" w:hAnsi="Arial"/>
          <w:b/>
          <w:i/>
          <w:sz w:val="24"/>
          <w:szCs w:val="24"/>
        </w:rPr>
      </w:pPr>
      <w:r>
        <w:rPr>
          <w:rFonts w:ascii="Arial" w:eastAsia="Arial" w:hAnsi="Arial"/>
          <w:b/>
          <w:i/>
          <w:sz w:val="24"/>
          <w:szCs w:val="24"/>
          <w:highlight w:val="yellow"/>
        </w:rPr>
        <w:t xml:space="preserve">[Guidance: The Buyer should populate the period of insurance relative to the requirement in question. The period of insurance should reflect the period that the relevant insurable risk can materialise and </w:t>
      </w:r>
      <w:proofErr w:type="gramStart"/>
      <w:r>
        <w:rPr>
          <w:rFonts w:ascii="Arial" w:eastAsia="Arial" w:hAnsi="Arial"/>
          <w:b/>
          <w:i/>
          <w:sz w:val="24"/>
          <w:szCs w:val="24"/>
          <w:highlight w:val="yellow"/>
        </w:rPr>
        <w:t>take into account</w:t>
      </w:r>
      <w:proofErr w:type="gramEnd"/>
      <w:r>
        <w:rPr>
          <w:rFonts w:ascii="Arial" w:eastAsia="Arial" w:hAnsi="Arial"/>
          <w:b/>
          <w:i/>
          <w:sz w:val="24"/>
          <w:szCs w:val="24"/>
          <w:highlight w:val="yellow"/>
        </w:rPr>
        <w:t xml:space="preserve"> any contract specific issues such as phasing.]</w:t>
      </w:r>
    </w:p>
    <w:p w14:paraId="5FC73F24" w14:textId="77777777" w:rsidR="00640AA1" w:rsidRPr="00EF2ECD" w:rsidRDefault="0087499A" w:rsidP="00EF2ECD">
      <w:pPr>
        <w:keepNext/>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Cover features and extensions</w:t>
      </w:r>
    </w:p>
    <w:p w14:paraId="79CE252C" w14:textId="65D990AB" w:rsidR="00640AA1" w:rsidRDefault="0087499A" w:rsidP="00B322CD">
      <w:pPr>
        <w:keepNext/>
        <w:pBdr>
          <w:top w:val="nil"/>
          <w:left w:val="nil"/>
          <w:bottom w:val="nil"/>
          <w:right w:val="nil"/>
          <w:between w:val="nil"/>
        </w:pBdr>
        <w:tabs>
          <w:tab w:val="left" w:pos="1134"/>
        </w:tabs>
        <w:spacing w:before="120" w:after="120"/>
        <w:ind w:left="360"/>
        <w:jc w:val="left"/>
        <w:rPr>
          <w:rFonts w:ascii="Arial" w:eastAsia="Arial" w:hAnsi="Arial"/>
          <w:sz w:val="24"/>
          <w:szCs w:val="24"/>
        </w:rPr>
      </w:pPr>
      <w:r>
        <w:rPr>
          <w:rFonts w:ascii="Arial" w:eastAsia="Arial" w:hAnsi="Arial"/>
          <w:sz w:val="24"/>
          <w:szCs w:val="24"/>
        </w:rPr>
        <w:t xml:space="preserve">Indemnity to </w:t>
      </w:r>
      <w:proofErr w:type="gramStart"/>
      <w:r>
        <w:rPr>
          <w:rFonts w:ascii="Arial" w:eastAsia="Arial" w:hAnsi="Arial"/>
          <w:sz w:val="24"/>
          <w:szCs w:val="24"/>
        </w:rPr>
        <w:t>principals</w:t>
      </w:r>
      <w:proofErr w:type="gramEnd"/>
      <w:r>
        <w:rPr>
          <w:rFonts w:ascii="Arial" w:eastAsia="Arial" w:hAnsi="Arial"/>
          <w:sz w:val="24"/>
          <w:szCs w:val="24"/>
        </w:rPr>
        <w:t xml:space="preserve"> clause under which the Buyer shall be indemnified in </w:t>
      </w:r>
      <w:r w:rsidRPr="00EF2ECD">
        <w:rPr>
          <w:rFonts w:ascii="Arial" w:eastAsia="Arial" w:hAnsi="Arial"/>
          <w:color w:val="000000"/>
          <w:sz w:val="24"/>
          <w:szCs w:val="24"/>
        </w:rPr>
        <w:t>respect</w:t>
      </w:r>
      <w:r>
        <w:rPr>
          <w:rFonts w:ascii="Arial" w:eastAsia="Arial" w:hAnsi="Arial"/>
          <w:sz w:val="24"/>
          <w:szCs w:val="24"/>
        </w:rPr>
        <w:t xml:space="preserve"> of claims made against the Buyer in respect of death or bodily injury or third party property damage arising out of or in connection with </w:t>
      </w:r>
      <w:r w:rsidR="00AE7224">
        <w:rPr>
          <w:rFonts w:ascii="Arial" w:eastAsia="Arial" w:hAnsi="Arial"/>
          <w:sz w:val="24"/>
          <w:szCs w:val="24"/>
        </w:rPr>
        <w:t>this Contract</w:t>
      </w:r>
      <w:r>
        <w:rPr>
          <w:rFonts w:ascii="Arial" w:eastAsia="Arial" w:hAnsi="Arial"/>
          <w:sz w:val="24"/>
          <w:szCs w:val="24"/>
        </w:rPr>
        <w:t xml:space="preserve"> and for which the Supplier is legally liable.</w:t>
      </w:r>
    </w:p>
    <w:p w14:paraId="74751074" w14:textId="77777777" w:rsidR="00640AA1" w:rsidRDefault="0087499A" w:rsidP="00B322CD">
      <w:pPr>
        <w:spacing w:before="100" w:after="200"/>
        <w:ind w:left="360"/>
        <w:jc w:val="left"/>
        <w:rPr>
          <w:rFonts w:ascii="Arial" w:eastAsia="Arial" w:hAnsi="Arial"/>
          <w:b/>
          <w:i/>
          <w:sz w:val="24"/>
          <w:szCs w:val="24"/>
        </w:rPr>
      </w:pPr>
      <w:r>
        <w:rPr>
          <w:rFonts w:ascii="Arial" w:eastAsia="Arial" w:hAnsi="Arial"/>
          <w:b/>
          <w:i/>
          <w:sz w:val="24"/>
          <w:szCs w:val="24"/>
          <w:highlight w:val="yellow"/>
        </w:rPr>
        <w:t>[Guidance: As part of the insurance review the Buyer should consider what additional cover features and extensions may be required to protect its interests (</w:t>
      </w:r>
      <w:proofErr w:type="gramStart"/>
      <w:r>
        <w:rPr>
          <w:rFonts w:ascii="Arial" w:eastAsia="Arial" w:hAnsi="Arial"/>
          <w:b/>
          <w:i/>
          <w:sz w:val="24"/>
          <w:szCs w:val="24"/>
          <w:highlight w:val="yellow"/>
        </w:rPr>
        <w:t>e.g.</w:t>
      </w:r>
      <w:proofErr w:type="gramEnd"/>
      <w:r>
        <w:rPr>
          <w:rFonts w:ascii="Arial" w:eastAsia="Arial" w:hAnsi="Arial"/>
          <w:b/>
          <w:i/>
          <w:sz w:val="24"/>
          <w:szCs w:val="24"/>
          <w:highlight w:val="yellow"/>
        </w:rPr>
        <w:t xml:space="preserve"> contractual liability extension and legal defence costs in addition to the limit of indemnity). The Buyer may need to seek professional subject matter insurance advice in this regard.]</w:t>
      </w:r>
    </w:p>
    <w:p w14:paraId="4A051B90" w14:textId="77777777" w:rsidR="00640AA1" w:rsidRPr="00EF2ECD" w:rsidRDefault="0087499A" w:rsidP="00B322CD">
      <w:pPr>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Principal exclusions</w:t>
      </w:r>
    </w:p>
    <w:p w14:paraId="40FF5308"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War and related perils.</w:t>
      </w:r>
    </w:p>
    <w:p w14:paraId="1E212D14"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sidRPr="00EF2ECD">
        <w:rPr>
          <w:rFonts w:ascii="Arial" w:eastAsia="Arial" w:hAnsi="Arial"/>
          <w:color w:val="000000"/>
          <w:sz w:val="24"/>
          <w:szCs w:val="24"/>
        </w:rPr>
        <w:t>Nuclear</w:t>
      </w:r>
      <w:r>
        <w:rPr>
          <w:rFonts w:ascii="Arial" w:eastAsia="Arial" w:hAnsi="Arial"/>
          <w:sz w:val="24"/>
          <w:szCs w:val="24"/>
        </w:rPr>
        <w:t xml:space="preserve"> and radioactive risks.</w:t>
      </w:r>
    </w:p>
    <w:p w14:paraId="79CB2391"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 xml:space="preserve">Liability for death, illness, </w:t>
      </w:r>
      <w:proofErr w:type="gramStart"/>
      <w:r>
        <w:rPr>
          <w:rFonts w:ascii="Arial" w:eastAsia="Arial" w:hAnsi="Arial"/>
          <w:sz w:val="24"/>
          <w:szCs w:val="24"/>
        </w:rPr>
        <w:t>disease</w:t>
      </w:r>
      <w:proofErr w:type="gramEnd"/>
      <w:r>
        <w:rPr>
          <w:rFonts w:ascii="Arial" w:eastAsia="Arial" w:hAnsi="Arial"/>
          <w:sz w:val="24"/>
          <w:szCs w:val="24"/>
        </w:rPr>
        <w:t xml:space="preserve"> or bodily injury sustained by employees of </w:t>
      </w:r>
      <w:r w:rsidRPr="00EF2ECD">
        <w:rPr>
          <w:rFonts w:ascii="Arial" w:eastAsia="Arial" w:hAnsi="Arial"/>
          <w:color w:val="000000"/>
          <w:sz w:val="24"/>
          <w:szCs w:val="24"/>
        </w:rPr>
        <w:t>the</w:t>
      </w:r>
      <w:r>
        <w:rPr>
          <w:rFonts w:ascii="Arial" w:eastAsia="Arial" w:hAnsi="Arial"/>
          <w:sz w:val="24"/>
          <w:szCs w:val="24"/>
        </w:rPr>
        <w:t xml:space="preserve"> Insured arising out of the course of their employment.</w:t>
      </w:r>
    </w:p>
    <w:p w14:paraId="01206093"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sidRPr="00EF2ECD">
        <w:rPr>
          <w:rFonts w:ascii="Arial" w:eastAsia="Arial" w:hAnsi="Arial"/>
          <w:color w:val="000000"/>
          <w:sz w:val="24"/>
          <w:szCs w:val="24"/>
        </w:rPr>
        <w:t>Liability</w:t>
      </w:r>
      <w:r>
        <w:rPr>
          <w:rFonts w:ascii="Arial" w:eastAsia="Arial" w:hAnsi="Arial"/>
          <w:sz w:val="24"/>
          <w:szCs w:val="24"/>
        </w:rPr>
        <w:t xml:space="preserve"> arising out of the use of mechanically propelled vehicles whilst required to be compulsorily insured by applicable Law in respect of such vehicles.</w:t>
      </w:r>
    </w:p>
    <w:p w14:paraId="52259449"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 xml:space="preserve">Liability in respect of predetermined penalties or liquidated damages imposed under any contract </w:t>
      </w:r>
      <w:proofErr w:type="gramStart"/>
      <w:r>
        <w:rPr>
          <w:rFonts w:ascii="Arial" w:eastAsia="Arial" w:hAnsi="Arial"/>
          <w:sz w:val="24"/>
          <w:szCs w:val="24"/>
        </w:rPr>
        <w:t>entered into</w:t>
      </w:r>
      <w:proofErr w:type="gramEnd"/>
      <w:r>
        <w:rPr>
          <w:rFonts w:ascii="Arial" w:eastAsia="Arial" w:hAnsi="Arial"/>
          <w:sz w:val="24"/>
          <w:szCs w:val="24"/>
        </w:rPr>
        <w:t xml:space="preserve"> by the Insured.</w:t>
      </w:r>
    </w:p>
    <w:p w14:paraId="06B686CC"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Liability arising out of technical or professional advice other than in respect of death or bodily injury to persons or damage to third party property.</w:t>
      </w:r>
    </w:p>
    <w:p w14:paraId="235DE99F"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t>Liability arising from the ownership, possession or use of any aircraft or marine vessel.</w:t>
      </w:r>
    </w:p>
    <w:p w14:paraId="64D8445D" w14:textId="77777777" w:rsidR="00640AA1" w:rsidRDefault="0087499A" w:rsidP="00B322CD">
      <w:pPr>
        <w:numPr>
          <w:ilvl w:val="1"/>
          <w:numId w:val="4"/>
        </w:numPr>
        <w:pBdr>
          <w:top w:val="nil"/>
          <w:left w:val="nil"/>
          <w:bottom w:val="nil"/>
          <w:right w:val="nil"/>
          <w:between w:val="nil"/>
        </w:pBdr>
        <w:tabs>
          <w:tab w:val="left" w:pos="1134"/>
        </w:tabs>
        <w:spacing w:before="120" w:after="120"/>
        <w:ind w:left="907" w:hanging="547"/>
        <w:jc w:val="left"/>
        <w:rPr>
          <w:rFonts w:ascii="Arial" w:eastAsia="Arial" w:hAnsi="Arial"/>
          <w:sz w:val="24"/>
          <w:szCs w:val="24"/>
        </w:rPr>
      </w:pPr>
      <w:r>
        <w:rPr>
          <w:rFonts w:ascii="Arial" w:eastAsia="Arial" w:hAnsi="Arial"/>
          <w:sz w:val="24"/>
          <w:szCs w:val="24"/>
        </w:rPr>
        <w:lastRenderedPageBreak/>
        <w:t xml:space="preserve">Liability arising from seepage and pollution unless caused by a sudden, unintended, </w:t>
      </w:r>
      <w:proofErr w:type="gramStart"/>
      <w:r>
        <w:rPr>
          <w:rFonts w:ascii="Arial" w:eastAsia="Arial" w:hAnsi="Arial"/>
          <w:sz w:val="24"/>
          <w:szCs w:val="24"/>
        </w:rPr>
        <w:t>unexpected</w:t>
      </w:r>
      <w:proofErr w:type="gramEnd"/>
      <w:r>
        <w:rPr>
          <w:rFonts w:ascii="Arial" w:eastAsia="Arial" w:hAnsi="Arial"/>
          <w:sz w:val="24"/>
          <w:szCs w:val="24"/>
        </w:rPr>
        <w:t xml:space="preserve"> and accidental occurrence.</w:t>
      </w:r>
    </w:p>
    <w:p w14:paraId="57C38830" w14:textId="77777777" w:rsidR="00640AA1" w:rsidRDefault="0087499A" w:rsidP="00B322CD">
      <w:pPr>
        <w:spacing w:before="100" w:after="200"/>
        <w:ind w:left="907"/>
        <w:jc w:val="left"/>
        <w:rPr>
          <w:rFonts w:ascii="Arial" w:eastAsia="Arial" w:hAnsi="Arial"/>
          <w:sz w:val="24"/>
          <w:szCs w:val="24"/>
        </w:rPr>
      </w:pPr>
      <w:r>
        <w:rPr>
          <w:rFonts w:ascii="Arial" w:eastAsia="Arial" w:hAnsi="Arial"/>
          <w:sz w:val="24"/>
          <w:szCs w:val="24"/>
          <w:highlight w:val="yellow"/>
        </w:rPr>
        <w:t>[</w:t>
      </w:r>
      <w:r>
        <w:rPr>
          <w:rFonts w:ascii="Arial" w:eastAsia="Arial" w:hAnsi="Arial"/>
          <w:b/>
          <w:i/>
          <w:sz w:val="24"/>
          <w:szCs w:val="24"/>
          <w:highlight w:val="yellow"/>
        </w:rPr>
        <w:t xml:space="preserve">Guidance: This list of exclusions represents insurance market wide exclusions for the </w:t>
      </w:r>
      <w:proofErr w:type="gramStart"/>
      <w:r>
        <w:rPr>
          <w:rFonts w:ascii="Arial" w:eastAsia="Arial" w:hAnsi="Arial"/>
          <w:b/>
          <w:i/>
          <w:sz w:val="24"/>
          <w:szCs w:val="24"/>
          <w:highlight w:val="yellow"/>
        </w:rPr>
        <w:t>third party</w:t>
      </w:r>
      <w:proofErr w:type="gramEnd"/>
      <w:r>
        <w:rPr>
          <w:rFonts w:ascii="Arial" w:eastAsia="Arial" w:hAnsi="Arial"/>
          <w:b/>
          <w:i/>
          <w:sz w:val="24"/>
          <w:szCs w:val="24"/>
          <w:highlight w:val="yellow"/>
        </w:rPr>
        <w:t xml:space="preserve"> public and products liability insurance. If something listed here is excluded and you wish it can be covered by an alternative insurance and include in PART C]</w:t>
      </w:r>
    </w:p>
    <w:p w14:paraId="034C8291" w14:textId="77777777" w:rsidR="00640AA1" w:rsidRPr="00EF2ECD" w:rsidRDefault="0087499A" w:rsidP="00B322CD">
      <w:pPr>
        <w:numPr>
          <w:ilvl w:val="0"/>
          <w:numId w:val="4"/>
        </w:numPr>
        <w:pBdr>
          <w:top w:val="nil"/>
          <w:left w:val="nil"/>
          <w:bottom w:val="nil"/>
          <w:right w:val="nil"/>
          <w:between w:val="nil"/>
        </w:pBdr>
        <w:spacing w:before="120"/>
        <w:ind w:left="360"/>
        <w:jc w:val="left"/>
        <w:rPr>
          <w:rFonts w:ascii="Arial Bold" w:eastAsia="Arial Bold" w:hAnsi="Arial Bold" w:cs="Arial Bold"/>
          <w:b/>
          <w:color w:val="000000"/>
          <w:sz w:val="24"/>
          <w:szCs w:val="24"/>
        </w:rPr>
      </w:pPr>
      <w:r w:rsidRPr="00EF2ECD">
        <w:rPr>
          <w:rFonts w:ascii="Arial Bold" w:eastAsia="Arial Bold" w:hAnsi="Arial Bold" w:cs="Arial Bold"/>
          <w:b/>
          <w:color w:val="000000"/>
          <w:sz w:val="24"/>
          <w:szCs w:val="24"/>
        </w:rPr>
        <w:t>Maximum deductible threshold</w:t>
      </w:r>
    </w:p>
    <w:p w14:paraId="2939A216" w14:textId="77777777" w:rsidR="00640AA1" w:rsidRDefault="0087499A" w:rsidP="00B322CD">
      <w:pPr>
        <w:pBdr>
          <w:top w:val="nil"/>
          <w:left w:val="nil"/>
          <w:bottom w:val="nil"/>
          <w:right w:val="nil"/>
          <w:between w:val="nil"/>
        </w:pBdr>
        <w:tabs>
          <w:tab w:val="left" w:pos="1134"/>
        </w:tabs>
        <w:spacing w:before="120" w:after="120"/>
        <w:ind w:left="360"/>
        <w:jc w:val="left"/>
        <w:rPr>
          <w:rFonts w:ascii="Arial" w:eastAsia="Arial" w:hAnsi="Arial"/>
          <w:sz w:val="24"/>
          <w:szCs w:val="24"/>
        </w:rPr>
      </w:pPr>
      <w:r>
        <w:rPr>
          <w:rFonts w:ascii="Arial" w:eastAsia="Arial" w:hAnsi="Arial"/>
          <w:sz w:val="24"/>
          <w:szCs w:val="24"/>
        </w:rPr>
        <w:t xml:space="preserve">Not to exceed </w:t>
      </w:r>
      <w:r>
        <w:rPr>
          <w:rFonts w:ascii="Arial" w:eastAsia="Arial" w:hAnsi="Arial"/>
          <w:b/>
          <w:sz w:val="24"/>
          <w:szCs w:val="24"/>
        </w:rPr>
        <w:t xml:space="preserve">£ </w:t>
      </w:r>
      <w:r>
        <w:rPr>
          <w:rFonts w:ascii="Arial" w:eastAsia="Arial" w:hAnsi="Arial"/>
          <w:b/>
          <w:sz w:val="24"/>
          <w:szCs w:val="24"/>
          <w:highlight w:val="yellow"/>
        </w:rPr>
        <w:t>[Insert:</w:t>
      </w:r>
      <w:r>
        <w:rPr>
          <w:rFonts w:ascii="Arial" w:eastAsia="Arial" w:hAnsi="Arial"/>
          <w:sz w:val="24"/>
          <w:szCs w:val="24"/>
          <w:highlight w:val="yellow"/>
        </w:rPr>
        <w:t xml:space="preserve"> figure on contract award based on the Supplier’s acceptable response to the Invitation </w:t>
      </w:r>
      <w:proofErr w:type="gramStart"/>
      <w:r>
        <w:rPr>
          <w:rFonts w:ascii="Arial" w:eastAsia="Arial" w:hAnsi="Arial"/>
          <w:sz w:val="24"/>
          <w:szCs w:val="24"/>
          <w:highlight w:val="yellow"/>
        </w:rPr>
        <w:t>To</w:t>
      </w:r>
      <w:proofErr w:type="gramEnd"/>
      <w:r>
        <w:rPr>
          <w:rFonts w:ascii="Arial" w:eastAsia="Arial" w:hAnsi="Arial"/>
          <w:sz w:val="24"/>
          <w:szCs w:val="24"/>
          <w:highlight w:val="yellow"/>
        </w:rPr>
        <w:t xml:space="preserve"> Tender]</w:t>
      </w:r>
      <w:r>
        <w:rPr>
          <w:rFonts w:ascii="Arial" w:eastAsia="Arial" w:hAnsi="Arial"/>
          <w:sz w:val="24"/>
          <w:szCs w:val="24"/>
        </w:rPr>
        <w:t xml:space="preserve"> for each and every third party property damage claim (personal injury claims to be paid in full).</w:t>
      </w:r>
    </w:p>
    <w:p w14:paraId="230BDC52" w14:textId="77777777" w:rsidR="00640AA1" w:rsidRDefault="00640AA1" w:rsidP="00B322CD">
      <w:pPr>
        <w:spacing w:before="100" w:after="200"/>
        <w:ind w:left="720"/>
        <w:jc w:val="left"/>
        <w:rPr>
          <w:rFonts w:ascii="Arial" w:eastAsia="Arial" w:hAnsi="Arial"/>
          <w:sz w:val="24"/>
          <w:szCs w:val="24"/>
        </w:rPr>
      </w:pPr>
    </w:p>
    <w:p w14:paraId="190FF45B" w14:textId="77777777" w:rsidR="00640AA1" w:rsidRDefault="0087499A" w:rsidP="00B322CD">
      <w:pPr>
        <w:spacing w:before="100" w:after="200"/>
        <w:jc w:val="center"/>
        <w:rPr>
          <w:rFonts w:ascii="Arial" w:eastAsia="Arial" w:hAnsi="Arial"/>
          <w:b/>
          <w:smallCaps/>
          <w:sz w:val="24"/>
          <w:szCs w:val="24"/>
        </w:rPr>
      </w:pPr>
      <w:r>
        <w:rPr>
          <w:rFonts w:ascii="Arial" w:eastAsia="Arial" w:hAnsi="Arial"/>
          <w:b/>
          <w:smallCaps/>
          <w:sz w:val="24"/>
          <w:szCs w:val="24"/>
        </w:rPr>
        <w:t>PART B: UNITED KINGDOM COMPULSORY INSURANCES</w:t>
      </w:r>
    </w:p>
    <w:p w14:paraId="141E143D" w14:textId="77777777" w:rsidR="00640AA1" w:rsidRDefault="0087499A" w:rsidP="00B322CD">
      <w:pPr>
        <w:spacing w:before="100" w:after="200"/>
        <w:jc w:val="left"/>
        <w:rPr>
          <w:rFonts w:ascii="Arial" w:eastAsia="Arial" w:hAnsi="Arial"/>
          <w:sz w:val="24"/>
          <w:szCs w:val="24"/>
        </w:rPr>
      </w:pPr>
      <w:r>
        <w:rPr>
          <w:rFonts w:ascii="Arial" w:eastAsia="Arial" w:hAnsi="Arial"/>
          <w:sz w:val="24"/>
          <w:szCs w:val="24"/>
        </w:rPr>
        <w:t>The Supplier shall meet its insurance obligations under applicable Law in full, including, United Kingdom employers' liability insurance and motor third party liability insurance.</w:t>
      </w:r>
    </w:p>
    <w:p w14:paraId="60FB1F15" w14:textId="77777777" w:rsidR="00640AA1" w:rsidRDefault="00640AA1" w:rsidP="00B322CD">
      <w:pPr>
        <w:spacing w:before="100" w:after="200"/>
        <w:jc w:val="left"/>
        <w:rPr>
          <w:rFonts w:ascii="Arial" w:eastAsia="Arial" w:hAnsi="Arial"/>
          <w:sz w:val="24"/>
          <w:szCs w:val="24"/>
        </w:rPr>
      </w:pPr>
    </w:p>
    <w:p w14:paraId="1CE447F1" w14:textId="77777777" w:rsidR="00640AA1" w:rsidRDefault="0087499A" w:rsidP="00B322CD">
      <w:pPr>
        <w:spacing w:before="100" w:after="200"/>
        <w:jc w:val="center"/>
        <w:rPr>
          <w:rFonts w:ascii="Arial" w:eastAsia="Arial" w:hAnsi="Arial"/>
          <w:b/>
          <w:smallCaps/>
          <w:sz w:val="24"/>
          <w:szCs w:val="24"/>
        </w:rPr>
      </w:pPr>
      <w:r>
        <w:rPr>
          <w:rFonts w:ascii="Arial" w:eastAsia="Arial" w:hAnsi="Arial"/>
          <w:b/>
          <w:smallCaps/>
          <w:sz w:val="24"/>
          <w:szCs w:val="24"/>
        </w:rPr>
        <w:t>PART C: ADDITIONAL INSURANCES</w:t>
      </w:r>
    </w:p>
    <w:p w14:paraId="7CA89DD2" w14:textId="77777777" w:rsidR="00640AA1" w:rsidRDefault="0087499A" w:rsidP="00B322CD">
      <w:pPr>
        <w:spacing w:before="100" w:after="200"/>
        <w:jc w:val="left"/>
        <w:rPr>
          <w:rFonts w:ascii="Arial" w:eastAsia="Arial" w:hAnsi="Arial"/>
          <w:b/>
          <w:i/>
          <w:sz w:val="24"/>
          <w:szCs w:val="24"/>
          <w:highlight w:val="yellow"/>
        </w:rPr>
      </w:pPr>
      <w:r>
        <w:rPr>
          <w:rFonts w:ascii="Arial" w:eastAsia="Arial" w:hAnsi="Arial"/>
          <w:b/>
          <w:i/>
          <w:sz w:val="24"/>
          <w:szCs w:val="24"/>
          <w:highlight w:val="yellow"/>
        </w:rPr>
        <w:t>[Guidance: You may wish to consider including the following additional required insurances. The Buyer may need to seek professional subject matter insurance advice in this regard. Examples of additional insurance are:</w:t>
      </w:r>
    </w:p>
    <w:tbl>
      <w:tblPr>
        <w:tblStyle w:val="a"/>
        <w:tblW w:w="9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99"/>
      </w:tblGrid>
      <w:tr w:rsidR="00640AA1" w14:paraId="3C50046C" w14:textId="77777777">
        <w:tc>
          <w:tcPr>
            <w:tcW w:w="3964" w:type="dxa"/>
          </w:tcPr>
          <w:p w14:paraId="6BBB871C" w14:textId="77777777" w:rsidR="00640AA1" w:rsidRDefault="0087499A" w:rsidP="00B322CD">
            <w:pPr>
              <w:spacing w:before="100" w:after="200"/>
              <w:rPr>
                <w:sz w:val="24"/>
                <w:szCs w:val="24"/>
                <w:highlight w:val="yellow"/>
              </w:rPr>
            </w:pPr>
            <w:r>
              <w:rPr>
                <w:sz w:val="24"/>
                <w:szCs w:val="24"/>
                <w:highlight w:val="yellow"/>
              </w:rPr>
              <w:t>Professional Indemnity Insurance</w:t>
            </w:r>
          </w:p>
        </w:tc>
        <w:tc>
          <w:tcPr>
            <w:tcW w:w="5099" w:type="dxa"/>
          </w:tcPr>
          <w:p w14:paraId="143B26E6" w14:textId="6CB25225" w:rsidR="00640AA1" w:rsidRDefault="0087499A" w:rsidP="00B322CD">
            <w:pPr>
              <w:spacing w:before="100" w:after="200"/>
              <w:rPr>
                <w:sz w:val="24"/>
                <w:szCs w:val="24"/>
                <w:highlight w:val="yellow"/>
              </w:rPr>
            </w:pPr>
            <w:r>
              <w:rPr>
                <w:sz w:val="24"/>
                <w:szCs w:val="24"/>
                <w:highlight w:val="yellow"/>
              </w:rPr>
              <w:t xml:space="preserve">Where the Buyer requirement includes a potential breach of professional duty by the Supplier in connection with professional advice and /or professional services to be maintained for </w:t>
            </w:r>
            <w:r w:rsidR="007D5ABF">
              <w:rPr>
                <w:sz w:val="24"/>
                <w:szCs w:val="24"/>
                <w:highlight w:val="yellow"/>
              </w:rPr>
              <w:t>six (</w:t>
            </w:r>
            <w:r>
              <w:rPr>
                <w:sz w:val="24"/>
                <w:szCs w:val="24"/>
                <w:highlight w:val="yellow"/>
              </w:rPr>
              <w:t>6</w:t>
            </w:r>
            <w:r w:rsidR="007D5ABF">
              <w:rPr>
                <w:sz w:val="24"/>
                <w:szCs w:val="24"/>
                <w:highlight w:val="yellow"/>
              </w:rPr>
              <w:t>)</w:t>
            </w:r>
            <w:r>
              <w:rPr>
                <w:sz w:val="24"/>
                <w:szCs w:val="24"/>
                <w:highlight w:val="yellow"/>
              </w:rPr>
              <w:t xml:space="preserve"> years after the End Date</w:t>
            </w:r>
          </w:p>
        </w:tc>
      </w:tr>
      <w:tr w:rsidR="00640AA1" w14:paraId="1532F794" w14:textId="77777777">
        <w:tc>
          <w:tcPr>
            <w:tcW w:w="3964" w:type="dxa"/>
          </w:tcPr>
          <w:p w14:paraId="64C665EB" w14:textId="77777777" w:rsidR="00640AA1" w:rsidRDefault="0087499A" w:rsidP="00B322CD">
            <w:pPr>
              <w:spacing w:before="100" w:after="200"/>
              <w:rPr>
                <w:sz w:val="24"/>
                <w:szCs w:val="24"/>
                <w:highlight w:val="yellow"/>
              </w:rPr>
            </w:pPr>
            <w:r>
              <w:rPr>
                <w:sz w:val="24"/>
                <w:szCs w:val="24"/>
                <w:highlight w:val="yellow"/>
              </w:rPr>
              <w:t>Property Damage Insurance / Goods in Transit Insurance</w:t>
            </w:r>
          </w:p>
        </w:tc>
        <w:tc>
          <w:tcPr>
            <w:tcW w:w="5099" w:type="dxa"/>
          </w:tcPr>
          <w:p w14:paraId="2A40DB8A" w14:textId="668FE874" w:rsidR="00640AA1" w:rsidRDefault="0087499A" w:rsidP="00B322CD">
            <w:pPr>
              <w:spacing w:before="100" w:after="200"/>
              <w:rPr>
                <w:sz w:val="24"/>
                <w:szCs w:val="24"/>
                <w:highlight w:val="yellow"/>
              </w:rPr>
            </w:pPr>
            <w:r>
              <w:rPr>
                <w:sz w:val="24"/>
                <w:szCs w:val="24"/>
                <w:highlight w:val="yellow"/>
              </w:rPr>
              <w:t>Where the Buyer requirement necessitates primary perils insurance for relevant physical property (</w:t>
            </w:r>
            <w:proofErr w:type="gramStart"/>
            <w:r>
              <w:rPr>
                <w:sz w:val="24"/>
                <w:szCs w:val="24"/>
                <w:highlight w:val="yellow"/>
              </w:rPr>
              <w:t>e.g.</w:t>
            </w:r>
            <w:proofErr w:type="gramEnd"/>
            <w:r>
              <w:rPr>
                <w:sz w:val="24"/>
                <w:szCs w:val="24"/>
                <w:highlight w:val="yellow"/>
              </w:rPr>
              <w:t xml:space="preserve"> Buyer physical property in the care, custody and control of the Supplier in delivering </w:t>
            </w:r>
            <w:r w:rsidR="00AE7224">
              <w:rPr>
                <w:sz w:val="24"/>
                <w:szCs w:val="24"/>
                <w:highlight w:val="yellow"/>
              </w:rPr>
              <w:t>this Contract</w:t>
            </w:r>
            <w:r>
              <w:rPr>
                <w:sz w:val="24"/>
                <w:szCs w:val="24"/>
                <w:highlight w:val="yellow"/>
              </w:rPr>
              <w:t>).</w:t>
            </w:r>
          </w:p>
        </w:tc>
      </w:tr>
      <w:tr w:rsidR="00640AA1" w14:paraId="5F72F181" w14:textId="77777777">
        <w:tc>
          <w:tcPr>
            <w:tcW w:w="3964" w:type="dxa"/>
          </w:tcPr>
          <w:p w14:paraId="5F50B651" w14:textId="77777777" w:rsidR="00640AA1" w:rsidRDefault="0087499A" w:rsidP="00B322CD">
            <w:pPr>
              <w:spacing w:before="100" w:after="200"/>
              <w:rPr>
                <w:sz w:val="24"/>
                <w:szCs w:val="24"/>
                <w:highlight w:val="yellow"/>
              </w:rPr>
            </w:pPr>
            <w:r>
              <w:rPr>
                <w:sz w:val="24"/>
                <w:szCs w:val="24"/>
                <w:highlight w:val="yellow"/>
              </w:rPr>
              <w:t>Cyber Liability Insurance</w:t>
            </w:r>
          </w:p>
        </w:tc>
        <w:tc>
          <w:tcPr>
            <w:tcW w:w="5099" w:type="dxa"/>
          </w:tcPr>
          <w:p w14:paraId="366F1B31" w14:textId="77777777" w:rsidR="00640AA1" w:rsidRDefault="0087499A" w:rsidP="00B322CD">
            <w:pPr>
              <w:spacing w:before="100" w:after="200"/>
              <w:rPr>
                <w:sz w:val="24"/>
                <w:szCs w:val="24"/>
                <w:highlight w:val="yellow"/>
              </w:rPr>
            </w:pPr>
            <w:r>
              <w:rPr>
                <w:sz w:val="24"/>
                <w:szCs w:val="24"/>
                <w:highlight w:val="yellow"/>
              </w:rPr>
              <w:t>Where the Buyer requirement includes specific cyber risk exposures.</w:t>
            </w:r>
          </w:p>
        </w:tc>
      </w:tr>
      <w:tr w:rsidR="00640AA1" w14:paraId="28E115D9" w14:textId="77777777">
        <w:tc>
          <w:tcPr>
            <w:tcW w:w="3964" w:type="dxa"/>
          </w:tcPr>
          <w:p w14:paraId="57A7BF5F" w14:textId="77777777" w:rsidR="00640AA1" w:rsidRDefault="0087499A" w:rsidP="00B322CD">
            <w:pPr>
              <w:spacing w:before="100" w:after="200"/>
              <w:rPr>
                <w:sz w:val="24"/>
                <w:szCs w:val="24"/>
                <w:highlight w:val="yellow"/>
              </w:rPr>
            </w:pPr>
            <w:r>
              <w:rPr>
                <w:sz w:val="24"/>
                <w:szCs w:val="24"/>
                <w:highlight w:val="yellow"/>
              </w:rPr>
              <w:t>Environmental Liability Insurance or Contractors Pollution Liability Insurance</w:t>
            </w:r>
          </w:p>
        </w:tc>
        <w:tc>
          <w:tcPr>
            <w:tcW w:w="5099" w:type="dxa"/>
          </w:tcPr>
          <w:p w14:paraId="596593B9" w14:textId="77777777" w:rsidR="00640AA1" w:rsidRDefault="0087499A" w:rsidP="00B322CD">
            <w:pPr>
              <w:spacing w:before="100" w:after="200"/>
              <w:rPr>
                <w:sz w:val="24"/>
                <w:szCs w:val="24"/>
                <w:highlight w:val="yellow"/>
              </w:rPr>
            </w:pPr>
            <w:r>
              <w:rPr>
                <w:sz w:val="24"/>
                <w:szCs w:val="24"/>
                <w:highlight w:val="yellow"/>
              </w:rPr>
              <w:t>Where the Buyer requirement includes exposure to significant pollution / contamination risks.</w:t>
            </w:r>
          </w:p>
        </w:tc>
      </w:tr>
    </w:tbl>
    <w:p w14:paraId="5E0FE00D" w14:textId="77777777" w:rsidR="00640AA1" w:rsidRDefault="00640AA1" w:rsidP="00B322CD">
      <w:pPr>
        <w:spacing w:after="0"/>
        <w:jc w:val="left"/>
        <w:rPr>
          <w:rFonts w:ascii="Arial" w:eastAsia="Arial" w:hAnsi="Arial"/>
        </w:rPr>
      </w:pPr>
    </w:p>
    <w:p w14:paraId="599F3867" w14:textId="77777777" w:rsidR="00640AA1" w:rsidRDefault="00640AA1" w:rsidP="00B322CD">
      <w:bookmarkStart w:id="4" w:name="bookmark=id.3znysh7" w:colFirst="0" w:colLast="0"/>
      <w:bookmarkStart w:id="5" w:name="_heading=h.1fob9te" w:colFirst="0" w:colLast="0"/>
      <w:bookmarkEnd w:id="4"/>
      <w:bookmarkEnd w:id="5"/>
    </w:p>
    <w:sectPr w:rsidR="00640AA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EB3CB" w14:textId="77777777" w:rsidR="00563626" w:rsidRDefault="0087499A">
      <w:pPr>
        <w:spacing w:after="0"/>
      </w:pPr>
      <w:r>
        <w:separator/>
      </w:r>
    </w:p>
  </w:endnote>
  <w:endnote w:type="continuationSeparator" w:id="0">
    <w:p w14:paraId="099E1F0F" w14:textId="77777777" w:rsidR="00563626" w:rsidRDefault="008749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altName w:val="MS Mincho"/>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4EA3" w14:textId="77777777" w:rsidR="00766055" w:rsidRDefault="00766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4BA1" w14:textId="6B6FA202" w:rsidR="00640AA1" w:rsidRDefault="00640AA1">
    <w:pPr>
      <w:tabs>
        <w:tab w:val="center" w:pos="4513"/>
        <w:tab w:val="right" w:pos="9026"/>
      </w:tabs>
      <w:spacing w:after="0"/>
      <w:rPr>
        <w:rFonts w:ascii="Arial" w:eastAsia="Arial" w:hAnsi="Arial"/>
        <w:sz w:val="20"/>
        <w:szCs w:val="20"/>
      </w:rPr>
    </w:pPr>
  </w:p>
  <w:p w14:paraId="2930269D" w14:textId="4BCF5152" w:rsidR="00640AA1" w:rsidRDefault="00397CA8" w:rsidP="00397CA8">
    <w:pP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v.</w:t>
    </w:r>
    <w:r w:rsidR="0087499A">
      <w:rPr>
        <w:rFonts w:ascii="Arial" w:eastAsia="Arial" w:hAnsi="Arial"/>
        <w:color w:val="BFBFBF"/>
        <w:sz w:val="20"/>
        <w:szCs w:val="20"/>
      </w:rPr>
      <w:t>1.</w:t>
    </w:r>
    <w:r w:rsidR="00EF2ECD">
      <w:rPr>
        <w:rFonts w:ascii="Arial" w:eastAsia="Arial" w:hAnsi="Arial"/>
        <w:color w:val="BFBFBF"/>
        <w:sz w:val="20"/>
        <w:szCs w:val="20"/>
      </w:rPr>
      <w:t>2</w:t>
    </w:r>
    <w:r w:rsidR="0087499A">
      <w:rPr>
        <w:rFonts w:ascii="Arial" w:eastAsia="Arial" w:hAnsi="Arial"/>
        <w:color w:val="BFBFBF"/>
        <w:sz w:val="20"/>
        <w:szCs w:val="20"/>
      </w:rPr>
      <w:tab/>
    </w:r>
    <w:r w:rsidR="0087499A">
      <w:rPr>
        <w:rFonts w:ascii="Arial" w:eastAsia="Arial" w:hAnsi="Arial"/>
        <w:color w:val="BFBFBF"/>
        <w:sz w:val="20"/>
        <w:szCs w:val="20"/>
      </w:rPr>
      <w:tab/>
      <w:t xml:space="preserve"> </w:t>
    </w:r>
    <w:r w:rsidR="0087499A">
      <w:rPr>
        <w:rFonts w:ascii="Arial" w:eastAsia="Arial" w:hAnsi="Arial"/>
        <w:color w:val="BFBFBF"/>
        <w:sz w:val="20"/>
        <w:szCs w:val="20"/>
      </w:rPr>
      <w:fldChar w:fldCharType="begin"/>
    </w:r>
    <w:r w:rsidR="0087499A">
      <w:rPr>
        <w:rFonts w:ascii="Arial" w:eastAsia="Arial" w:hAnsi="Arial"/>
        <w:color w:val="BFBFBF"/>
        <w:sz w:val="20"/>
        <w:szCs w:val="20"/>
      </w:rPr>
      <w:instrText>PAGE</w:instrText>
    </w:r>
    <w:r w:rsidR="0087499A">
      <w:rPr>
        <w:rFonts w:ascii="Arial" w:eastAsia="Arial" w:hAnsi="Arial"/>
        <w:color w:val="BFBFBF"/>
        <w:sz w:val="20"/>
        <w:szCs w:val="20"/>
      </w:rPr>
      <w:fldChar w:fldCharType="separate"/>
    </w:r>
    <w:r w:rsidR="007C0671">
      <w:rPr>
        <w:rFonts w:ascii="Arial" w:eastAsia="Arial" w:hAnsi="Arial"/>
        <w:noProof/>
        <w:color w:val="BFBFBF"/>
        <w:sz w:val="20"/>
        <w:szCs w:val="20"/>
      </w:rPr>
      <w:t>1</w:t>
    </w:r>
    <w:r w:rsidR="0087499A">
      <w:rPr>
        <w:rFonts w:ascii="Arial" w:eastAsia="Arial" w:hAnsi="Arial"/>
        <w:color w:val="BFBFBF"/>
        <w:sz w:val="20"/>
        <w:szCs w:val="20"/>
      </w:rPr>
      <w:fldChar w:fldCharType="end"/>
    </w:r>
  </w:p>
  <w:p w14:paraId="374621B0" w14:textId="34A72428" w:rsidR="00640AA1" w:rsidRDefault="00640AA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80EF" w14:textId="77777777" w:rsidR="00640AA1" w:rsidRDefault="00640AA1">
    <w:pPr>
      <w:tabs>
        <w:tab w:val="center" w:pos="4513"/>
        <w:tab w:val="right" w:pos="9026"/>
      </w:tabs>
      <w:spacing w:after="0"/>
      <w:rPr>
        <w:rFonts w:ascii="Arial" w:eastAsia="Arial" w:hAnsi="Arial"/>
        <w:color w:val="BFBFBF"/>
        <w:sz w:val="20"/>
        <w:szCs w:val="20"/>
      </w:rPr>
    </w:pPr>
  </w:p>
  <w:p w14:paraId="40624351" w14:textId="77777777" w:rsidR="00640AA1" w:rsidRDefault="0087499A">
    <w:pP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t xml:space="preserve">                                           </w:t>
    </w:r>
  </w:p>
  <w:p w14:paraId="14BD42E2" w14:textId="77777777" w:rsidR="00640AA1" w:rsidRDefault="0087499A">
    <w:pPr>
      <w:pBdr>
        <w:top w:val="nil"/>
        <w:left w:val="nil"/>
        <w:bottom w:val="nil"/>
        <w:right w:val="nil"/>
        <w:between w:val="nil"/>
      </w:pBdr>
      <w:tabs>
        <w:tab w:val="center" w:pos="4513"/>
        <w:tab w:val="right" w:pos="9026"/>
      </w:tabs>
      <w:spacing w:after="0"/>
      <w:jc w:val="left"/>
      <w:rPr>
        <w:rFonts w:ascii="Arial" w:eastAsia="Arial" w:hAnsi="Arial"/>
        <w:color w:val="BFBFBF"/>
        <w:sz w:val="20"/>
        <w:szCs w:val="20"/>
      </w:rPr>
    </w:pPr>
    <w:r>
      <w:rPr>
        <w:rFonts w:ascii="Arial" w:eastAsia="Arial" w:hAnsi="Arial"/>
        <w:color w:val="BFBFBF"/>
        <w:sz w:val="20"/>
        <w:szCs w:val="20"/>
      </w:rPr>
      <w:tab/>
    </w:r>
    <w:r>
      <w:rPr>
        <w:rFonts w:ascii="Arial" w:eastAsia="Arial" w:hAnsi="Arial"/>
        <w:color w:val="BFBFBF"/>
        <w:sz w:val="20"/>
        <w:szCs w:val="20"/>
      </w:rPr>
      <w:tab/>
      <w:t xml:space="preserve"> </w:t>
    </w:r>
    <w:r>
      <w:rPr>
        <w:rFonts w:ascii="Arial" w:eastAsia="Arial" w:hAnsi="Arial"/>
        <w:color w:val="BFBFBF"/>
        <w:sz w:val="20"/>
        <w:szCs w:val="20"/>
      </w:rPr>
      <w:fldChar w:fldCharType="begin"/>
    </w:r>
    <w:r>
      <w:rPr>
        <w:rFonts w:ascii="Arial" w:eastAsia="Arial" w:hAnsi="Arial"/>
        <w:color w:val="BFBFBF"/>
        <w:sz w:val="20"/>
        <w:szCs w:val="20"/>
      </w:rPr>
      <w:instrText>PAGE</w:instrText>
    </w:r>
    <w:r w:rsidR="00926B8A">
      <w:rPr>
        <w:rFonts w:ascii="Arial" w:eastAsia="Arial" w:hAnsi="Arial"/>
        <w:color w:val="BFBFBF"/>
        <w:sz w:val="20"/>
        <w:szCs w:val="20"/>
      </w:rPr>
      <w:fldChar w:fldCharType="separate"/>
    </w:r>
    <w:r>
      <w:rPr>
        <w:rFonts w:ascii="Arial" w:eastAsia="Arial" w:hAnsi="Arial"/>
        <w:color w:val="BFBFBF"/>
        <w:sz w:val="20"/>
        <w:szCs w:val="20"/>
      </w:rPr>
      <w:fldChar w:fldCharType="end"/>
    </w:r>
  </w:p>
  <w:p w14:paraId="3BBBA461" w14:textId="77777777" w:rsidR="00640AA1" w:rsidRDefault="0087499A">
    <w:pPr>
      <w:spacing w:after="0"/>
      <w:jc w:val="left"/>
      <w:rPr>
        <w:color w:val="BFBFBF"/>
      </w:rPr>
    </w:pP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rFonts w:ascii="Arial" w:eastAsia="Arial" w:hAnsi="Arial"/>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FEDC" w14:textId="77777777" w:rsidR="00563626" w:rsidRDefault="0087499A">
      <w:pPr>
        <w:spacing w:after="0"/>
      </w:pPr>
      <w:r>
        <w:separator/>
      </w:r>
    </w:p>
  </w:footnote>
  <w:footnote w:type="continuationSeparator" w:id="0">
    <w:p w14:paraId="237CE0EA" w14:textId="77777777" w:rsidR="00563626" w:rsidRDefault="008749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1616" w14:textId="77777777" w:rsidR="00766055" w:rsidRDefault="00766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61B5" w14:textId="3A159315" w:rsidR="00F7439F" w:rsidRPr="00397CA8" w:rsidRDefault="0A2E0D82" w:rsidP="0A2E0D82">
    <w:pPr>
      <w:pBdr>
        <w:top w:val="nil"/>
        <w:left w:val="nil"/>
        <w:bottom w:val="nil"/>
        <w:right w:val="nil"/>
        <w:between w:val="nil"/>
      </w:pBdr>
      <w:tabs>
        <w:tab w:val="center" w:pos="4513"/>
        <w:tab w:val="right" w:pos="9026"/>
      </w:tabs>
      <w:spacing w:after="0"/>
      <w:ind w:left="6480"/>
    </w:pPr>
    <w:r>
      <w:rPr>
        <w:noProof/>
      </w:rPr>
      <w:drawing>
        <wp:inline distT="0" distB="0" distL="0" distR="0" wp14:anchorId="7F668ED6" wp14:editId="5C40BAC9">
          <wp:extent cx="1622425" cy="533400"/>
          <wp:effectExtent l="0" t="0" r="0" b="0"/>
          <wp:docPr id="359341541" name="Picture 35934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22425" cy="533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EDFF" w14:textId="77777777" w:rsidR="00640AA1" w:rsidRDefault="0087499A">
    <w:pPr>
      <w:pBdr>
        <w:top w:val="nil"/>
        <w:left w:val="nil"/>
        <w:bottom w:val="nil"/>
        <w:right w:val="nil"/>
        <w:between w:val="nil"/>
      </w:pBdr>
      <w:tabs>
        <w:tab w:val="center" w:pos="4513"/>
        <w:tab w:val="right" w:pos="9026"/>
      </w:tabs>
      <w:spacing w:after="0"/>
      <w:rPr>
        <w:rFonts w:ascii="Arial" w:eastAsia="Arial" w:hAnsi="Arial"/>
        <w:b/>
        <w:color w:val="BFBFBF"/>
        <w:sz w:val="20"/>
        <w:szCs w:val="20"/>
      </w:rPr>
    </w:pPr>
    <w:r>
      <w:rPr>
        <w:rFonts w:ascii="Arial" w:eastAsia="Arial" w:hAnsi="Arial"/>
        <w:b/>
        <w:color w:val="BFBFBF"/>
        <w:sz w:val="20"/>
        <w:szCs w:val="20"/>
      </w:rPr>
      <w:t>Joint Schedule 3 (Insurance Requirements)</w:t>
    </w:r>
  </w:p>
  <w:p w14:paraId="1D54024A" w14:textId="77777777" w:rsidR="00640AA1" w:rsidRDefault="0087499A">
    <w:pPr>
      <w:pBdr>
        <w:top w:val="nil"/>
        <w:left w:val="nil"/>
        <w:bottom w:val="nil"/>
        <w:right w:val="nil"/>
        <w:between w:val="nil"/>
      </w:pBdr>
      <w:tabs>
        <w:tab w:val="center" w:pos="4513"/>
        <w:tab w:val="right" w:pos="9026"/>
      </w:tabs>
      <w:spacing w:after="0"/>
      <w:rPr>
        <w:rFonts w:ascii="Arial" w:eastAsia="Arial" w:hAnsi="Arial"/>
        <w:color w:val="BFBFBF"/>
        <w:sz w:val="20"/>
        <w:szCs w:val="20"/>
      </w:rPr>
    </w:pPr>
    <w:r>
      <w:rPr>
        <w:rFonts w:ascii="Arial" w:eastAsia="Arial" w:hAnsi="Arial"/>
        <w:color w:val="BFBFBF"/>
        <w:sz w:val="20"/>
        <w:szCs w:val="20"/>
      </w:rPr>
      <w:t xml:space="preserve">Crown Copyright </w:t>
    </w:r>
  </w:p>
  <w:p w14:paraId="3AE8A2A1" w14:textId="77777777" w:rsidR="00640AA1" w:rsidRDefault="00640AA1">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169A"/>
    <w:multiLevelType w:val="multilevel"/>
    <w:tmpl w:val="AA4831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DEE1794"/>
    <w:multiLevelType w:val="multilevel"/>
    <w:tmpl w:val="81A4E5A8"/>
    <w:lvl w:ilvl="0">
      <w:start w:val="1"/>
      <w:numFmt w:val="decimal"/>
      <w:pStyle w:val="AnnexHeading"/>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Arial" w:eastAsia="Calibri" w:hAnsi="Arial" w:cs="Arial" w:hint="default"/>
        <w:b w:val="0"/>
        <w:i w:val="0"/>
        <w:smallCaps w:val="0"/>
        <w:strike w:val="0"/>
        <w:color w:val="000000"/>
        <w:sz w:val="24"/>
        <w:szCs w:val="24"/>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lvl>
    <w:lvl w:ilvl="7">
      <w:start w:val="1"/>
      <w:numFmt w:val="decimal"/>
      <w:lvlText w:val="%1.%2.%3.%4.%5.%6.%7.%8"/>
      <w:lvlJc w:val="left"/>
      <w:pPr>
        <w:ind w:left="1980" w:hanging="1440"/>
      </w:pPr>
    </w:lvl>
    <w:lvl w:ilvl="8">
      <w:start w:val="1"/>
      <w:numFmt w:val="decimal"/>
      <w:lvlText w:val="%1.%2.%3.%4.%5.%6.%7.%8.%9"/>
      <w:lvlJc w:val="left"/>
      <w:pPr>
        <w:ind w:left="2340" w:hanging="1800"/>
      </w:pPr>
    </w:lvl>
  </w:abstractNum>
  <w:abstractNum w:abstractNumId="2" w15:restartNumberingAfterBreak="0">
    <w:nsid w:val="425D1FC1"/>
    <w:multiLevelType w:val="multilevel"/>
    <w:tmpl w:val="E16EBF32"/>
    <w:lvl w:ilvl="0">
      <w:start w:val="1"/>
      <w:numFmt w:val="decimal"/>
      <w:pStyle w:val="11table"/>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upperLetter"/>
      <w:lvlText w:val="(%6)"/>
      <w:lvlJc w:val="left"/>
      <w:pPr>
        <w:ind w:left="324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3" w15:restartNumberingAfterBreak="0">
    <w:nsid w:val="474E3844"/>
    <w:multiLevelType w:val="multilevel"/>
    <w:tmpl w:val="96A25CCC"/>
    <w:lvl w:ilvl="0">
      <w:start w:val="1"/>
      <w:numFmt w:val="decimal"/>
      <w:pStyle w:val="AppendixText1"/>
      <w:lvlText w:val="%1."/>
      <w:lvlJc w:val="left"/>
      <w:pPr>
        <w:tabs>
          <w:tab w:val="num" w:pos="720"/>
        </w:tabs>
        <w:ind w:left="720" w:hanging="720"/>
      </w:pPr>
    </w:lvl>
    <w:lvl w:ilvl="1">
      <w:start w:val="1"/>
      <w:numFmt w:val="decimal"/>
      <w:pStyle w:val="AppendixText2"/>
      <w:lvlText w:val="%2."/>
      <w:lvlJc w:val="left"/>
      <w:pPr>
        <w:tabs>
          <w:tab w:val="num" w:pos="1440"/>
        </w:tabs>
        <w:ind w:left="1440" w:hanging="720"/>
      </w:pPr>
    </w:lvl>
    <w:lvl w:ilvl="2">
      <w:start w:val="1"/>
      <w:numFmt w:val="decimal"/>
      <w:pStyle w:val="AppendixText3"/>
      <w:lvlText w:val="%3."/>
      <w:lvlJc w:val="left"/>
      <w:pPr>
        <w:tabs>
          <w:tab w:val="num" w:pos="2160"/>
        </w:tabs>
        <w:ind w:left="2160" w:hanging="720"/>
      </w:pPr>
    </w:lvl>
    <w:lvl w:ilvl="3">
      <w:start w:val="1"/>
      <w:numFmt w:val="decimal"/>
      <w:pStyle w:val="AppendixText4"/>
      <w:lvlText w:val="%4."/>
      <w:lvlJc w:val="left"/>
      <w:pPr>
        <w:tabs>
          <w:tab w:val="num" w:pos="2880"/>
        </w:tabs>
        <w:ind w:left="2880" w:hanging="720"/>
      </w:pPr>
    </w:lvl>
    <w:lvl w:ilvl="4">
      <w:start w:val="1"/>
      <w:numFmt w:val="decimal"/>
      <w:pStyle w:val="AppendixText5"/>
      <w:lvlText w:val="%5."/>
      <w:lvlJc w:val="left"/>
      <w:pPr>
        <w:tabs>
          <w:tab w:val="num" w:pos="3600"/>
        </w:tabs>
        <w:ind w:left="3600" w:hanging="720"/>
      </w:pPr>
    </w:lvl>
    <w:lvl w:ilvl="5">
      <w:start w:val="1"/>
      <w:numFmt w:val="decimal"/>
      <w:pStyle w:val="AppendixTex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E711DD0"/>
    <w:multiLevelType w:val="multilevel"/>
    <w:tmpl w:val="BBA8AE22"/>
    <w:lvl w:ilvl="0">
      <w:start w:val="1"/>
      <w:numFmt w:val="decimal"/>
      <w:pStyle w:val="GPSL1CLAUSEHEADING"/>
      <w:lvlText w:val="Annex %1"/>
      <w:lvlJc w:val="left"/>
      <w:pPr>
        <w:ind w:left="0" w:firstLine="0"/>
      </w:pPr>
      <w:rPr>
        <w:b w:val="0"/>
        <w:i w:val="0"/>
        <w:smallCaps w:val="0"/>
        <w:strike w:val="0"/>
        <w:u w:val="none"/>
        <w:vertAlign w:val="baseline"/>
      </w:rPr>
    </w:lvl>
    <w:lvl w:ilvl="1">
      <w:start w:val="1"/>
      <w:numFmt w:val="decimal"/>
      <w:pStyle w:val="GPSL2NumberedBoldHeading"/>
      <w:lvlText w:val=""/>
      <w:lvlJc w:val="left"/>
      <w:pPr>
        <w:ind w:left="0" w:firstLine="0"/>
      </w:pPr>
    </w:lvl>
    <w:lvl w:ilvl="2">
      <w:start w:val="1"/>
      <w:numFmt w:val="decimal"/>
      <w:pStyle w:val="GPSL3numberedclause"/>
      <w:lvlText w:val=""/>
      <w:lvlJc w:val="left"/>
      <w:pPr>
        <w:ind w:left="0" w:firstLine="0"/>
      </w:pPr>
    </w:lvl>
    <w:lvl w:ilvl="3">
      <w:start w:val="1"/>
      <w:numFmt w:val="decimal"/>
      <w:pStyle w:val="GPSL4numberedclause"/>
      <w:lvlText w:val=""/>
      <w:lvlJc w:val="left"/>
      <w:pPr>
        <w:ind w:left="0" w:firstLine="0"/>
      </w:pPr>
    </w:lvl>
    <w:lvl w:ilvl="4">
      <w:start w:val="1"/>
      <w:numFmt w:val="decimal"/>
      <w:pStyle w:val="GPSL5numberedclause"/>
      <w:lvlText w:val=""/>
      <w:lvlJc w:val="left"/>
      <w:pPr>
        <w:ind w:left="0" w:firstLine="0"/>
      </w:pPr>
    </w:lvl>
    <w:lvl w:ilvl="5">
      <w:start w:val="1"/>
      <w:numFmt w:val="decimal"/>
      <w:pStyle w:val="GPSL6numbered"/>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45305229">
    <w:abstractNumId w:val="4"/>
  </w:num>
  <w:num w:numId="2" w16cid:durableId="1687637389">
    <w:abstractNumId w:val="0"/>
  </w:num>
  <w:num w:numId="3" w16cid:durableId="241523694">
    <w:abstractNumId w:val="2"/>
  </w:num>
  <w:num w:numId="4" w16cid:durableId="942804506">
    <w:abstractNumId w:val="1"/>
  </w:num>
  <w:num w:numId="5" w16cid:durableId="1182011810">
    <w:abstractNumId w:val="3"/>
  </w:num>
  <w:num w:numId="6" w16cid:durableId="9150905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398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9263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MORANTJ|24 July 2023 09:50:36" w:val="V2 Accept all revs and amend. NEW VERSION"/>
    <w:docVar w:name="gemDN2|GAYLEJ|25 July 2023 20:42:09" w:val="V3 - Amend TRK NV"/>
    <w:docVar w:name="gemDocNotesCount" w:val="2"/>
  </w:docVars>
  <w:rsids>
    <w:rsidRoot w:val="00640AA1"/>
    <w:rsid w:val="0008191A"/>
    <w:rsid w:val="000E2E53"/>
    <w:rsid w:val="00157425"/>
    <w:rsid w:val="00326640"/>
    <w:rsid w:val="00397CA8"/>
    <w:rsid w:val="003F54A7"/>
    <w:rsid w:val="00563626"/>
    <w:rsid w:val="005C3754"/>
    <w:rsid w:val="005E5F30"/>
    <w:rsid w:val="00640AA1"/>
    <w:rsid w:val="00752918"/>
    <w:rsid w:val="00766055"/>
    <w:rsid w:val="007C0671"/>
    <w:rsid w:val="007D5ABF"/>
    <w:rsid w:val="0087499A"/>
    <w:rsid w:val="00926B8A"/>
    <w:rsid w:val="009F5A31"/>
    <w:rsid w:val="00AE7224"/>
    <w:rsid w:val="00B322CD"/>
    <w:rsid w:val="00DE27E5"/>
    <w:rsid w:val="00E32DB7"/>
    <w:rsid w:val="00EF2ECD"/>
    <w:rsid w:val="00F7439F"/>
    <w:rsid w:val="0A2E0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1045AB"/>
  <w15:docId w15:val="{458F2DD9-C56A-4286-A0AD-8F633FD8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clear" w:pos="142"/>
      </w:tabs>
      <w:ind w:left="360"/>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59"/>
    <w:pPr>
      <w:spacing w:after="0"/>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customStyle="1" w:styleId="11table">
    <w:name w:val="1.1 table"/>
    <w:basedOn w:val="Normal"/>
    <w:qFormat/>
    <w:pPr>
      <w:numPr>
        <w:numId w:val="3"/>
      </w:numPr>
      <w:overflowPunct/>
      <w:autoSpaceDE/>
      <w:adjustRightInd/>
      <w:spacing w:after="0"/>
      <w:jc w:val="left"/>
      <w:textAlignment w:val="auto"/>
    </w:pPr>
    <w:rPr>
      <w:rFonts w:eastAsia="STZhongsong" w:cs="Times New Roman"/>
      <w:b/>
      <w:lang w:eastAsia="zh-CN"/>
    </w:rPr>
  </w:style>
  <w:style w:type="numbering" w:customStyle="1" w:styleId="LFO9">
    <w:name w:val="LFO9"/>
    <w:basedOn w:val="NoList"/>
  </w:style>
  <w:style w:type="paragraph" w:styleId="Revision">
    <w:name w:val="Revision"/>
    <w:hidden/>
    <w:uiPriority w:val="99"/>
    <w:semiHidden/>
    <w:pPr>
      <w:spacing w:after="0"/>
    </w:pPr>
    <w:rPr>
      <w:rFonts w:eastAsia="Times New Roman"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nnexHeading">
    <w:name w:val="Annex Heading"/>
    <w:basedOn w:val="Normal"/>
    <w:next w:val="Normal"/>
    <w:rsid w:val="000A68B8"/>
    <w:pPr>
      <w:numPr>
        <w:numId w:val="4"/>
      </w:numPr>
      <w:overflowPunct/>
      <w:autoSpaceDE/>
      <w:autoSpaceDN/>
      <w:adjustRightInd/>
      <w:spacing w:before="100" w:after="300"/>
      <w:jc w:val="center"/>
      <w:textAlignment w:val="auto"/>
    </w:pPr>
    <w:rPr>
      <w:rFonts w:ascii="Arial Bold" w:hAnsi="Arial Bold" w:cs="Times New Roman"/>
      <w:b/>
      <w:caps/>
      <w:sz w:val="24"/>
      <w:szCs w:val="24"/>
    </w:rPr>
  </w:style>
  <w:style w:type="paragraph" w:customStyle="1" w:styleId="AppendixText1">
    <w:name w:val="Appendix Text 1"/>
    <w:basedOn w:val="Normal"/>
    <w:next w:val="Normal"/>
    <w:rsid w:val="000A68B8"/>
    <w:pPr>
      <w:numPr>
        <w:numId w:val="5"/>
      </w:numPr>
      <w:overflowPunct/>
      <w:autoSpaceDE/>
      <w:autoSpaceDN/>
      <w:adjustRightInd/>
      <w:spacing w:before="100" w:after="200"/>
      <w:jc w:val="left"/>
      <w:textAlignment w:val="auto"/>
    </w:pPr>
    <w:rPr>
      <w:rFonts w:ascii="Arial" w:hAnsi="Arial" w:cs="Times New Roman"/>
      <w:b/>
      <w:sz w:val="24"/>
      <w:szCs w:val="24"/>
    </w:rPr>
  </w:style>
  <w:style w:type="paragraph" w:customStyle="1" w:styleId="AppendixText2">
    <w:name w:val="Appendix Text 2"/>
    <w:basedOn w:val="AppendixText1"/>
    <w:next w:val="Normal"/>
    <w:rsid w:val="000A68B8"/>
    <w:pPr>
      <w:numPr>
        <w:ilvl w:val="1"/>
      </w:numPr>
    </w:pPr>
    <w:rPr>
      <w:b w:val="0"/>
    </w:rPr>
  </w:style>
  <w:style w:type="paragraph" w:customStyle="1" w:styleId="AppendixText3">
    <w:name w:val="Appendix Text 3"/>
    <w:basedOn w:val="Normal"/>
    <w:next w:val="Normal"/>
    <w:rsid w:val="000A68B8"/>
    <w:pPr>
      <w:numPr>
        <w:ilvl w:val="2"/>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4">
    <w:name w:val="Appendix Text 4"/>
    <w:basedOn w:val="Normal"/>
    <w:next w:val="Normal"/>
    <w:rsid w:val="000A68B8"/>
    <w:pPr>
      <w:numPr>
        <w:ilvl w:val="3"/>
        <w:numId w:val="5"/>
      </w:numPr>
      <w:tabs>
        <w:tab w:val="left" w:pos="720"/>
        <w:tab w:val="left" w:pos="1803"/>
      </w:tabs>
      <w:overflowPunct/>
      <w:autoSpaceDE/>
      <w:autoSpaceDN/>
      <w:adjustRightInd/>
      <w:spacing w:before="100" w:after="200"/>
      <w:jc w:val="left"/>
      <w:textAlignment w:val="auto"/>
    </w:pPr>
    <w:rPr>
      <w:rFonts w:ascii="Arial" w:hAnsi="Arial" w:cs="Times New Roman"/>
      <w:sz w:val="24"/>
      <w:szCs w:val="24"/>
    </w:rPr>
  </w:style>
  <w:style w:type="paragraph" w:customStyle="1" w:styleId="AppendixText5">
    <w:name w:val="Appendix Text 5"/>
    <w:basedOn w:val="Normal"/>
    <w:next w:val="Normal"/>
    <w:rsid w:val="000A68B8"/>
    <w:pPr>
      <w:numPr>
        <w:ilvl w:val="4"/>
        <w:numId w:val="5"/>
      </w:numPr>
      <w:tabs>
        <w:tab w:val="left" w:pos="720"/>
        <w:tab w:val="left" w:pos="2523"/>
      </w:tabs>
      <w:overflowPunct/>
      <w:autoSpaceDE/>
      <w:autoSpaceDN/>
      <w:adjustRightInd/>
      <w:spacing w:before="100" w:after="200"/>
      <w:jc w:val="left"/>
      <w:textAlignment w:val="auto"/>
    </w:pPr>
    <w:rPr>
      <w:rFonts w:ascii="Arial" w:hAnsi="Arial" w:cs="Times New Roman"/>
      <w:sz w:val="24"/>
      <w:szCs w:val="24"/>
    </w:rPr>
  </w:style>
  <w:style w:type="paragraph" w:customStyle="1" w:styleId="PartHeading">
    <w:name w:val="Part Heading"/>
    <w:basedOn w:val="Normal"/>
    <w:next w:val="Normal"/>
    <w:rsid w:val="000A68B8"/>
    <w:pPr>
      <w:tabs>
        <w:tab w:val="num" w:pos="720"/>
      </w:tabs>
      <w:overflowPunct/>
      <w:autoSpaceDE/>
      <w:autoSpaceDN/>
      <w:adjustRightInd/>
      <w:spacing w:before="100" w:after="200"/>
      <w:ind w:left="720" w:hanging="720"/>
      <w:jc w:val="center"/>
      <w:textAlignment w:val="auto"/>
    </w:pPr>
    <w:rPr>
      <w:rFonts w:ascii="Arial Bold" w:hAnsi="Arial Bold" w:cs="Times New Roman"/>
      <w:b/>
      <w:caps/>
      <w:sz w:val="24"/>
      <w:szCs w:val="24"/>
    </w:rPr>
  </w:style>
  <w:style w:type="paragraph" w:customStyle="1" w:styleId="AnnextoPart">
    <w:name w:val="Annex to Part"/>
    <w:basedOn w:val="PartHeading"/>
    <w:rsid w:val="000A68B8"/>
    <w:pPr>
      <w:numPr>
        <w:ilvl w:val="1"/>
      </w:numPr>
      <w:tabs>
        <w:tab w:val="num" w:pos="720"/>
      </w:tabs>
      <w:ind w:left="720" w:hanging="720"/>
    </w:pPr>
    <w:rPr>
      <w:caps w:val="0"/>
    </w:rPr>
  </w:style>
  <w:style w:type="paragraph" w:customStyle="1" w:styleId="AppendixText6">
    <w:name w:val="Appendix Text 6"/>
    <w:basedOn w:val="AppendixText5"/>
    <w:rsid w:val="000A68B8"/>
    <w:pPr>
      <w:numPr>
        <w:ilvl w:val="5"/>
      </w:numPr>
    </w:pPr>
  </w:style>
  <w:style w:type="table" w:customStyle="1" w:styleId="TableGrid1">
    <w:name w:val="Table Grid1"/>
    <w:basedOn w:val="TableNormal"/>
    <w:next w:val="TableGrid"/>
    <w:uiPriority w:val="59"/>
    <w:rsid w:val="000A68B8"/>
    <w:pPr>
      <w:spacing w:after="0"/>
      <w:jc w:val="left"/>
    </w:pPr>
    <w:rPr>
      <w:rFonts w:ascii="Arial" w:eastAsia="Times New Roman" w:hAnsi="Arial"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1BD"/>
    <w:pPr>
      <w:ind w:left="720"/>
      <w:contextualSpacing/>
    </w:pPr>
  </w:style>
  <w:style w:type="character" w:styleId="Hyperlink">
    <w:name w:val="Hyperlink"/>
    <w:basedOn w:val="DefaultParagraphFont"/>
    <w:uiPriority w:val="99"/>
    <w:unhideWhenUsed/>
    <w:rsid w:val="007172FD"/>
    <w:rPr>
      <w:color w:val="0000FF" w:themeColor="hyperlink"/>
      <w:u w:val="single"/>
    </w:rPr>
  </w:style>
  <w:style w:type="character" w:styleId="UnresolvedMention">
    <w:name w:val="Unresolved Mention"/>
    <w:basedOn w:val="DefaultParagraphFont"/>
    <w:uiPriority w:val="99"/>
    <w:semiHidden/>
    <w:unhideWhenUsed/>
    <w:rsid w:val="007172FD"/>
    <w:rPr>
      <w:color w:val="605E5C"/>
      <w:shd w:val="clear" w:color="auto" w:fill="E1DFDD"/>
    </w:rPr>
  </w:style>
  <w:style w:type="paragraph" w:customStyle="1" w:styleId="ScheduleText1">
    <w:name w:val="Schedule Text 1"/>
    <w:basedOn w:val="Normal"/>
    <w:next w:val="Normal"/>
    <w:rsid w:val="00FF2902"/>
    <w:pPr>
      <w:tabs>
        <w:tab w:val="num" w:pos="720"/>
      </w:tabs>
      <w:overflowPunct/>
      <w:autoSpaceDE/>
      <w:autoSpaceDN/>
      <w:adjustRightInd/>
      <w:spacing w:before="100" w:after="200"/>
      <w:ind w:left="720" w:hanging="720"/>
      <w:jc w:val="left"/>
      <w:textAlignment w:val="auto"/>
    </w:pPr>
    <w:rPr>
      <w:rFonts w:ascii="Arial" w:hAnsi="Arial" w:cs="Times New Roman"/>
      <w:b/>
      <w:sz w:val="24"/>
      <w:szCs w:val="24"/>
    </w:rPr>
  </w:style>
  <w:style w:type="paragraph" w:customStyle="1" w:styleId="ScheduleText2">
    <w:name w:val="Schedule Text 2"/>
    <w:basedOn w:val="ScheduleText1"/>
    <w:next w:val="Normal"/>
    <w:rsid w:val="00FF2902"/>
    <w:pPr>
      <w:numPr>
        <w:ilvl w:val="1"/>
      </w:numPr>
      <w:tabs>
        <w:tab w:val="num" w:pos="720"/>
      </w:tabs>
      <w:ind w:left="720" w:hanging="720"/>
    </w:pPr>
    <w:rPr>
      <w:b w:val="0"/>
    </w:rPr>
  </w:style>
  <w:style w:type="paragraph" w:customStyle="1" w:styleId="ScheduleText3">
    <w:name w:val="Schedule Text 3"/>
    <w:basedOn w:val="Normal"/>
    <w:next w:val="Normal"/>
    <w:rsid w:val="00FF2902"/>
    <w:pPr>
      <w:tabs>
        <w:tab w:val="left" w:pos="720"/>
        <w:tab w:val="left" w:pos="1803"/>
        <w:tab w:val="num" w:pos="2160"/>
      </w:tabs>
      <w:overflowPunct/>
      <w:autoSpaceDE/>
      <w:autoSpaceDN/>
      <w:adjustRightInd/>
      <w:spacing w:before="100" w:after="200"/>
      <w:ind w:left="2160" w:hanging="720"/>
      <w:jc w:val="left"/>
      <w:textAlignment w:val="auto"/>
    </w:pPr>
    <w:rPr>
      <w:rFonts w:ascii="Arial" w:hAnsi="Arial" w:cs="Times New Roman"/>
      <w:sz w:val="24"/>
      <w:szCs w:val="24"/>
    </w:rPr>
  </w:style>
  <w:style w:type="paragraph" w:customStyle="1" w:styleId="ScheduleText4">
    <w:name w:val="Schedule Text 4"/>
    <w:basedOn w:val="Normal"/>
    <w:next w:val="Normal"/>
    <w:rsid w:val="00FF2902"/>
    <w:pPr>
      <w:tabs>
        <w:tab w:val="left" w:pos="720"/>
        <w:tab w:val="left" w:pos="1803"/>
        <w:tab w:val="num" w:pos="2880"/>
      </w:tabs>
      <w:overflowPunct/>
      <w:autoSpaceDE/>
      <w:autoSpaceDN/>
      <w:adjustRightInd/>
      <w:spacing w:before="100" w:after="200"/>
      <w:ind w:left="2880" w:hanging="720"/>
      <w:jc w:val="left"/>
      <w:textAlignment w:val="auto"/>
    </w:pPr>
    <w:rPr>
      <w:rFonts w:ascii="Arial" w:hAnsi="Arial" w:cs="Times New Roman"/>
      <w:sz w:val="24"/>
      <w:szCs w:val="24"/>
    </w:rPr>
  </w:style>
  <w:style w:type="paragraph" w:customStyle="1" w:styleId="ScheduleText5">
    <w:name w:val="Schedule Text 5"/>
    <w:basedOn w:val="Normal"/>
    <w:next w:val="Normal"/>
    <w:rsid w:val="00FF2902"/>
    <w:pPr>
      <w:tabs>
        <w:tab w:val="left" w:pos="720"/>
        <w:tab w:val="left" w:pos="2523"/>
        <w:tab w:val="num" w:pos="3600"/>
      </w:tabs>
      <w:overflowPunct/>
      <w:autoSpaceDE/>
      <w:autoSpaceDN/>
      <w:adjustRightInd/>
      <w:spacing w:before="100" w:after="200"/>
      <w:ind w:left="3600" w:hanging="720"/>
      <w:jc w:val="left"/>
      <w:textAlignment w:val="auto"/>
    </w:pPr>
    <w:rPr>
      <w:rFonts w:ascii="Arial" w:hAnsi="Arial" w:cs="Times New Roman"/>
      <w:sz w:val="24"/>
      <w:szCs w:val="24"/>
    </w:rPr>
  </w:style>
  <w:style w:type="paragraph" w:customStyle="1" w:styleId="ScheduleText6">
    <w:name w:val="Schedule Text 6"/>
    <w:basedOn w:val="ScheduleText5"/>
    <w:rsid w:val="00FF2902"/>
    <w:pPr>
      <w:numPr>
        <w:ilvl w:val="5"/>
      </w:numPr>
      <w:tabs>
        <w:tab w:val="num" w:pos="3600"/>
      </w:tabs>
      <w:ind w:left="3600" w:hanging="720"/>
    </w:pPr>
  </w:style>
  <w:style w:type="paragraph" w:customStyle="1" w:styleId="ScheduleText7">
    <w:name w:val="Schedule Text 7"/>
    <w:basedOn w:val="ScheduleText6"/>
    <w:rsid w:val="00FF2902"/>
    <w:pPr>
      <w:numPr>
        <w:ilvl w:val="6"/>
      </w:numPr>
      <w:tabs>
        <w:tab w:val="num" w:pos="3600"/>
      </w:tabs>
      <w:ind w:left="3600" w:hanging="720"/>
    </w:pPr>
  </w:style>
  <w:style w:type="table" w:customStyle="1" w:styleId="a">
    <w:basedOn w:val="TableNormal"/>
    <w:pPr>
      <w:spacing w:after="0"/>
      <w:jc w:val="left"/>
    </w:pPr>
    <w:rPr>
      <w:rFonts w:ascii="Arial" w:eastAsia="Arial" w:hAnsi="Arial" w:cs="Arial"/>
      <w:color w:val="000000"/>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067778/MSC-Guidance-v2.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MSd77NNc2V2OKhWLNrjWTOq1tw==">CgMxLjAaGgoBMBIVChMIBCoPCgtBQUFBMTV5dW9WaxABGhoKATESFQoTCAQqDwoLQUFBQTE1eXVvVmsQAhoaCgEyEhUKEwgEKg8KC0FBQUEwdWlCVFhFEAEaGgoBMxIVChMIBCoPCgtBQUFBMHVpQlRYRRACGhoKATQSFQoTCAQqDwoLQUFBQW9VSjMxTUEQAhoaCgE1EhUKEwgEKg8KC0FBQUFvVUozMU1BEAEaGgoBNhIVChMIBCoPCgtBQUFBb1VKMzFNQRABGhoKATcSFQoTCAQqDwoLQUFBQW9VSjMxTUEQARoaCgE4EhUKEwgEKg8KC0FBQUExQ3dXakdNEAIaRAoBORI/ChMIBCoPCgtBQUFBMUN3V2pHSRAEChMIBCoPCgtBQUFBb1VKMzFNQRABChMIBCoPCgtBQUFBMUN3V2pHTRACGhsKAjEwEhUKEwgEKg8KC0FBQUExQ3dXakdJEAQaGwoCMTESFQoTCAQqDwoLQUFBQTFDd1dqR1EQARowCgIxMhIqChMIBCoPCgtBQUFBMUN3V2pHSRAEChMIBCoPCgtBQUFBMUN3V2pHURABGhsKAjEzEhUKEwgEKg8KC0FBQUExQ3dXakdJEAQaGwoCMTQSFQoTCAQqDwoLQUFBQTFDd1dqR0kQBBobCgIxNRIVChMIBCoPCgtBQUFBb1VKMzFNQRABGjAKAjE2EioKEwgEKg8KC0FBQUExQ3dXakdJEAQKEwgEKg8KC0FBQUFvVUozMU1BEAEingIKC0FBQUExNXl1b1ZrEuoBCgtBQUFBMTV5dW9WaxILQUFBQTE1eXVvVmsaDQoJdGV4dC9odG1sEgAiDgoKdGV4dC9wbGFpbhIAKhsiFTEwODM1MjcwMDAwODAwMTYwNDgwMCgAOAAwm6rb7pYxOPjN3e6WMUpQCiRhcHBsaWNhdGlvbi92bmQuZ29vZ2xlLWFwcHMuZG9jcy5tZHMaKMLX2uQBIgogCg8KCUVmZmVjdGl2ZRABGAASCwoFU3RhcnQQARgAGAFaDG9lOGp0bThoZGp2eHICIAB4AIIBFHN1Z2dlc3Qud3Rkd2MwcXo0ZmsymgEGCAAQABgAGJuq2+6WMSD4zd3uljFCFHN1Z2dlc3Qud3Rkd2MwcXo0ZmsyItoCCgtBQUFBMUN3V2pHTRKkAgoLQUFBQTFDd1dqR00SC0FBQUExQ3dXakdNGg0KCXRleHQvaHRtbBIAIg4KCnRleHQvcGxhaW4SACobIhUxMDgzNTI3MDAwMDgwMDE2MDQ4MDAoADgAMNzV2NOUMTjbpdnTlDFKgwEKJGFwcGxpY2F0aW9uL3ZuZC5nb29nbGUtYXBwcy5kb2NzLm1kcxpbwtfa5AFVElMKTwpJZm9yIGFuIGFtb3VudCBvciBhbW91bnRzIHRoYXQgYXJlIHNpZ25pZmljYW50IGluIHRoZSBvcGluaW9uIG9mIHRoZSBCdXllchABGAAQAVoMNWE5b203d3h3MTNpcgIgAHgAggEUc3VnZ2VzdC5jN2Jid2M4NWdmemmaAQYIABAAGACwAQC4AQAY3NXY05QxINul2dOUMTAAQhRzdWdnZXN0LmM3YmJ3Yzg1Z2Z6aSKKAgoLQUFBQTFDd1dqR0kS1AEKC0FBQUExQ3dXakdJEgtBQUFBMUN3V2pHSRoNCgl0ZXh0L2h0bWwSACIOCgp0ZXh0L3BsYWluEgAqGyIVMTA4MzUyNzAwMDA4MDAxNjA0ODAwKAA4ADC6ys/TlDE4tdHY05QxSjQKJGFwcGxpY2F0aW9uL3ZuZC5nb29nbGUtYXBwcy5kb2NzLm1kcxoMwtfa5AEGIgQIahABWgxvd2s1MW11MzlobXVyAiAAeACCARRzdWdnZXN0LjlnZWx6bXdlbDc4eJoBBggAEAAYALABALgBABi6ys/TlDEgtdHY05QxMABCFHN1Z2dlc3QuOWdlbHptd2VsNzh4Iv4ECgtBQUFBb1VKMzFNQRKnBAoLQUFBQW9VSjMxTUESC0FBQUFvVUozMU1BGg0KCXRleHQvaHRtbBIAIg4KCnRleHQvcGxhaW4SACo/CgZBdXRob3IaNS8vc3NsLmdzdGF0aWMuY29tL2RvY3MvY29tbW9uL2JsdWVfc2lsaG91ZXR0ZTk2LTAucG5nMMqgtIXcMDjKoLSF3DBKjQIKJGFwcGxpY2F0aW9uL3ZuZC5nb29nbGUtYXBwcy5kb2NzLm1kcxrkAcLX2uQB3QEK2gEKagpkZm9yIHRoZSBtaW5pbXVtIGxpbWl0IG9mIGluZGVtbml0eSBmb3IgdGhlIHBlcmlvZHMgc3BlY2lmaWVkIGluIHRoaXMgU2NoZWR1bGUuIFdoZXJlIHRoZSBTdXBwbGllciBpbhABGAESagpkYXQgYWxsIHRpbWVzIGZvciB0aGUgbWluaW11bSBsaW1pdCBvZiBpbmRlbW5pdHkgc3BlY2lmaWVkIGluIHRoaXMgQ29udHJhY3QgYW5kIGlmIGFueSBjbGFpbXMgYXJlIG1hZBABGAEYAXJBCgZBdXRob3IaNwo1Ly9zc2wuZ3N0YXRpYy5jb20vZG9jcy9jb21tb24vYmx1ZV9zaWxob3VldHRlOTYtMC5wbmd4AIIBNXN1Z2dlc3RJZEltcG9ydGFmZjhmZmIwLTY5MTAtNDJjMS05MGE2LTJjZGUwM2NjNTExNV8xiAEBmgEGCAAQABgAsAEAuAEBGMqgtIXcMCDKoLSF3DAwAEI1c3VnZ2VzdElkSW1wb3J0YWZmOGZmYjAtNjkxMC00MmMxLTkwYTYtMmNkZTAzY2M1MTE1XzEi9AIKC0FBQUExQ3dXakdREr4CCgtBQUFBMUN3V2pHURILQUFBQTFDd1dqR1EaDQoJdGV4dC9odG1sEgAiDgoKdGV4dC9wbGFpbhIAKhsiFTEwODM1MjcwMDAwODAwMTYwNDgwMCgAOAAwioLi05QxOOPi9NOUMUqeAQokYXBwbGljYXRpb24vdm5kLmdvb2dsZS1hcHBzLmRvY3MubWRzGnbC19rkAXAabgpqCmQsIHdoZXJlIHN1Y2ggY2xhaW0gaXMgbGlrZWx5IHRvIHJlc3VsdCBpbiB0aGUgbGV2ZWwgb2YgY292ZXIgYXZhaWxhYmxlIHVuZGVyIGFueSBvZiB0aGUgSW5zdXJhbmNlcyBiEAEYARABWgs5ZndpNWF6aHdrZHICIAB4AIIBFHN1Z2dlc3Quc2IzZG80MndsN3E5mgEGCAAQABgAsAEAuAEAGIqC4tOUMSDj4vTTlDEwAEIUc3VnZ2VzdC5zYjNkbzQyd2w3cTkipgIKC0FBQUEwdWlCVFhFEvABCgtBQUFBMHVpQlRYRRILQUFBQTB1aUJUWEUaDQoJdGV4dC9odG1sEgAiDgoKdGV4dC9wbGFpbhIAKhsiFTEwODM1MjcwMDAwODAwMTYwNDgwMCgAOAAwworZpJUxOLbb2aSVMUpQCiRhcHBsaWNhdGlvbi92bmQuZ29vZ2xlLWFwcHMuZG9jcy5tZHMaKMLX2uQBIgogCg8KCUVmZmVjdGl2ZRABGAASCwoFU3RhcnQQARgAGAFaDDl5eTNjcGpkMWtwZ3ICIAB4AIIBFHN1Z2dlc3QuanByajgxM2k4NTB2mgEGCAAQABgAsAEAuAEAGMKK2aSVMSC229mklTEwAEIUc3VnZ2VzdC5qcHJqODEzaTg1MHYyCGguZ2pkZ3hzMgloLjN6bnlzaDcyCWguMzBqMHpsbDIKaWQuM3pueXNoNzIJaC4xZm9iOXRlOABqJQoUc3VnZ2VzdC53dGR3YzBxejRmazISDUhhbm5haCBXcmlnaHRqJQoUc3VnZ2VzdC5jN2Jid2M4NWdmemkSDUhhbm5haCBXcmlnaHRqJQoUc3VnZ2VzdC45Z2Vsem13ZWw3OHgSDUhhbm5haCBXcmlnaHRqPwo1c3VnZ2VzdElkSW1wb3J0YWZmOGZmYjAtNjkxMC00MmMxLTkwYTYtMmNkZTAzY2M1MTE1XzESBkF1dGhvcmolChRzdWdnZXN0LnNiM2RvNDJ3bDdxORINSGFubmFoIFdyaWdodGolChRzdWdnZXN0Lmpwcmo4MTNpODUwdhINSGFubmFoIFdyaWdodHIhMXB0a041WkRjaHBDcHFqV1BrMW9Qb2pubUdiTUFUNGh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Props1.xml><?xml version="1.0" encoding="utf-8"?>
<ds:datastoreItem xmlns:ds="http://schemas.openxmlformats.org/officeDocument/2006/customXml" ds:itemID="{9B834C11-EF35-4361-B19D-A8B36B431909}">
  <ds:schemaRefs>
    <ds:schemaRef ds:uri="http://schemas.microsoft.com/sharepoint/v3/contenttype/forms"/>
  </ds:schemaRefs>
</ds:datastoreItem>
</file>

<file path=customXml/itemProps2.xml><?xml version="1.0" encoding="utf-8"?>
<ds:datastoreItem xmlns:ds="http://schemas.openxmlformats.org/officeDocument/2006/customXml" ds:itemID="{392E7B4E-F474-433B-A18F-DAD02A983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DEAF74F-F5C4-45BE-956F-1A0A1C9FEB39}">
  <ds:schemaRefs>
    <ds:schemaRef ds:uri="http://schemas.microsoft.com/office/2006/documentManagement/types"/>
    <ds:schemaRef ds:uri="http://schemas.openxmlformats.org/package/2006/metadata/core-properties"/>
    <ds:schemaRef ds:uri="a43215ff-c426-4344-a17d-812f230b5b3d"/>
    <ds:schemaRef ds:uri="http://schemas.microsoft.com/office/infopath/2007/PartnerControls"/>
    <ds:schemaRef ds:uri="http://purl.org/dc/dcmitype/"/>
    <ds:schemaRef ds:uri="e74fc50d-c135-4e75-9fbe-d232072c87b5"/>
    <ds:schemaRef ds:uri="f10e5aa5-a134-411f-bff4-7627adda00b3"/>
    <ds:schemaRef ds:uri="http://schemas.microsoft.com/office/2006/metadata/properti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10810</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Huss</dc:creator>
  <cp:lastModifiedBy>Elizabeth Huss</cp:lastModifiedBy>
  <cp:revision>2</cp:revision>
  <dcterms:created xsi:type="dcterms:W3CDTF">2024-01-10T15:17:00Z</dcterms:created>
  <dcterms:modified xsi:type="dcterms:W3CDTF">2024-01-10T15:17:00Z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979bda5b-fe06-4168-83b8-603ad9141b47</vt:lpwstr>
  </property>
  <property fmtid="{D5CDD505-2E9C-101B-9397-08002B2CF9AE}" pid="3" name="ContentTypeId">
    <vt:lpwstr>0x010100B1C7053F7343574299D2D651C52A9961</vt:lpwstr>
  </property>
  <property fmtid="{D5CDD505-2E9C-101B-9397-08002B2CF9AE}" pid="4" name="Order">
    <vt:r8>291600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